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永乐店镇人民政府2025</w:t>
      </w:r>
      <w:r>
        <w:rPr>
          <w:rFonts w:hint="eastAsia" w:ascii="方正小标宋简体" w:hAnsi="方正小标宋简体" w:eastAsia="方正小标宋简体" w:cs="方正小标宋简体"/>
          <w:sz w:val="44"/>
          <w:szCs w:val="44"/>
        </w:rPr>
        <w:t>年政府信息公开</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工作年度报告</w:t>
      </w:r>
    </w:p>
    <w:p>
      <w:pPr>
        <w:spacing w:line="560" w:lineRule="exact"/>
        <w:jc w:val="center"/>
        <w:rPr>
          <w:sz w:val="44"/>
          <w:szCs w:val="44"/>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r>
        <w:rPr>
          <w:rFonts w:hint="eastAsia" w:ascii="仿宋_GB2312" w:hAnsi="宋体" w:eastAsia="仿宋_GB2312" w:cs="宋体"/>
          <w:spacing w:val="8"/>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（一）组织领导</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永乐店镇人民政府政府信息公开工作在</w:t>
      </w:r>
      <w:r>
        <w:rPr>
          <w:rFonts w:hint="eastAsia" w:ascii="仿宋_GB2312" w:hAnsi="宋体" w:eastAsia="仿宋_GB2312" w:cs="宋体"/>
          <w:spacing w:val="8"/>
          <w:kern w:val="0"/>
          <w:sz w:val="32"/>
          <w:szCs w:val="32"/>
          <w:lang w:val="en-US" w:eastAsia="zh-CN"/>
        </w:rPr>
        <w:t>主管领导</w:t>
      </w:r>
      <w:r>
        <w:rPr>
          <w:rFonts w:hint="eastAsia" w:ascii="仿宋_GB2312" w:hAnsi="宋体" w:eastAsia="仿宋_GB2312" w:cs="宋体"/>
          <w:spacing w:val="8"/>
          <w:kern w:val="0"/>
          <w:sz w:val="32"/>
          <w:szCs w:val="32"/>
        </w:rPr>
        <w:t>同志的统筹部署下得到扎实推进，综合办公室作为具体责任部门，全面承担信息公开的日常组织、协调与落实任务，确保各项工作有序开展。</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（二）主动公开政府信息和依申请公开情况</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我镇依照《中华人民共和国政府信息公开条例》相关规定，聚焦民政救助、行政执法、</w:t>
      </w:r>
      <w:r>
        <w:rPr>
          <w:rFonts w:hint="eastAsia" w:ascii="仿宋_GB2312" w:hAnsi="宋体" w:eastAsia="仿宋_GB2312" w:cs="宋体"/>
          <w:spacing w:val="8"/>
          <w:kern w:val="0"/>
          <w:sz w:val="32"/>
          <w:szCs w:val="32"/>
          <w:lang w:val="en-US" w:eastAsia="zh-CN"/>
        </w:rPr>
        <w:t>街乡镇</w:t>
      </w:r>
      <w:r>
        <w:rPr>
          <w:rFonts w:hint="eastAsia" w:ascii="仿宋_GB2312" w:hAnsi="宋体" w:eastAsia="仿宋_GB2312" w:cs="宋体"/>
          <w:spacing w:val="8"/>
          <w:kern w:val="0"/>
          <w:sz w:val="32"/>
          <w:szCs w:val="32"/>
        </w:rPr>
        <w:t>动态等重点领域，持续加强信息主动公开，保障群众及时获取准确、全面的政务信息。</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在依申请公开方面，本年度所有申请均依法按时处理，对符合公开条件的信息及时予以提供；对因</w:t>
      </w:r>
      <w:r>
        <w:rPr>
          <w:rFonts w:hint="eastAsia" w:ascii="仿宋_GB2312" w:hAnsi="宋体" w:eastAsia="仿宋_GB2312" w:cs="宋体"/>
          <w:spacing w:val="8"/>
          <w:kern w:val="0"/>
          <w:sz w:val="32"/>
          <w:szCs w:val="32"/>
          <w:lang w:val="en-US" w:eastAsia="zh-CN"/>
        </w:rPr>
        <w:t>内部事务、过程性信息</w:t>
      </w:r>
      <w:r>
        <w:rPr>
          <w:rFonts w:hint="eastAsia" w:ascii="仿宋_GB2312" w:hAnsi="宋体" w:eastAsia="仿宋_GB2312" w:cs="宋体"/>
          <w:spacing w:val="8"/>
          <w:kern w:val="0"/>
          <w:sz w:val="32"/>
          <w:szCs w:val="32"/>
        </w:rPr>
        <w:t>等原因不予公开的，均依法说明情况并做好解释工作。同时，重视听取申请人意见建议，持续优化办理流程和服务方式。</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（三）政府信息管理及政府信息公开平台建设</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我镇持续完善政府信息全流程管理，明确公开范围与标准，健全跨部门信息响应与协同公开机制，确保信息发布及时、规范、有效。严格落实信息公开属性源头认定和保密审查制度，加大政策解读与舆情回应力度，切实发挥信息公开在服务群众、促进互动中的积极作用。</w:t>
      </w:r>
      <w:r>
        <w:rPr>
          <w:rFonts w:hint="eastAsia" w:ascii="仿宋_GB2312" w:hAnsi="宋体" w:eastAsia="仿宋_GB2312" w:cs="宋体"/>
          <w:spacing w:val="8"/>
          <w:kern w:val="0"/>
          <w:sz w:val="32"/>
          <w:szCs w:val="32"/>
          <w:lang w:val="en-US" w:eastAsia="zh-CN"/>
        </w:rPr>
        <w:t>逐步强化</w:t>
      </w:r>
      <w:r>
        <w:rPr>
          <w:rFonts w:hint="eastAsia" w:ascii="仿宋_GB2312" w:hAnsi="宋体" w:eastAsia="仿宋_GB2312" w:cs="宋体"/>
          <w:spacing w:val="8"/>
          <w:kern w:val="0"/>
          <w:sz w:val="32"/>
          <w:szCs w:val="32"/>
        </w:rPr>
        <w:t>政府信息公开平台日常运维工作，</w:t>
      </w:r>
      <w:r>
        <w:rPr>
          <w:rFonts w:hint="eastAsia" w:ascii="仿宋_GB2312" w:hAnsi="宋体" w:eastAsia="仿宋_GB2312" w:cs="宋体"/>
          <w:spacing w:val="8"/>
          <w:kern w:val="0"/>
          <w:sz w:val="32"/>
          <w:szCs w:val="32"/>
          <w:lang w:val="en-US" w:eastAsia="zh-CN"/>
        </w:rPr>
        <w:t>进一步</w:t>
      </w:r>
      <w:r>
        <w:rPr>
          <w:rFonts w:hint="eastAsia" w:ascii="仿宋_GB2312" w:hAnsi="宋体" w:eastAsia="仿宋_GB2312" w:cs="宋体"/>
          <w:spacing w:val="8"/>
          <w:kern w:val="0"/>
          <w:sz w:val="32"/>
          <w:szCs w:val="32"/>
        </w:rPr>
        <w:t>规范发布内容，持续提升信息质量。</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（四）积极开展政府信息公开教育培训</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本年度，我镇在参加上级培训的基础上，结合工作实际开展形式多样的业务指导和技能培训，着力提升信息公开工作人员的专业素养和实操能力，持续增强各部门对信息公开工作的认识和协同水平。</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（五）严格履行监督保障职能</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我镇严格执行《政府信息公开条例》各项要求，不断健全信息公开审查机制，重点加强重大行政决策公开前的合法性审查，以及依申请公开答复内容的合规性审核。同步完善监督检查、责任落实与反馈优化机制，推动政府信息公开工作朝着更加规范、法治、高效的方向发展。</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主动公开政府信息情况</w:t>
      </w:r>
    </w:p>
    <w:p>
      <w:pPr>
        <w:pStyle w:val="2"/>
        <w:spacing w:line="560" w:lineRule="exact"/>
        <w:rPr>
          <w:rFonts w:hint="eastAsia"/>
        </w:rPr>
      </w:pPr>
    </w:p>
    <w:tbl>
      <w:tblPr>
        <w:tblStyle w:val="4"/>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lang w:val="en-US" w:eastAsia="zh-CN"/>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lang w:val="en-US" w:eastAsia="zh-CN"/>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lang w:val="en-US" w:eastAsia="zh-CN"/>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lang w:val="en-US" w:eastAsia="zh-CN"/>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宋体" w:hAnsi="宋体" w:eastAsia="宋体" w:cs="宋体"/>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eastAsiaTheme="minorEastAsia"/>
                <w:lang w:val="en-US" w:eastAsia="zh-CN"/>
              </w:rPr>
            </w:pPr>
            <w:r>
              <w:rPr>
                <w:rFonts w:hint="eastAsia" w:ascii="宋体" w:hAnsi="宋体" w:cs="宋体"/>
                <w:color w:val="000000"/>
                <w:kern w:val="0"/>
                <w:sz w:val="20"/>
                <w:szCs w:val="20"/>
                <w:lang w:val="en-US" w:eastAsia="zh-CN" w:bidi="ar"/>
              </w:rPr>
              <w:t>104</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4"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4"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宋体" w:hAnsi="宋体" w:cs="宋体"/>
                <w:color w:val="000000"/>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行政事业性收费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jc w:val="center"/>
              <w:rPr>
                <w:rFonts w:hint="eastAsia" w:ascii="宋体" w:eastAsiaTheme="minorEastAsia"/>
                <w:sz w:val="24"/>
                <w:lang w:val="en-US" w:eastAsia="zh-CN"/>
              </w:rPr>
            </w:pPr>
            <w:r>
              <w:rPr>
                <w:rFonts w:hint="eastAsia" w:ascii="宋体"/>
                <w:sz w:val="20"/>
                <w:szCs w:val="20"/>
                <w:lang w:val="en-US" w:eastAsia="zh-CN"/>
              </w:rPr>
              <w:t>0</w:t>
            </w:r>
          </w:p>
        </w:tc>
      </w:tr>
    </w:tbl>
    <w:p>
      <w:pPr>
        <w:pStyle w:val="2"/>
        <w:spacing w:line="560" w:lineRule="exact"/>
        <w:rPr>
          <w:rFonts w:hint="eastAsia"/>
        </w:rPr>
      </w:pPr>
    </w:p>
    <w:p>
      <w:pPr>
        <w:numPr>
          <w:ilvl w:val="0"/>
          <w:numId w:val="1"/>
        </w:num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3"/>
        <w:widowControl/>
        <w:shd w:val="clear" w:color="auto" w:fill="FFFFFF"/>
        <w:spacing w:before="0" w:beforeAutospacing="0" w:after="0" w:afterAutospacing="0" w:line="560" w:lineRule="exact"/>
        <w:ind w:firstLine="420"/>
        <w:jc w:val="both"/>
        <w:rPr>
          <w:rFonts w:hint="eastAsia" w:ascii="宋体" w:hAnsi="宋体" w:cs="宋体"/>
          <w:color w:val="333333"/>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6"/>
        <w:gridCol w:w="943"/>
        <w:gridCol w:w="3217"/>
        <w:gridCol w:w="691"/>
        <w:gridCol w:w="688"/>
        <w:gridCol w:w="688"/>
        <w:gridCol w:w="688"/>
        <w:gridCol w:w="688"/>
        <w:gridCol w:w="688"/>
        <w:gridCol w:w="69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822"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91" w:type="dxa"/>
            <w:vMerge w:val="restart"/>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法人或其他组织</w:t>
            </w:r>
          </w:p>
        </w:tc>
        <w:tc>
          <w:tcPr>
            <w:tcW w:w="691" w:type="dxa"/>
            <w:vMerge w:val="restart"/>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91" w:type="dxa"/>
            <w:vMerge w:val="continue"/>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商业</w:t>
            </w:r>
          </w:p>
          <w:p>
            <w:pPr>
              <w:widowControl/>
              <w:spacing w:line="560" w:lineRule="exact"/>
              <w:jc w:val="cente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科研</w:t>
            </w:r>
          </w:p>
          <w:p>
            <w:pPr>
              <w:widowControl/>
              <w:spacing w:line="560" w:lineRule="exact"/>
              <w:jc w:val="cente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其他</w:t>
            </w:r>
          </w:p>
        </w:tc>
        <w:tc>
          <w:tcPr>
            <w:tcW w:w="691" w:type="dxa"/>
            <w:vMerge w:val="continue"/>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一、本年新收政府信息公开申请数量</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11</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二、上年结转政府信息公开申请数量</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highlight w:val="none"/>
                <w:lang w:val="en-US" w:eastAsia="zh-CN"/>
              </w:rPr>
            </w:pPr>
            <w:r>
              <w:rPr>
                <w:rFonts w:hint="eastAsia" w:ascii="Calibri" w:hAnsi="Calibri" w:cs="Calibri"/>
                <w:kern w:val="0"/>
                <w:sz w:val="20"/>
                <w:szCs w:val="20"/>
                <w:highlight w:val="none"/>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highlight w:val="none"/>
                <w:lang w:val="en-US" w:eastAsia="zh-CN"/>
              </w:rPr>
            </w:pPr>
            <w:r>
              <w:rPr>
                <w:rFonts w:ascii="Calibri" w:hAnsi="Calibri" w:cs="Calibri"/>
                <w:kern w:val="0"/>
                <w:sz w:val="20"/>
                <w:szCs w:val="20"/>
                <w:highlight w:val="none"/>
                <w:lang w:bidi="ar"/>
              </w:rPr>
              <w:t> </w:t>
            </w:r>
            <w:r>
              <w:rPr>
                <w:rFonts w:hint="eastAsia" w:ascii="Calibri" w:hAnsi="Calibri" w:cs="Calibri"/>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highlight w:val="none"/>
              </w:rPr>
            </w:pPr>
            <w:r>
              <w:rPr>
                <w:rFonts w:ascii="Calibri" w:hAnsi="Calibri" w:cs="Calibri"/>
                <w:kern w:val="0"/>
                <w:sz w:val="20"/>
                <w:szCs w:val="20"/>
                <w:highlight w:val="none"/>
                <w:lang w:bidi="ar"/>
              </w:rPr>
              <w:t> </w:t>
            </w:r>
            <w:r>
              <w:rPr>
                <w:rFonts w:hint="eastAsia" w:ascii="Calibri" w:hAnsi="Calibri" w:cs="Calibri"/>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highlight w:val="none"/>
              </w:rPr>
            </w:pPr>
            <w:r>
              <w:rPr>
                <w:rFonts w:ascii="Calibri" w:hAnsi="Calibri" w:cs="Calibri"/>
                <w:kern w:val="0"/>
                <w:sz w:val="20"/>
                <w:szCs w:val="20"/>
                <w:highlight w:val="none"/>
                <w:lang w:bidi="ar"/>
              </w:rPr>
              <w:t> </w:t>
            </w:r>
            <w:r>
              <w:rPr>
                <w:rFonts w:hint="eastAsia" w:ascii="Calibri" w:hAnsi="Calibri" w:cs="Calibri"/>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highlight w:val="none"/>
              </w:rPr>
            </w:pPr>
            <w:r>
              <w:rPr>
                <w:rFonts w:ascii="Calibri" w:hAnsi="Calibri" w:cs="Calibri"/>
                <w:kern w:val="0"/>
                <w:sz w:val="20"/>
                <w:szCs w:val="20"/>
                <w:highlight w:val="none"/>
                <w:lang w:bidi="ar"/>
              </w:rPr>
              <w:t> </w:t>
            </w:r>
            <w:r>
              <w:rPr>
                <w:rFonts w:hint="eastAsia" w:ascii="Calibri" w:hAnsi="Calibri" w:cs="Calibri"/>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highlight w:val="none"/>
              </w:rPr>
            </w:pPr>
            <w:r>
              <w:rPr>
                <w:rFonts w:ascii="Calibri" w:hAnsi="Calibri" w:cs="Calibri"/>
                <w:kern w:val="0"/>
                <w:sz w:val="20"/>
                <w:szCs w:val="20"/>
                <w:highlight w:val="none"/>
                <w:lang w:bidi="ar"/>
              </w:rPr>
              <w:t> </w:t>
            </w:r>
            <w:r>
              <w:rPr>
                <w:rFonts w:hint="eastAsia" w:ascii="Calibri" w:hAnsi="Calibri" w:cs="Calibri"/>
                <w:kern w:val="0"/>
                <w:sz w:val="20"/>
                <w:szCs w:val="20"/>
                <w:highlight w:val="none"/>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highlight w:val="none"/>
              </w:rPr>
            </w:pPr>
            <w:r>
              <w:rPr>
                <w:rFonts w:hint="eastAsia" w:ascii="Calibri" w:hAnsi="Calibri" w:cs="Calibri"/>
                <w:kern w:val="0"/>
                <w:sz w:val="20"/>
                <w:szCs w:val="20"/>
                <w:highlight w:val="none"/>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restart"/>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三、本年度办理结果</w:t>
            </w:r>
          </w:p>
        </w:tc>
        <w:tc>
          <w:tcPr>
            <w:tcW w:w="4160" w:type="dxa"/>
            <w:gridSpan w:val="2"/>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（一）予以公开</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4</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4160" w:type="dxa"/>
            <w:gridSpan w:val="2"/>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3</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（三）不予公开</w:t>
            </w:r>
          </w:p>
        </w:tc>
        <w:tc>
          <w:tcPr>
            <w:tcW w:w="3217"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1.属于国家秘密</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17"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2.其他法律行政法规禁止公开</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17"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3.危及“三安全一稳定”</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17"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4.保护第三方合法权益</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17"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5.属于三类内部事务信息</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1</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17"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6.属于四类过程性信息</w:t>
            </w:r>
          </w:p>
        </w:tc>
        <w:tc>
          <w:tcPr>
            <w:tcW w:w="691"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1</w:t>
            </w:r>
          </w:p>
        </w:tc>
        <w:tc>
          <w:tcPr>
            <w:tcW w:w="688"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7.属于行政执法案卷</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8.属于行政查询事项</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（四）无法提供</w:t>
            </w: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1.本机关不掌握相关政府信息</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3</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3</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2.没有现成信息需要另行制作</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17"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3.补正后申请内容仍不明确</w:t>
            </w:r>
          </w:p>
        </w:tc>
        <w:tc>
          <w:tcPr>
            <w:tcW w:w="691"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（五）不予处理</w:t>
            </w:r>
          </w:p>
        </w:tc>
        <w:tc>
          <w:tcPr>
            <w:tcW w:w="3217"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1.信访举报投诉类申请</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17"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2.重复申请</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17"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3.要求提供公开出版物</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17"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4.无正当理由大量反复申请</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17"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pPr>
            <w:r>
              <w:rPr>
                <w:rFonts w:hint="eastAsia" w:ascii="宋体" w:hAnsi="宋体" w:cs="宋体"/>
                <w:kern w:val="0"/>
                <w:sz w:val="20"/>
                <w:szCs w:val="20"/>
                <w:lang w:bidi="ar"/>
              </w:rPr>
              <w:t>5.</w:t>
            </w:r>
            <w:bookmarkStart w:id="0" w:name="OLE_LINK1"/>
            <w:r>
              <w:rPr>
                <w:rFonts w:hint="eastAsia" w:ascii="宋体" w:hAnsi="宋体" w:cs="宋体"/>
                <w:kern w:val="0"/>
                <w:sz w:val="20"/>
                <w:szCs w:val="20"/>
                <w:lang w:bidi="ar"/>
              </w:rPr>
              <w:t>要求行政机关确认或重新出具已获取信息</w:t>
            </w:r>
            <w:bookmarkEnd w:id="0"/>
          </w:p>
        </w:tc>
        <w:tc>
          <w:tcPr>
            <w:tcW w:w="691"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lang w:val="en-US" w:eastAsia="zh-CN"/>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91"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 xml:space="preserve">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restart"/>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（六）其他处理</w:t>
            </w:r>
          </w:p>
        </w:tc>
        <w:tc>
          <w:tcPr>
            <w:tcW w:w="3217"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pPr>
            <w:r>
              <w:rPr>
                <w:rFonts w:hint="eastAsia" w:ascii="宋体" w:hAnsi="宋体" w:cs="宋体"/>
                <w:kern w:val="0"/>
                <w:sz w:val="20"/>
                <w:szCs w:val="20"/>
                <w:lang w:bidi="ar"/>
              </w:rPr>
              <w:t>1.申请人无正当理由逾期不补正、行政机关不再处理其政府信息公开申请</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 xml:space="preserve"> 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 xml:space="preserve"> 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 xml:space="preserve"> 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 xml:space="preserve"> 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 xml:space="preserve"> 0</w:t>
            </w:r>
            <w:r>
              <w:rPr>
                <w:rFonts w:ascii="Calibri" w:hAnsi="Calibri" w:cs="Calibri"/>
                <w:kern w:val="0"/>
                <w:sz w:val="20"/>
                <w:szCs w:val="20"/>
                <w:lang w:bidi="ar"/>
              </w:rPr>
              <w:t> </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 xml:space="preserve"> 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17"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pPr>
            <w:r>
              <w:rPr>
                <w:rFonts w:hint="eastAsia" w:ascii="宋体" w:hAnsi="宋体" w:cs="宋体"/>
                <w:kern w:val="0"/>
                <w:sz w:val="20"/>
                <w:szCs w:val="20"/>
                <w:lang w:bidi="ar"/>
              </w:rPr>
              <w:t>2.申请人逾期未按收费通知要求缴纳费用、行政机关不再处理其政府信息公开申请</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17"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3.其他</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4160" w:type="dxa"/>
            <w:gridSpan w:val="2"/>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（七）总计</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eastAsiaTheme="minorEastAsia"/>
                <w:lang w:val="en-US" w:eastAsia="zh-CN"/>
              </w:rPr>
            </w:pPr>
            <w:r>
              <w:rPr>
                <w:rFonts w:hint="eastAsia" w:ascii="Calibri" w:hAnsi="Calibri" w:cs="Calibri"/>
                <w:kern w:val="0"/>
                <w:sz w:val="20"/>
                <w:szCs w:val="20"/>
                <w:lang w:val="en-US" w:eastAsia="zh-CN" w:bidi="ar"/>
              </w:rPr>
              <w:t>12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default" w:eastAsiaTheme="minorEastAsia"/>
                <w:lang w:val="en-US" w:eastAsia="zh-CN"/>
              </w:rPr>
            </w:pPr>
            <w:r>
              <w:rPr>
                <w:rFonts w:hint="eastAsia" w:ascii="Calibri" w:hAnsi="Calibri" w:cs="Calibri"/>
                <w:kern w:val="0"/>
                <w:sz w:val="20"/>
                <w:szCs w:val="20"/>
                <w:lang w:val="en-US" w:eastAsia="zh-CN" w:bidi="ar"/>
              </w:rPr>
              <w:t>12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tcBorders>
              <w:top w:val="single" w:color="auto" w:sz="0" w:space="0"/>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四、结转下年度继续办理</w:t>
            </w:r>
          </w:p>
        </w:tc>
        <w:tc>
          <w:tcPr>
            <w:tcW w:w="691" w:type="dxa"/>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eastAsiaTheme="minorEastAsia"/>
                <w:sz w:val="24"/>
                <w:lang w:val="en-US" w:eastAsia="zh-CN"/>
              </w:rPr>
            </w:pP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eastAsiaTheme="minorEastAsia"/>
                <w:sz w:val="24"/>
                <w:lang w:val="en-US" w:eastAsia="zh-CN"/>
              </w:rPr>
            </w:pP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sz w:val="24"/>
              </w:rPr>
            </w:pP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sz w:val="24"/>
              </w:rPr>
            </w:pP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sz w:val="24"/>
              </w:rPr>
            </w:pP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sz w:val="24"/>
              </w:rPr>
            </w:pPr>
            <w:r>
              <w:rPr>
                <w:rFonts w:hint="eastAsia" w:ascii="Calibri" w:hAnsi="Calibri" w:cs="Calibri"/>
                <w:kern w:val="0"/>
                <w:sz w:val="20"/>
                <w:szCs w:val="20"/>
                <w:lang w:val="en-US" w:eastAsia="zh-CN" w:bidi="ar"/>
              </w:rPr>
              <w:t>0</w:t>
            </w:r>
          </w:p>
        </w:tc>
        <w:tc>
          <w:tcPr>
            <w:tcW w:w="0" w:type="auto"/>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eastAsiaTheme="minorEastAsia"/>
                <w:sz w:val="24"/>
                <w:lang w:val="en-US" w:eastAsia="zh-CN"/>
              </w:rPr>
            </w:pPr>
            <w:r>
              <w:rPr>
                <w:rFonts w:hint="eastAsia" w:ascii="宋体"/>
                <w:sz w:val="20"/>
                <w:szCs w:val="20"/>
                <w:lang w:val="en-US" w:eastAsia="zh-CN"/>
              </w:rPr>
              <w:t>0</w:t>
            </w:r>
          </w:p>
        </w:tc>
      </w:tr>
    </w:tbl>
    <w:p>
      <w:pPr>
        <w:pStyle w:val="2"/>
        <w:spacing w:line="560" w:lineRule="exact"/>
        <w:ind w:left="420" w:leftChars="200"/>
        <w:rPr>
          <w:rFonts w:hint="eastAsia"/>
        </w:rPr>
      </w:pPr>
    </w:p>
    <w:p>
      <w:pPr>
        <w:pStyle w:val="2"/>
        <w:spacing w:line="560" w:lineRule="exact"/>
        <w:ind w:left="420" w:leftChars="200"/>
        <w:rPr>
          <w:rFonts w:hint="eastAsia"/>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widowControl/>
        <w:spacing w:line="560" w:lineRule="exact"/>
        <w:jc w:val="cente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bookmarkStart w:id="1" w:name="OLE_LINK2"/>
            <w:r>
              <w:rPr>
                <w:rFonts w:hint="eastAsia" w:ascii="宋体" w:hAnsi="宋体" w:cs="宋体"/>
                <w:kern w:val="0"/>
                <w:sz w:val="20"/>
                <w:szCs w:val="20"/>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结果维持</w:t>
            </w:r>
          </w:p>
        </w:tc>
        <w:tc>
          <w:tcPr>
            <w:tcW w:w="6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总计</w:t>
            </w:r>
          </w:p>
        </w:tc>
        <w:tc>
          <w:tcPr>
            <w:tcW w:w="3213"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default" w:asciiTheme="minorAscii" w:hAnsiTheme="minorAscii"/>
                <w:sz w:val="20"/>
                <w:szCs w:val="20"/>
              </w:rPr>
            </w:pPr>
            <w:r>
              <w:rPr>
                <w:rFonts w:hint="default" w:eastAsia="黑体" w:cs="黑体" w:asciiTheme="minorAscii" w:hAnsiTheme="minorAscii"/>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default" w:eastAsia="黑体" w:asciiTheme="minorAscii" w:hAnsiTheme="minorAscii"/>
                <w:sz w:val="20"/>
                <w:szCs w:val="20"/>
                <w:lang w:val="en-US" w:eastAsia="zh-CN"/>
              </w:rPr>
            </w:pPr>
            <w:r>
              <w:rPr>
                <w:rFonts w:hint="default" w:eastAsia="黑体" w:cs="黑体" w:asciiTheme="minorAscii" w:hAnsiTheme="minorAscii"/>
                <w:kern w:val="0"/>
                <w:sz w:val="20"/>
                <w:szCs w:val="20"/>
                <w:lang w:val="en-US" w:eastAsia="zh-CN" w:bidi="ar"/>
              </w:rPr>
              <w:t>2</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default" w:eastAsia="黑体" w:asciiTheme="minorAscii" w:hAnsiTheme="minorAscii"/>
                <w:sz w:val="20"/>
                <w:szCs w:val="20"/>
                <w:lang w:val="en-US" w:eastAsia="zh-CN"/>
              </w:rPr>
            </w:pPr>
            <w:r>
              <w:rPr>
                <w:rFonts w:hint="default" w:eastAsia="黑体" w:cs="黑体" w:asciiTheme="minorAscii" w:hAnsiTheme="minorAscii"/>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default" w:eastAsia="黑体" w:asciiTheme="minorAscii" w:hAnsiTheme="minorAscii"/>
                <w:sz w:val="20"/>
                <w:szCs w:val="20"/>
                <w:lang w:val="en-US" w:eastAsia="zh-CN"/>
              </w:rPr>
            </w:pPr>
            <w:r>
              <w:rPr>
                <w:rFonts w:hint="default" w:eastAsia="黑体" w:cs="黑体" w:asciiTheme="minorAscii" w:hAnsiTheme="minorAscii"/>
                <w:kern w:val="0"/>
                <w:sz w:val="20"/>
                <w:szCs w:val="20"/>
                <w:lang w:val="en-US" w:eastAsia="zh-CN" w:bidi="ar"/>
              </w:rPr>
              <w:t>1</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default" w:eastAsia="黑体" w:asciiTheme="minorAscii" w:hAnsiTheme="minorAscii"/>
                <w:sz w:val="20"/>
                <w:szCs w:val="20"/>
                <w:lang w:val="en-US" w:eastAsia="zh-CN"/>
              </w:rPr>
            </w:pPr>
            <w:r>
              <w:rPr>
                <w:rFonts w:hint="default" w:eastAsia="黑体" w:cs="黑体" w:asciiTheme="minorAscii" w:hAnsiTheme="minorAscii"/>
                <w:kern w:val="0"/>
                <w:sz w:val="20"/>
                <w:szCs w:val="20"/>
                <w:lang w:val="en-US" w:eastAsia="zh-CN" w:bidi="ar"/>
              </w:rPr>
              <w:t>3</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default" w:asciiTheme="minorAscii" w:hAnsiTheme="minorAscii"/>
                <w:sz w:val="20"/>
                <w:szCs w:val="20"/>
              </w:rPr>
            </w:pPr>
            <w:r>
              <w:rPr>
                <w:rFonts w:hint="default" w:eastAsia="黑体" w:cs="黑体" w:asciiTheme="minorAscii" w:hAnsiTheme="minorAscii"/>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default" w:eastAsia="黑体" w:asciiTheme="minorAscii" w:hAnsiTheme="minorAscii"/>
                <w:sz w:val="20"/>
                <w:szCs w:val="20"/>
                <w:lang w:val="en-US" w:eastAsia="zh-CN"/>
              </w:rPr>
            </w:pPr>
            <w:r>
              <w:rPr>
                <w:rFonts w:hint="default" w:eastAsia="黑体" w:cs="黑体" w:asciiTheme="minorAscii" w:hAnsiTheme="minorAscii"/>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default" w:eastAsia="黑体" w:asciiTheme="minorAscii" w:hAnsiTheme="minorAscii"/>
                <w:sz w:val="20"/>
                <w:szCs w:val="20"/>
                <w:lang w:val="en-US" w:eastAsia="zh-CN"/>
              </w:rPr>
            </w:pPr>
            <w:r>
              <w:rPr>
                <w:rFonts w:hint="default" w:eastAsia="黑体" w:cs="黑体" w:asciiTheme="minorAscii" w:hAnsiTheme="minorAscii"/>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default" w:eastAsia="黑体" w:asciiTheme="minorAscii" w:hAnsiTheme="minorAscii"/>
                <w:sz w:val="20"/>
                <w:szCs w:val="20"/>
                <w:lang w:val="en-US" w:eastAsia="zh-CN"/>
              </w:rPr>
            </w:pPr>
            <w:r>
              <w:rPr>
                <w:rFonts w:hint="default" w:eastAsia="黑体" w:cs="黑体" w:asciiTheme="minorAscii" w:hAnsiTheme="minorAscii"/>
                <w:kern w:val="0"/>
                <w:sz w:val="20"/>
                <w:szCs w:val="20"/>
                <w:lang w:val="en-US" w:eastAsia="zh-CN" w:bidi="ar"/>
              </w:rPr>
              <w:t>1</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default" w:eastAsia="黑体" w:asciiTheme="minorAscii" w:hAnsiTheme="minorAscii"/>
                <w:sz w:val="20"/>
                <w:szCs w:val="20"/>
                <w:lang w:val="en-US" w:eastAsia="zh-CN"/>
              </w:rPr>
            </w:pPr>
            <w:r>
              <w:rPr>
                <w:rFonts w:hint="default" w:eastAsia="黑体" w:cs="黑体" w:asciiTheme="minorAscii" w:hAnsiTheme="minorAscii"/>
                <w:kern w:val="0"/>
                <w:sz w:val="20"/>
                <w:szCs w:val="20"/>
                <w:lang w:val="en-US" w:eastAsia="zh-CN" w:bidi="ar"/>
              </w:rPr>
              <w:t>1</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default" w:eastAsia="黑体" w:asciiTheme="minorAscii" w:hAnsiTheme="minorAscii"/>
                <w:sz w:val="20"/>
                <w:szCs w:val="20"/>
                <w:lang w:val="en-US" w:eastAsia="zh-CN"/>
              </w:rPr>
            </w:pPr>
            <w:r>
              <w:rPr>
                <w:rFonts w:hint="default" w:eastAsia="黑体" w:cs="黑体" w:asciiTheme="minorAscii" w:hAnsiTheme="minorAscii"/>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default" w:asciiTheme="minorAscii" w:hAnsiTheme="minorAscii"/>
                <w:sz w:val="20"/>
                <w:szCs w:val="20"/>
              </w:rPr>
            </w:pPr>
            <w:r>
              <w:rPr>
                <w:rFonts w:hint="default" w:eastAsia="黑体" w:cs="黑体" w:asciiTheme="minorAscii" w:hAnsiTheme="minorAscii"/>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default" w:asciiTheme="minorAscii" w:hAnsiTheme="minorAscii"/>
                <w:sz w:val="20"/>
                <w:szCs w:val="20"/>
              </w:rPr>
            </w:pPr>
            <w:r>
              <w:rPr>
                <w:rFonts w:hint="default" w:eastAsia="黑体" w:cs="黑体" w:asciiTheme="minorAscii" w:hAnsiTheme="minorAscii"/>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default" w:asciiTheme="minorAscii" w:hAnsiTheme="minorAscii"/>
                <w:sz w:val="20"/>
                <w:szCs w:val="20"/>
              </w:rPr>
            </w:pPr>
            <w:r>
              <w:rPr>
                <w:rFonts w:hint="default" w:eastAsia="黑体" w:cs="黑体" w:asciiTheme="minorAscii" w:hAnsiTheme="minorAscii"/>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560" w:lineRule="exact"/>
              <w:jc w:val="center"/>
              <w:rPr>
                <w:rFonts w:hint="default" w:asciiTheme="minorAscii" w:hAnsiTheme="minorAscii" w:eastAsiaTheme="minorEastAsia"/>
                <w:sz w:val="20"/>
                <w:szCs w:val="20"/>
                <w:lang w:val="en-US" w:eastAsia="zh-CN"/>
              </w:rPr>
            </w:pPr>
            <w:r>
              <w:rPr>
                <w:rFonts w:hint="default" w:asciiTheme="minorAscii" w:hAnsiTheme="minorAscii"/>
                <w:sz w:val="20"/>
                <w:szCs w:val="20"/>
                <w:lang w:val="en-US" w:eastAsia="zh-CN"/>
              </w:rPr>
              <w:t>0</w:t>
            </w:r>
          </w:p>
        </w:tc>
      </w:tr>
      <w:bookmarkEnd w:id="1"/>
    </w:tbl>
    <w:p>
      <w:pPr>
        <w:widowControl/>
        <w:spacing w:line="560" w:lineRule="exact"/>
        <w:jc w:val="left"/>
      </w:pP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五、存在的主要问题及改进情况</w:t>
      </w:r>
    </w:p>
    <w:p>
      <w:pPr>
        <w:widowControl/>
        <w:spacing w:line="560" w:lineRule="exact"/>
        <w:ind w:firstLine="672" w:firstLineChars="200"/>
        <w:jc w:val="left"/>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202</w:t>
      </w:r>
      <w:r>
        <w:rPr>
          <w:rFonts w:hint="eastAsia" w:ascii="仿宋_GB2312" w:hAnsi="仿宋_GB2312" w:eastAsia="仿宋_GB2312" w:cs="仿宋_GB2312"/>
          <w:spacing w:val="8"/>
          <w:kern w:val="0"/>
          <w:sz w:val="32"/>
          <w:szCs w:val="32"/>
          <w:lang w:val="en-US" w:eastAsia="zh-CN"/>
        </w:rPr>
        <w:t>5</w:t>
      </w:r>
      <w:r>
        <w:rPr>
          <w:rFonts w:hint="eastAsia" w:ascii="仿宋_GB2312" w:hAnsi="仿宋_GB2312" w:eastAsia="仿宋_GB2312" w:cs="仿宋_GB2312"/>
          <w:spacing w:val="8"/>
          <w:kern w:val="0"/>
          <w:sz w:val="32"/>
          <w:szCs w:val="32"/>
        </w:rPr>
        <w:t>年我镇政府信息公开工作</w:t>
      </w:r>
      <w:r>
        <w:rPr>
          <w:rFonts w:hint="eastAsia" w:ascii="仿宋_GB2312" w:hAnsi="仿宋_GB2312" w:eastAsia="仿宋_GB2312" w:cs="仿宋_GB2312"/>
          <w:spacing w:val="8"/>
          <w:kern w:val="0"/>
          <w:sz w:val="32"/>
          <w:szCs w:val="32"/>
          <w:lang w:val="en-US" w:eastAsia="zh-CN"/>
        </w:rPr>
        <w:t>相比去年有所进步</w:t>
      </w:r>
      <w:r>
        <w:rPr>
          <w:rFonts w:hint="eastAsia" w:ascii="仿宋_GB2312" w:hAnsi="仿宋_GB2312" w:eastAsia="仿宋_GB2312" w:cs="仿宋_GB2312"/>
          <w:spacing w:val="8"/>
          <w:kern w:val="0"/>
          <w:sz w:val="32"/>
          <w:szCs w:val="32"/>
        </w:rPr>
        <w:t>,但也</w:t>
      </w:r>
      <w:r>
        <w:rPr>
          <w:rFonts w:hint="eastAsia" w:ascii="仿宋_GB2312" w:hAnsi="仿宋_GB2312" w:eastAsia="仿宋_GB2312" w:cs="仿宋_GB2312"/>
          <w:spacing w:val="8"/>
          <w:kern w:val="0"/>
          <w:sz w:val="32"/>
          <w:szCs w:val="32"/>
          <w:lang w:val="en-US" w:eastAsia="zh-CN"/>
        </w:rPr>
        <w:t>仍有不足</w:t>
      </w:r>
      <w:r>
        <w:rPr>
          <w:rFonts w:hint="eastAsia" w:ascii="仿宋_GB2312" w:hAnsi="仿宋_GB2312" w:eastAsia="仿宋_GB2312" w:cs="仿宋_GB2312"/>
          <w:spacing w:val="8"/>
          <w:kern w:val="0"/>
          <w:sz w:val="32"/>
          <w:szCs w:val="32"/>
        </w:rPr>
        <w:t>,主要表现在:</w:t>
      </w:r>
      <w:bookmarkStart w:id="2" w:name="OLE_LINK3"/>
      <w:r>
        <w:rPr>
          <w:rFonts w:hint="eastAsia" w:ascii="仿宋_GB2312" w:hAnsi="仿宋_GB2312" w:eastAsia="仿宋_GB2312" w:cs="仿宋_GB2312"/>
          <w:spacing w:val="8"/>
          <w:kern w:val="0"/>
          <w:sz w:val="32"/>
          <w:szCs w:val="32"/>
          <w:lang w:val="en-US" w:eastAsia="zh-CN"/>
        </w:rPr>
        <w:t>一</w:t>
      </w:r>
      <w:r>
        <w:rPr>
          <w:rFonts w:hint="eastAsia" w:ascii="仿宋_GB2312" w:hAnsi="仿宋_GB2312" w:eastAsia="仿宋_GB2312" w:cs="仿宋_GB2312"/>
          <w:spacing w:val="8"/>
          <w:kern w:val="0"/>
          <w:sz w:val="32"/>
          <w:szCs w:val="32"/>
        </w:rPr>
        <w:t>是</w:t>
      </w:r>
      <w:r>
        <w:rPr>
          <w:rFonts w:hint="eastAsia" w:ascii="仿宋_GB2312" w:hAnsi="仿宋_GB2312" w:eastAsia="仿宋_GB2312" w:cs="仿宋_GB2312"/>
          <w:spacing w:val="8"/>
          <w:kern w:val="0"/>
          <w:sz w:val="32"/>
          <w:szCs w:val="32"/>
          <w:lang w:val="en-US" w:eastAsia="zh-CN"/>
        </w:rPr>
        <w:t>依申请公开的工作效率仍需提升。综合办公室与其他相关科室的沟通效率不够高，其他科室配合信息公开工作的意愿仍需加强</w:t>
      </w:r>
      <w:r>
        <w:rPr>
          <w:rFonts w:hint="eastAsia" w:ascii="仿宋_GB2312" w:hAnsi="仿宋_GB2312" w:eastAsia="仿宋_GB2312" w:cs="仿宋_GB2312"/>
          <w:spacing w:val="8"/>
          <w:kern w:val="0"/>
          <w:sz w:val="32"/>
          <w:szCs w:val="32"/>
        </w:rPr>
        <w:t>。二是</w:t>
      </w:r>
      <w:r>
        <w:rPr>
          <w:rFonts w:hint="eastAsia" w:ascii="仿宋_GB2312" w:hAnsi="仿宋_GB2312" w:eastAsia="仿宋_GB2312" w:cs="仿宋_GB2312"/>
          <w:spacing w:val="8"/>
          <w:kern w:val="0"/>
          <w:sz w:val="32"/>
          <w:szCs w:val="32"/>
          <w:lang w:val="en-US" w:eastAsia="zh-CN"/>
        </w:rPr>
        <w:t>对未曾使用过的依申请公开答复理由及相关条例的熟悉程度需进一步提升，依申请公开答复告知书内容需进一步规范</w:t>
      </w:r>
      <w:r>
        <w:rPr>
          <w:rFonts w:hint="eastAsia" w:ascii="仿宋_GB2312" w:hAnsi="仿宋_GB2312" w:eastAsia="仿宋_GB2312" w:cs="仿宋_GB2312"/>
          <w:spacing w:val="8"/>
          <w:kern w:val="0"/>
          <w:sz w:val="32"/>
          <w:szCs w:val="32"/>
        </w:rPr>
        <w:t>。</w:t>
      </w:r>
      <w:bookmarkEnd w:id="2"/>
    </w:p>
    <w:p>
      <w:pPr>
        <w:widowControl/>
        <w:spacing w:line="560" w:lineRule="exact"/>
        <w:ind w:firstLine="672" w:firstLineChars="200"/>
        <w:jc w:val="left"/>
        <w:rPr>
          <w:rFonts w:hint="default" w:ascii="仿宋_GB2312" w:hAnsi="仿宋_GB2312" w:eastAsia="仿宋_GB2312" w:cs="仿宋_GB2312"/>
          <w:spacing w:val="8"/>
          <w:kern w:val="0"/>
          <w:sz w:val="32"/>
          <w:szCs w:val="32"/>
          <w:lang w:val="en-US" w:eastAsia="zh-CN"/>
        </w:rPr>
      </w:pPr>
      <w:r>
        <w:rPr>
          <w:rFonts w:hint="eastAsia" w:ascii="仿宋_GB2312" w:hAnsi="仿宋_GB2312" w:eastAsia="仿宋_GB2312" w:cs="仿宋_GB2312"/>
          <w:spacing w:val="8"/>
          <w:kern w:val="0"/>
          <w:sz w:val="32"/>
          <w:szCs w:val="32"/>
          <w:lang w:val="en-US" w:eastAsia="zh-CN"/>
        </w:rPr>
        <w:t>改进措施情况：一是建立定期的信息公开工作内部协调会制度，由综合办公室牵头，邀请相关业务科室负责人参加，通报情况、协调难点、明确职责。二是信息公开工作人员加强学习，提升业务能力。此外在最终答复前，强化审核环节，对于拟引用的条款，或涉及专业领域、敏感内容的答复，建立由综合办公室初步审核、必要时提请律师、司法所或相关业务分管领导进行合法性及内容准确性审查的多重审核机制，确保答复依据充分、表述严谨、格式规范。</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pStyle w:val="2"/>
        <w:spacing w:line="560" w:lineRule="exact"/>
        <w:rPr>
          <w:rFonts w:hint="eastAsia" w:ascii="黑体" w:hAnsi="黑体" w:eastAsia="黑体" w:cs="黑体"/>
          <w:color w:val="000000"/>
          <w:sz w:val="32"/>
          <w:szCs w:val="32"/>
        </w:rPr>
      </w:pPr>
      <w:r>
        <w:rPr>
          <w:rFonts w:ascii="宋体" w:hAnsi="宋体" w:cs="宋体"/>
          <w:spacing w:val="8"/>
          <w:kern w:val="0"/>
          <w:sz w:val="32"/>
          <w:szCs w:val="32"/>
        </w:rPr>
        <w:t>　　</w:t>
      </w:r>
      <w:r>
        <w:rPr>
          <w:rFonts w:hint="eastAsia" w:ascii="仿宋_GB2312" w:hAnsi="仿宋_GB2312" w:eastAsia="仿宋_GB2312" w:cs="仿宋_GB2312"/>
          <w:spacing w:val="8"/>
          <w:kern w:val="0"/>
          <w:sz w:val="32"/>
          <w:szCs w:val="32"/>
        </w:rPr>
        <w:t>根据《政府信息公开信息处理费管理办法》(国办函〔2020〕109号)，</w:t>
      </w:r>
      <w:bookmarkStart w:id="3" w:name="_GoBack"/>
      <w:r>
        <w:rPr>
          <w:rFonts w:hint="eastAsia" w:ascii="仿宋_GB2312" w:hAnsi="仿宋_GB2312" w:eastAsia="仿宋_GB2312" w:cs="仿宋_GB2312"/>
          <w:spacing w:val="8"/>
          <w:kern w:val="0"/>
          <w:sz w:val="32"/>
          <w:szCs w:val="32"/>
          <w:highlight w:val="none"/>
          <w:lang w:val="en-US" w:eastAsia="zh-CN"/>
        </w:rPr>
        <w:t>2025</w:t>
      </w:r>
      <w:bookmarkEnd w:id="3"/>
      <w:r>
        <w:rPr>
          <w:rFonts w:hint="eastAsia" w:ascii="仿宋_GB2312" w:hAnsi="仿宋_GB2312" w:eastAsia="仿宋_GB2312" w:cs="仿宋_GB2312"/>
          <w:spacing w:val="8"/>
          <w:kern w:val="0"/>
          <w:sz w:val="32"/>
          <w:szCs w:val="32"/>
        </w:rPr>
        <w:t>年度永乐店镇人民政府收取信息处理费情况为：发出收费通知的件数为0件，总金额为0元，实际收取的总金额为0元。</w:t>
      </w:r>
    </w:p>
    <w:p>
      <w:pPr>
        <w:spacing w:line="560" w:lineRule="exact"/>
        <w:rPr>
          <w:rFonts w:hint="eastAsia" w:ascii="黑体" w:hAnsi="黑体" w:eastAsia="黑体" w:cs="黑体"/>
          <w:color w:val="000000"/>
          <w:sz w:val="32"/>
          <w:szCs w:val="32"/>
        </w:rPr>
      </w:pPr>
    </w:p>
    <w:p>
      <w:pPr>
        <w:spacing w:line="560" w:lineRule="exact"/>
        <w:rPr>
          <w:rFonts w:hint="eastAsia" w:ascii="黑体" w:hAnsi="黑体" w:eastAsia="黑体" w:cs="黑体"/>
          <w:color w:val="00000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9B48BA"/>
    <w:rsid w:val="14FD4441"/>
    <w:rsid w:val="3E5836E7"/>
    <w:rsid w:val="454B4797"/>
    <w:rsid w:val="47596136"/>
    <w:rsid w:val="4A16201A"/>
    <w:rsid w:val="61A25E16"/>
    <w:rsid w:val="621227BD"/>
    <w:rsid w:val="621A68B8"/>
    <w:rsid w:val="6E066FDE"/>
    <w:rsid w:val="6FED3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Web)"/>
    <w:basedOn w:val="1"/>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19</TotalTime>
  <ScaleCrop>false</ScaleCrop>
  <LinksUpToDate>false</LinksUpToDate>
  <CharactersWithSpaces>0</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2026-01-05T09:55:00Z</dcterms:created>
  <dc:creator>Administrator</dc:creator>
  <cp:lastModifiedBy>Administrator</cp:lastModifiedBy>
  <dcterms:modified xsi:type="dcterms:W3CDTF">2026-01-08T09:34:07Z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CC099BD3FAA24C058A7D7911E16F2E68</vt:lpwstr>
  </property>
</Properties>
</file>