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北京市通州区统计局</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（一）主动公开</w:t>
      </w:r>
      <w:r>
        <w:rPr>
          <w:rFonts w:hint="eastAsia" w:ascii="仿宋_GB2312" w:hAnsi="仿宋_GB2312" w:eastAsia="仿宋_GB2312" w:cs="仿宋_GB2312"/>
          <w:color w:val="auto"/>
          <w:sz w:val="32"/>
          <w:szCs w:val="32"/>
          <w:lang w:eastAsia="zh-CN"/>
        </w:rPr>
        <w:t>情况</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本年度，我局严格按照《政府信息公开条例》的规定，积极推进主动公开工作。主动公开政府信息2</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条，内容涵盖政策法规、工作动态、重点领域、规划计划等方面。</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巩固现有公开渠道的基础上，依托微信公众号新媒体、市级信息网站、区级融媒体平台进行信息发布，对涉及地区群众切身利益和需要社会公众广泛知晓或者参与的重要信息均进行了及时、准确的公开。 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（二）依申请公开办理情况</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我局建立了信息公开依申请受理机制，对于公民、法人或其他组织提出的政府信息公开申请，配备专人受理，做到规范受理、及时处理、认真答复。202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年，全局共受理依申请公开件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（三）政府信息管理情况</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合实际工作，进一步完善《北京市通州区统计局政府信息主动公开全清单》和《北京市通州区统计局信息公开指南》，并按照要求发布《政府信息公开工作年度报告》。进一步健全完善决策咨询制度、政务信息发布协调机制和信息公开保密审查制度，严格政府信息管理</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，对在政府信息公开平台上发布的信息，实行逐级审核，主管领导把关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确保政务公开工作的规范运行。</w:t>
      </w:r>
      <w:r>
        <w:rPr>
          <w:rFonts w:hint="eastAsia" w:ascii="仿宋_GB2312" w:hAnsi="仿宋_GB2312" w:eastAsia="仿宋_GB2312" w:cs="仿宋_GB2312"/>
          <w:color w:val="auto"/>
          <w:sz w:val="32"/>
          <w:szCs w:val="32"/>
          <w:lang w:eastAsia="zh-CN"/>
        </w:rPr>
        <w:t>本年度共答复</w:t>
      </w:r>
      <w:r>
        <w:rPr>
          <w:rFonts w:hint="eastAsia" w:ascii="仿宋_GB2312" w:hAnsi="仿宋_GB2312" w:eastAsia="仿宋_GB2312" w:cs="仿宋_GB2312"/>
          <w:color w:val="auto"/>
          <w:sz w:val="32"/>
          <w:szCs w:val="32"/>
          <w:lang w:val="en-US" w:eastAsia="zh-CN"/>
        </w:rPr>
        <w:t>各种形式咨询591次。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）政府信息公开监督保障及教育培训情况</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了信息公开申请受理、保密审查、监督检查等一系列制度，严格了政府信息公开程序，积极探索多种监督评议方式，公开投诉电话，畅通群众来信、来电、来访诉求渠道，及时进行反馈回复，自觉接受社会各界监督，确保网站上公开的信息全面、准确。</w:t>
      </w:r>
      <w:bookmarkStart w:id="1" w:name="_GoBack"/>
      <w:bookmarkEnd w:id="1"/>
      <w:r>
        <w:rPr>
          <w:rFonts w:hint="eastAsia" w:ascii="仿宋_GB2312" w:hAnsi="仿宋_GB2312" w:eastAsia="仿宋_GB2312" w:cs="仿宋_GB2312"/>
          <w:color w:val="auto"/>
          <w:sz w:val="32"/>
          <w:szCs w:val="32"/>
        </w:rPr>
        <w:t>组织机关干部认真学习政府信息公开法规条例，增强机关干部的大局意识、法治意识、服务意识、创新意识和责任意识。通过举办政务开放日活动，深入宣传贯彻政府信息公开条例，重点围绕依申请公开流程开展咨询，提高公众对政府信息公开的认知度。</w:t>
      </w:r>
    </w:p>
    <w:p>
      <w:pPr>
        <w:keepNext w:val="0"/>
        <w:keepLines w:val="0"/>
        <w:pageBreakBefore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黑体" w:hAnsi="黑体" w:eastAsia="黑体" w:cs="黑体"/>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sz w:val="32"/>
          <w:szCs w:val="32"/>
        </w:rPr>
        <w:t>主动公开政府信息情况</w:t>
      </w:r>
    </w:p>
    <w:p>
      <w:pPr>
        <w:pStyle w:val="2"/>
        <w:spacing w:line="560" w:lineRule="exact"/>
        <w:rPr>
          <w:rFonts w:hint="eastAsia"/>
        </w:rPr>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bookmarkStart w:id="0" w:name="OLE_LINK1" w:colFirst="1" w:colLast="3"/>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ind w:firstLine="1050" w:firstLineChars="500"/>
              <w:jc w:val="left"/>
              <w:rPr>
                <w:rFonts w:hint="eastAsia"/>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 xml:space="preserve">       </w:t>
            </w: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ascii="Calibri" w:hAnsi="Calibri" w:cs="Calibri"/>
                <w:kern w:val="0"/>
                <w:szCs w:val="21"/>
                <w:lang w:bidi="ar"/>
              </w:rPr>
              <w:t> </w:t>
            </w:r>
            <w:r>
              <w:rPr>
                <w:rFonts w:hint="eastAsia" w:ascii="Calibri" w:hAnsi="Calibri" w:cs="Calibri"/>
                <w:kern w:val="0"/>
                <w:szCs w:val="21"/>
                <w:lang w:val="en-US" w:eastAsia="zh-CN" w:bidi="ar"/>
              </w:rPr>
              <w:t xml:space="preserve">          </w:t>
            </w:r>
            <w:r>
              <w:rPr>
                <w:rFonts w:hint="eastAsia"/>
                <w:lang w:val="en-US" w:eastAsia="zh-CN"/>
              </w:rPr>
              <w:t>0</w:t>
            </w:r>
          </w:p>
        </w:tc>
      </w:tr>
      <w:bookmarkEnd w:id="0"/>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ind w:firstLine="1050" w:firstLineChars="500"/>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asciiTheme="minorHAnsi" w:hAnsiTheme="minorHAnsi" w:eastAsiaTheme="minorEastAsia" w:cstheme="minorBidi"/>
                <w:kern w:val="2"/>
                <w:sz w:val="21"/>
                <w:szCs w:val="24"/>
                <w:lang w:val="en-US" w:eastAsia="zh-CN" w:bidi="ar-SA"/>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 xml:space="preserve">       </w:t>
            </w: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ind w:firstLine="1050" w:firstLineChars="500"/>
              <w:jc w:val="left"/>
              <w:rPr>
                <w:rFonts w:asciiTheme="minorHAnsi" w:hAnsiTheme="minorHAnsi" w:eastAsiaTheme="minorEastAsia" w:cstheme="minorBidi"/>
                <w:kern w:val="2"/>
                <w:sz w:val="21"/>
                <w:szCs w:val="24"/>
                <w:lang w:val="en-US" w:eastAsia="zh-CN" w:bidi="ar-SA"/>
              </w:rPr>
            </w:pPr>
            <w:r>
              <w:rPr>
                <w:rFonts w:ascii="Calibri" w:hAnsi="Calibri" w:cs="Calibri"/>
                <w:kern w:val="0"/>
                <w:szCs w:val="21"/>
                <w:lang w:bidi="ar"/>
              </w:rPr>
              <w:t> </w:t>
            </w: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 xml:space="preserve">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 xml:space="preserve">                           2</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 xml:space="preserve">                           0</w:t>
            </w:r>
          </w:p>
        </w:tc>
      </w:tr>
      <w:tr>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spacing w:line="560" w:lineRule="exact"/>
              <w:ind w:firstLine="2880" w:firstLineChars="1200"/>
              <w:rPr>
                <w:rFonts w:hint="eastAsia" w:ascii="宋体" w:eastAsiaTheme="minorEastAsia"/>
                <w:sz w:val="24"/>
                <w:lang w:val="en-US" w:eastAsia="zh-CN"/>
              </w:rPr>
            </w:pPr>
            <w:r>
              <w:rPr>
                <w:rFonts w:hint="eastAsia" w:ascii="宋体"/>
                <w:sz w:val="24"/>
                <w:lang w:val="en-US" w:eastAsia="zh-CN"/>
              </w:rPr>
              <w:t>0</w:t>
            </w:r>
          </w:p>
        </w:tc>
      </w:tr>
    </w:tbl>
    <w:p>
      <w:pPr>
        <w:pStyle w:val="2"/>
        <w:spacing w:line="560" w:lineRule="exact"/>
        <w:rPr>
          <w:rFonts w:hint="eastAsia"/>
        </w:rPr>
      </w:pPr>
    </w:p>
    <w:p>
      <w:pPr>
        <w:numPr>
          <w:ilvl w:val="0"/>
          <w:numId w:val="1"/>
        </w:numPr>
        <w:spacing w:line="560" w:lineRule="exact"/>
        <w:ind w:left="-10" w:leftChars="0" w:firstLine="640" w:firstLineChars="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7"/>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3</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5"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360" w:lineRule="auto"/>
              <w:jc w:val="distribute"/>
              <w:textAlignment w:val="auto"/>
              <w:rPr>
                <w:rFonts w:hint="eastAsia" w:ascii="Calibri" w:hAnsi="Calibri" w:cs="Calibri"/>
                <w:kern w:val="0"/>
                <w:sz w:val="20"/>
                <w:szCs w:val="20"/>
                <w:lang w:val="en-US" w:eastAsia="zh-CN" w:bidi="ar"/>
              </w:rPr>
            </w:pPr>
          </w:p>
          <w:p>
            <w:pPr>
              <w:keepNext w:val="0"/>
              <w:keepLines w:val="0"/>
              <w:pageBreakBefore w:val="0"/>
              <w:widowControl/>
              <w:kinsoku/>
              <w:wordWrap/>
              <w:overflowPunct/>
              <w:topLinePunct w:val="0"/>
              <w:autoSpaceDE/>
              <w:autoSpaceDN/>
              <w:bidi w:val="0"/>
              <w:adjustRightInd/>
              <w:snapToGrid/>
              <w:spacing w:line="360" w:lineRule="auto"/>
              <w:jc w:val="distribute"/>
              <w:textAlignment w:val="auto"/>
              <w:rPr>
                <w:rFonts w:hint="eastAsia"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asciiTheme="minorHAnsi" w:hAnsiTheme="minorHAnsi" w:eastAsiaTheme="minorEastAsia" w:cstheme="minorBidi"/>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asciiTheme="minorHAnsi" w:hAnsiTheme="minorHAnsi" w:eastAsiaTheme="minorEastAsia" w:cstheme="minorBidi"/>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3"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lang w:val="en-US" w:eastAsia="zh-CN"/>
              </w:rPr>
            </w:pPr>
            <w:r>
              <w:t> </w:t>
            </w:r>
            <w:r>
              <w:rPr>
                <w:rFonts w:hint="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both"/>
              <w:rPr>
                <w:rFonts w:ascii="Calibri" w:hAnsi="Calibri" w:cs="Calibri"/>
                <w:kern w:val="0"/>
                <w:sz w:val="20"/>
                <w:szCs w:val="20"/>
                <w:lang w:bidi="ar"/>
              </w:rPr>
            </w:pPr>
          </w:p>
          <w:p>
            <w:pPr>
              <w:widowControl/>
              <w:spacing w:line="560" w:lineRule="exact"/>
              <w:ind w:firstLine="200" w:firstLineChars="100"/>
              <w:jc w:val="both"/>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ascii="Calibri" w:hAnsi="Calibri" w:cs="Calibri"/>
                <w:kern w:val="0"/>
                <w:sz w:val="20"/>
                <w:szCs w:val="20"/>
                <w:lang w:val="en-US" w:eastAsia="zh-CN" w:bidi="ar"/>
              </w:rPr>
            </w:pPr>
          </w:p>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ind w:firstLine="200" w:firstLineChars="100"/>
              <w:rPr>
                <w:rFonts w:hint="eastAsia" w:asciiTheme="minorAscii" w:eastAsiaTheme="minorEastAsia"/>
                <w:sz w:val="20"/>
                <w:szCs w:val="20"/>
                <w:lang w:val="en-US" w:eastAsia="zh-CN"/>
              </w:rPr>
            </w:pPr>
            <w:r>
              <w:rPr>
                <w:rFonts w:hint="eastAsia" w:asciiTheme="minorAscii"/>
                <w:sz w:val="20"/>
                <w:szCs w:val="20"/>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ind w:firstLine="200" w:firstLineChars="100"/>
              <w:rPr>
                <w:rFonts w:hint="eastAsia" w:asciiTheme="minorAscii" w:eastAsiaTheme="minorEastAsia"/>
                <w:sz w:val="20"/>
                <w:szCs w:val="20"/>
                <w:lang w:val="en-US" w:eastAsia="zh-CN"/>
              </w:rPr>
            </w:pPr>
            <w:r>
              <w:rPr>
                <w:rFonts w:hint="eastAsia" w:asciiTheme="minorAscii"/>
                <w:sz w:val="20"/>
                <w:szCs w:val="20"/>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ind w:firstLine="200" w:firstLineChars="100"/>
              <w:rPr>
                <w:rFonts w:hint="eastAsia" w:asciiTheme="minorAscii" w:eastAsiaTheme="minorEastAsia"/>
                <w:sz w:val="20"/>
                <w:szCs w:val="20"/>
                <w:lang w:val="en-US" w:eastAsia="zh-CN"/>
              </w:rPr>
            </w:pPr>
            <w:r>
              <w:rPr>
                <w:rFonts w:hint="eastAsia" w:asciiTheme="minorAscii"/>
                <w:sz w:val="20"/>
                <w:szCs w:val="20"/>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ind w:firstLine="200" w:firstLineChars="100"/>
              <w:rPr>
                <w:rFonts w:hint="eastAsia" w:asciiTheme="minorAscii" w:eastAsiaTheme="minorEastAsia"/>
                <w:sz w:val="20"/>
                <w:szCs w:val="20"/>
                <w:lang w:val="en-US" w:eastAsia="zh-CN"/>
              </w:rPr>
            </w:pPr>
            <w:r>
              <w:rPr>
                <w:rFonts w:hint="eastAsia" w:asciiTheme="minorAscii"/>
                <w:sz w:val="20"/>
                <w:szCs w:val="20"/>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ind w:firstLine="200" w:firstLineChars="100"/>
              <w:rPr>
                <w:rFonts w:hint="eastAsia" w:asciiTheme="minorAscii" w:eastAsiaTheme="minorEastAsia"/>
                <w:sz w:val="20"/>
                <w:szCs w:val="20"/>
                <w:lang w:val="en-US" w:eastAsia="zh-CN"/>
              </w:rPr>
            </w:pPr>
            <w:r>
              <w:rPr>
                <w:rFonts w:hint="eastAsia" w:asciiTheme="minorAscii"/>
                <w:sz w:val="20"/>
                <w:szCs w:val="20"/>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ind w:firstLine="200" w:firstLineChars="100"/>
              <w:rPr>
                <w:rFonts w:hint="eastAsia" w:asciiTheme="minorAscii" w:eastAsiaTheme="minorEastAsia"/>
                <w:sz w:val="20"/>
                <w:szCs w:val="20"/>
                <w:lang w:val="en-US" w:eastAsia="zh-CN"/>
              </w:rPr>
            </w:pPr>
            <w:r>
              <w:rPr>
                <w:rFonts w:hint="eastAsia" w:asciiTheme="minorAscii"/>
                <w:sz w:val="20"/>
                <w:szCs w:val="20"/>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ind w:firstLine="200" w:firstLineChars="100"/>
              <w:rPr>
                <w:rFonts w:hint="eastAsia" w:asciiTheme="minorAscii" w:eastAsiaTheme="minorEastAsia"/>
                <w:sz w:val="20"/>
                <w:szCs w:val="20"/>
                <w:lang w:val="en-US" w:eastAsia="zh-CN"/>
              </w:rPr>
            </w:pPr>
            <w:r>
              <w:rPr>
                <w:rFonts w:hint="eastAsia" w:asciiTheme="minorAscii"/>
                <w:sz w:val="20"/>
                <w:szCs w:val="20"/>
                <w:lang w:val="en-US" w:eastAsia="zh-CN"/>
              </w:rPr>
              <w:t>0</w:t>
            </w:r>
          </w:p>
        </w:tc>
      </w:tr>
    </w:tbl>
    <w:p>
      <w:pPr>
        <w:pStyle w:val="2"/>
        <w:spacing w:line="560" w:lineRule="exact"/>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eastAsiaTheme="minorEastAsia"/>
                <w:sz w:val="24"/>
                <w:lang w:val="en-US" w:eastAsia="zh-CN"/>
              </w:rPr>
            </w:pPr>
            <w:r>
              <w:rPr>
                <w:rFonts w:hint="eastAsia" w:ascii="宋体"/>
                <w:sz w:val="24"/>
                <w:lang w:val="en-US" w:eastAsia="zh-CN"/>
              </w:rPr>
              <w:t>0</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2"/>
        <w:ind w:firstLine="672" w:firstLineChars="200"/>
        <w:rPr>
          <w:rFonts w:hint="eastAsia"/>
        </w:rPr>
      </w:pPr>
      <w:r>
        <w:rPr>
          <w:rFonts w:hint="eastAsia" w:ascii="仿宋_GB2312" w:hAnsi="宋体" w:eastAsia="仿宋_GB2312" w:cs="宋体"/>
          <w:spacing w:val="8"/>
          <w:kern w:val="0"/>
          <w:sz w:val="32"/>
          <w:szCs w:val="32"/>
          <w:lang w:eastAsia="zh-CN"/>
        </w:rPr>
        <w:t>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lang w:eastAsia="zh-CN"/>
        </w:rPr>
        <w:t>年，我局政府信息公开工作稳步推进，取得了一定成效，但也存在主动公开意识不强、信息公开内容和形式有待提高等问题。下一步我局采取以下措施予以改进：一是提高政府信息主动公开意识，强化政府信息公开工作的学习。二是继续加强信息公开内容审核、制度建设、规范工作流程，确保信息公开工作形成长效运行机制。三是在信息公开</w:t>
      </w:r>
      <w:r>
        <w:rPr>
          <w:rFonts w:hint="eastAsia" w:ascii="仿宋_GB2312" w:hAnsi="宋体" w:eastAsia="仿宋_GB2312" w:cs="宋体"/>
          <w:spacing w:val="8"/>
          <w:kern w:val="0"/>
          <w:sz w:val="32"/>
          <w:szCs w:val="32"/>
        </w:rPr>
        <w:t>形式</w:t>
      </w:r>
      <w:r>
        <w:rPr>
          <w:rFonts w:hint="eastAsia" w:ascii="仿宋_GB2312" w:hAnsi="宋体" w:eastAsia="仿宋_GB2312" w:cs="宋体"/>
          <w:spacing w:val="8"/>
          <w:kern w:val="0"/>
          <w:sz w:val="32"/>
          <w:szCs w:val="32"/>
          <w:lang w:eastAsia="zh-CN"/>
        </w:rPr>
        <w:t>上</w:t>
      </w:r>
      <w:r>
        <w:rPr>
          <w:rFonts w:hint="eastAsia" w:ascii="仿宋_GB2312" w:hAnsi="宋体" w:eastAsia="仿宋_GB2312" w:cs="宋体"/>
          <w:spacing w:val="8"/>
          <w:kern w:val="0"/>
          <w:sz w:val="32"/>
          <w:szCs w:val="32"/>
        </w:rPr>
        <w:t>不断加强研究探索，</w:t>
      </w:r>
      <w:r>
        <w:rPr>
          <w:rFonts w:hint="eastAsia" w:ascii="仿宋_GB2312" w:hAnsi="宋体" w:eastAsia="仿宋_GB2312" w:cs="宋体"/>
          <w:spacing w:val="8"/>
          <w:kern w:val="0"/>
          <w:sz w:val="32"/>
          <w:szCs w:val="32"/>
          <w:lang w:eastAsia="zh-CN"/>
        </w:rPr>
        <w:t>增强信息</w:t>
      </w:r>
      <w:r>
        <w:rPr>
          <w:rFonts w:hint="eastAsia" w:ascii="仿宋_GB2312" w:hAnsi="宋体" w:eastAsia="仿宋_GB2312" w:cs="宋体"/>
          <w:spacing w:val="8"/>
          <w:kern w:val="0"/>
          <w:sz w:val="32"/>
          <w:szCs w:val="32"/>
        </w:rPr>
        <w:t>可读</w:t>
      </w:r>
      <w:r>
        <w:rPr>
          <w:rFonts w:hint="eastAsia" w:ascii="仿宋_GB2312" w:hAnsi="宋体" w:eastAsia="仿宋_GB2312" w:cs="宋体"/>
          <w:spacing w:val="8"/>
          <w:kern w:val="0"/>
          <w:sz w:val="32"/>
          <w:szCs w:val="32"/>
          <w:lang w:eastAsia="zh-CN"/>
        </w:rPr>
        <w:t>性和理解性，</w:t>
      </w:r>
      <w:r>
        <w:rPr>
          <w:rFonts w:hint="eastAsia" w:ascii="仿宋_GB2312" w:hAnsi="宋体" w:eastAsia="仿宋_GB2312" w:cs="宋体"/>
          <w:spacing w:val="8"/>
          <w:kern w:val="0"/>
          <w:sz w:val="32"/>
          <w:szCs w:val="32"/>
        </w:rPr>
        <w:t>加大解读宣传力度，统筹推进</w:t>
      </w:r>
      <w:r>
        <w:rPr>
          <w:rFonts w:hint="eastAsia" w:ascii="仿宋_GB2312" w:hAnsi="宋体" w:eastAsia="仿宋_GB2312" w:cs="宋体"/>
          <w:spacing w:val="8"/>
          <w:kern w:val="0"/>
          <w:sz w:val="32"/>
          <w:szCs w:val="32"/>
          <w:lang w:eastAsia="zh-CN"/>
        </w:rPr>
        <w:t>统计</w:t>
      </w:r>
      <w:r>
        <w:rPr>
          <w:rFonts w:hint="eastAsia" w:ascii="仿宋_GB2312" w:hAnsi="宋体" w:eastAsia="仿宋_GB2312" w:cs="宋体"/>
          <w:spacing w:val="8"/>
          <w:kern w:val="0"/>
          <w:sz w:val="32"/>
          <w:szCs w:val="32"/>
        </w:rPr>
        <w:t>业务</w:t>
      </w:r>
      <w:r>
        <w:rPr>
          <w:rFonts w:hint="eastAsia" w:ascii="仿宋_GB2312" w:hAnsi="宋体" w:eastAsia="仿宋_GB2312" w:cs="宋体"/>
          <w:spacing w:val="8"/>
          <w:kern w:val="0"/>
          <w:sz w:val="32"/>
          <w:szCs w:val="32"/>
          <w:lang w:eastAsia="zh-CN"/>
        </w:rPr>
        <w:t>与政府信息</w:t>
      </w:r>
      <w:r>
        <w:rPr>
          <w:rFonts w:hint="eastAsia" w:ascii="仿宋_GB2312" w:hAnsi="宋体" w:eastAsia="仿宋_GB2312" w:cs="宋体"/>
          <w:spacing w:val="8"/>
          <w:kern w:val="0"/>
          <w:sz w:val="32"/>
          <w:szCs w:val="32"/>
        </w:rPr>
        <w:t>公开工作稳步发展，更好满足公众对政府信息的需要。</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7"/>
        <w:widowControl/>
        <w:shd w:val="clear" w:color="auto" w:fill="FFFFFF"/>
        <w:spacing w:before="0" w:beforeAutospacing="0" w:after="300" w:afterAutospacing="0"/>
        <w:ind w:firstLine="420"/>
        <w:rPr>
          <w:rFonts w:hint="eastAsia" w:ascii="仿宋_GB2312" w:hAnsi="仿宋_GB2312" w:eastAsia="仿宋_GB2312" w:cs="仿宋_GB2312"/>
          <w:color w:val="auto"/>
          <w:sz w:val="32"/>
          <w:szCs w:val="32"/>
          <w:shd w:val="clear" w:color="auto" w:fill="FFFFFF"/>
        </w:rPr>
      </w:pPr>
      <w:r>
        <w:rPr>
          <w:rFonts w:ascii="宋体" w:hAnsi="宋体" w:cs="宋体"/>
          <w:spacing w:val="8"/>
          <w:kern w:val="0"/>
          <w:sz w:val="32"/>
          <w:szCs w:val="32"/>
        </w:rPr>
        <w:t>　　</w:t>
      </w:r>
      <w:r>
        <w:rPr>
          <w:rFonts w:hint="eastAsia" w:ascii="仿宋_GB2312" w:hAnsi="仿宋_GB2312" w:eastAsia="仿宋_GB2312" w:cs="仿宋_GB2312"/>
          <w:color w:val="auto"/>
          <w:sz w:val="32"/>
          <w:szCs w:val="32"/>
          <w:shd w:val="clear" w:color="auto" w:fill="FFFFFF"/>
        </w:rPr>
        <w:t>根据《政府信息公开信息处理费管理办法》(国办函〔2020〕109号)，202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年度统计局收取信息处理费情况为：发出收费通知的件数为0件，总金额为0元，实际收取的总金额为0元。</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rPr>
        <w:t>　　北京市通州区人民政府网站网址为http://www.bjtzh.gov.cn/，如需了解更多政府信息，请登录查询。</w:t>
      </w:r>
    </w:p>
    <w:p>
      <w:pPr>
        <w:widowControl/>
        <w:spacing w:line="560" w:lineRule="exact"/>
        <w:jc w:val="left"/>
        <w:rPr>
          <w:rFonts w:hint="eastAsia" w:ascii="仿宋_GB2312" w:hAnsi="宋体" w:eastAsia="仿宋_GB2312" w:cs="宋体"/>
          <w:color w:val="9BC2E6"/>
          <w:spacing w:val="8"/>
          <w:kern w:val="0"/>
          <w:sz w:val="32"/>
          <w:szCs w:val="32"/>
        </w:rPr>
      </w:pPr>
    </w:p>
    <w:p>
      <w:pPr>
        <w:pStyle w:val="2"/>
        <w:spacing w:line="560" w:lineRule="exact"/>
        <w:rPr>
          <w:rFonts w:hint="eastAsia"/>
        </w:rPr>
      </w:pPr>
      <w:r>
        <w:rPr>
          <w:rFonts w:hint="eastAsia" w:ascii="微软雅黑" w:hAnsi="微软雅黑" w:eastAsia="微软雅黑" w:cs="宋体"/>
          <w:color w:val="404040"/>
          <w:kern w:val="0"/>
          <w:sz w:val="32"/>
          <w:szCs w:val="32"/>
        </w:rPr>
        <w:t xml:space="preserve"> </w:t>
      </w:r>
    </w:p>
    <w:p>
      <w:pPr>
        <w:pStyle w:val="2"/>
        <w:spacing w:line="560" w:lineRule="exact"/>
        <w:rPr>
          <w:rFonts w:hint="eastAsia"/>
        </w:rPr>
      </w:pPr>
    </w:p>
    <w:p>
      <w:pPr>
        <w:pStyle w:val="2"/>
        <w:spacing w:line="560" w:lineRule="exact"/>
        <w:rPr>
          <w:rFonts w:hint="eastAsia"/>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rPr>
      </w:pPr>
    </w:p>
    <w:p>
      <w:pPr>
        <w:pStyle w:val="2"/>
        <w:jc w:val="both"/>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8AB2A8-6055-4BD4-844B-0CC7FE99E1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2948240-CFC8-4135-8F09-0DF67C98F831}"/>
  </w:font>
  <w:font w:name="方正小标宋简体">
    <w:panose1 w:val="03000509000000000000"/>
    <w:charset w:val="86"/>
    <w:family w:val="auto"/>
    <w:pitch w:val="default"/>
    <w:sig w:usb0="00000001" w:usb1="080E0000" w:usb2="00000000" w:usb3="00000000" w:csb0="00040000" w:csb1="00000000"/>
    <w:embedRegular r:id="rId3" w:fontKey="{540BD5B5-4792-4CB8-B006-C9F54CA98D65}"/>
  </w:font>
  <w:font w:name="微软雅黑">
    <w:panose1 w:val="020B0503020204020204"/>
    <w:charset w:val="86"/>
    <w:family w:val="auto"/>
    <w:pitch w:val="default"/>
    <w:sig w:usb0="80000287" w:usb1="280F3C52" w:usb2="00000016" w:usb3="00000000" w:csb0="0004001F" w:csb1="00000000"/>
    <w:embedRegular r:id="rId4" w:fontKey="{EA903A81-16BC-40F9-8EDF-634F0D18D8D3}"/>
  </w:font>
  <w:font w:name="仿宋_GB2312">
    <w:panose1 w:val="02010609030101010101"/>
    <w:charset w:val="86"/>
    <w:family w:val="auto"/>
    <w:pitch w:val="default"/>
    <w:sig w:usb0="00000001" w:usb1="080E0000" w:usb2="00000000" w:usb3="00000000" w:csb0="00040000" w:csb1="00000000"/>
    <w:embedRegular r:id="rId5" w:fontKey="{E96C7B6B-8E27-4F65-B83D-B72838F14070}"/>
  </w:font>
  <w:font w:name="楷体">
    <w:panose1 w:val="02010609060101010101"/>
    <w:charset w:val="86"/>
    <w:family w:val="modern"/>
    <w:pitch w:val="default"/>
    <w:sig w:usb0="800002BF" w:usb1="38CF7CFA" w:usb2="00000016" w:usb3="00000000" w:csb0="00040001" w:csb1="00000000"/>
    <w:embedRegular r:id="rId6" w:fontKey="{DD6C93A8-3120-4618-B3DE-6198805BFB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442DB0"/>
    <w:rsid w:val="05664D5F"/>
    <w:rsid w:val="05D85E3B"/>
    <w:rsid w:val="05E4647C"/>
    <w:rsid w:val="05EA4606"/>
    <w:rsid w:val="08256AAD"/>
    <w:rsid w:val="0ABA6173"/>
    <w:rsid w:val="0AE80091"/>
    <w:rsid w:val="0B0457B7"/>
    <w:rsid w:val="0B4F5787"/>
    <w:rsid w:val="0B9064BE"/>
    <w:rsid w:val="0C082AAD"/>
    <w:rsid w:val="0CC11C92"/>
    <w:rsid w:val="0E36675F"/>
    <w:rsid w:val="0F071AFE"/>
    <w:rsid w:val="11205883"/>
    <w:rsid w:val="13002EED"/>
    <w:rsid w:val="134E798B"/>
    <w:rsid w:val="13D00C08"/>
    <w:rsid w:val="149D3F5B"/>
    <w:rsid w:val="14A80DA5"/>
    <w:rsid w:val="17D26A70"/>
    <w:rsid w:val="1A7D285E"/>
    <w:rsid w:val="1B2C1A76"/>
    <w:rsid w:val="1B543C65"/>
    <w:rsid w:val="1DBF0083"/>
    <w:rsid w:val="1FFB0140"/>
    <w:rsid w:val="24010760"/>
    <w:rsid w:val="25315F52"/>
    <w:rsid w:val="26913541"/>
    <w:rsid w:val="283E47DD"/>
    <w:rsid w:val="299920BB"/>
    <w:rsid w:val="2BEB3657"/>
    <w:rsid w:val="2CE40508"/>
    <w:rsid w:val="2D47153F"/>
    <w:rsid w:val="2D862FF9"/>
    <w:rsid w:val="2ED871E9"/>
    <w:rsid w:val="2F511825"/>
    <w:rsid w:val="30807B4B"/>
    <w:rsid w:val="30DF20EF"/>
    <w:rsid w:val="31413674"/>
    <w:rsid w:val="318DF538"/>
    <w:rsid w:val="3221404A"/>
    <w:rsid w:val="327FC6D4"/>
    <w:rsid w:val="332871CB"/>
    <w:rsid w:val="33BD4470"/>
    <w:rsid w:val="34817233"/>
    <w:rsid w:val="35323C77"/>
    <w:rsid w:val="385E5017"/>
    <w:rsid w:val="38AD1550"/>
    <w:rsid w:val="39007E21"/>
    <w:rsid w:val="3967423C"/>
    <w:rsid w:val="3B546DFA"/>
    <w:rsid w:val="3BE8322F"/>
    <w:rsid w:val="3BF015BF"/>
    <w:rsid w:val="3C246C86"/>
    <w:rsid w:val="3C6A4116"/>
    <w:rsid w:val="3F177636"/>
    <w:rsid w:val="3FD15EAF"/>
    <w:rsid w:val="40DD0B8E"/>
    <w:rsid w:val="40F47111"/>
    <w:rsid w:val="42504BCB"/>
    <w:rsid w:val="43755FC4"/>
    <w:rsid w:val="44F55CE1"/>
    <w:rsid w:val="488E7D6F"/>
    <w:rsid w:val="499E363F"/>
    <w:rsid w:val="4A751FBB"/>
    <w:rsid w:val="4B7A615D"/>
    <w:rsid w:val="4B8D4547"/>
    <w:rsid w:val="4CF21E21"/>
    <w:rsid w:val="4CF54579"/>
    <w:rsid w:val="4E767533"/>
    <w:rsid w:val="50602210"/>
    <w:rsid w:val="52305BB2"/>
    <w:rsid w:val="535D2A8E"/>
    <w:rsid w:val="537A699B"/>
    <w:rsid w:val="53A771E4"/>
    <w:rsid w:val="53D538D6"/>
    <w:rsid w:val="53F1414B"/>
    <w:rsid w:val="54E157D5"/>
    <w:rsid w:val="54FB6504"/>
    <w:rsid w:val="566E25A6"/>
    <w:rsid w:val="56980686"/>
    <w:rsid w:val="57827D96"/>
    <w:rsid w:val="584339B6"/>
    <w:rsid w:val="58721CCA"/>
    <w:rsid w:val="5B45742E"/>
    <w:rsid w:val="5B885BB0"/>
    <w:rsid w:val="5D512FE5"/>
    <w:rsid w:val="5F0C50B4"/>
    <w:rsid w:val="628544F4"/>
    <w:rsid w:val="63941218"/>
    <w:rsid w:val="661750EF"/>
    <w:rsid w:val="67201D7D"/>
    <w:rsid w:val="67384093"/>
    <w:rsid w:val="68675CA0"/>
    <w:rsid w:val="691875C8"/>
    <w:rsid w:val="6BCE2CCF"/>
    <w:rsid w:val="6C660F51"/>
    <w:rsid w:val="6C7926D4"/>
    <w:rsid w:val="6D5D5120"/>
    <w:rsid w:val="6D677B57"/>
    <w:rsid w:val="6DE128CD"/>
    <w:rsid w:val="6EAD309C"/>
    <w:rsid w:val="6FE850EB"/>
    <w:rsid w:val="74550C88"/>
    <w:rsid w:val="753C485F"/>
    <w:rsid w:val="75432B9D"/>
    <w:rsid w:val="782567A5"/>
    <w:rsid w:val="79333E39"/>
    <w:rsid w:val="7AAA0C14"/>
    <w:rsid w:val="7BDB1E9F"/>
    <w:rsid w:val="7C1C78CA"/>
    <w:rsid w:val="7C55591F"/>
    <w:rsid w:val="7ECB27F6"/>
    <w:rsid w:val="7FFA135B"/>
    <w:rsid w:val="B79B2EF7"/>
    <w:rsid w:val="EA7E8771"/>
    <w:rsid w:val="EB0BB7E6"/>
    <w:rsid w:val="FBE5CB50"/>
    <w:rsid w:val="FDEA7CF5"/>
    <w:rsid w:val="FFBE2238"/>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0"/>
    <w:rPr>
      <w:rFonts w:eastAsia="宋体"/>
      <w:bCs/>
      <w:color w:val="auto"/>
      <w:szCs w:val="24"/>
    </w:rPr>
  </w:style>
  <w:style w:type="paragraph" w:styleId="4">
    <w:name w:val="toc 3"/>
    <w:basedOn w:val="1"/>
    <w:next w:val="1"/>
    <w:semiHidden/>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5743</Words>
  <Characters>6080</Characters>
  <Lines>0</Lines>
  <Paragraphs>0</Paragraphs>
  <TotalTime>21</TotalTime>
  <ScaleCrop>false</ScaleCrop>
  <LinksUpToDate>false</LinksUpToDate>
  <CharactersWithSpaces>6343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2020-12-16T15:14:00Z</dcterms:created>
  <dc:creator>HS</dc:creator>
  <cp:lastModifiedBy>Administrator</cp:lastModifiedBy>
  <cp:lastPrinted>2026-01-04T11:17:00Z</cp:lastPrinted>
  <dcterms:modified xsi:type="dcterms:W3CDTF">2026-01-08T03:34:12Z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FE31FDA3AF9A44E7908C228B7DFF7827_13</vt:lpwstr>
  </property>
</Properties>
</file>