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6D1C0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Hlt44488104"/>
      <w:bookmarkEnd w:id="0"/>
    </w:p>
    <w:p w14:paraId="41D3B4B2">
      <w:pPr>
        <w:keepNext w:val="0"/>
        <w:keepLines w:val="0"/>
        <w:pageBreakBefore w:val="0"/>
        <w:widowControl w:val="0"/>
        <w:tabs>
          <w:tab w:val="left" w:pos="8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5C5D0AC">
      <w:pPr>
        <w:widowControl w:val="0"/>
        <w:snapToGrid w:val="0"/>
        <w:spacing w:before="561" w:beforeLines="180" w:line="1000" w:lineRule="exact"/>
        <w:jc w:val="center"/>
        <w:rPr>
          <w:rFonts w:ascii="方正小标宋简体" w:hAnsi="小标宋" w:eastAsia="方正小标宋简体" w:cs="Times New Roman"/>
          <w:color w:val="FF0000"/>
          <w:spacing w:val="-12"/>
          <w:w w:val="79"/>
          <w:kern w:val="2"/>
          <w:sz w:val="96"/>
          <w:szCs w:val="96"/>
          <w:lang w:val="en-US" w:eastAsia="zh-CN" w:bidi="ar-SA"/>
        </w:rPr>
      </w:pPr>
      <w:r>
        <w:rPr>
          <w:rFonts w:hint="eastAsia" w:ascii="方正小标宋简体" w:hAnsi="小标宋" w:eastAsia="方正小标宋简体" w:cs="方正小标宋简体"/>
          <w:color w:val="FF0000"/>
          <w:spacing w:val="-12"/>
          <w:w w:val="77"/>
          <w:kern w:val="2"/>
          <w:sz w:val="96"/>
          <w:szCs w:val="96"/>
          <w:lang w:val="en-US" w:eastAsia="zh-CN" w:bidi="ar-SA"/>
        </w:rPr>
        <w:t>北京市通州区人民政府文件</w:t>
      </w:r>
    </w:p>
    <w:p w14:paraId="72972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firstLine="640" w:firstLineChars="200"/>
        <w:jc w:val="center"/>
        <w:textAlignment w:val="auto"/>
        <w:rPr>
          <w:rFonts w:ascii="Times New Roman" w:hAnsi="Times New Roman" w:eastAsia="宋体" w:cs="Times New Roman"/>
          <w:sz w:val="32"/>
          <w:szCs w:val="28"/>
        </w:rPr>
      </w:pPr>
    </w:p>
    <w:p w14:paraId="1633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firstLine="640" w:firstLineChars="200"/>
        <w:jc w:val="center"/>
        <w:textAlignment w:val="auto"/>
        <w:rPr>
          <w:rFonts w:ascii="Times New Roman" w:hAnsi="Times New Roman" w:eastAsia="宋体" w:cs="Times New Roman"/>
          <w:sz w:val="32"/>
          <w:szCs w:val="28"/>
        </w:rPr>
      </w:pPr>
    </w:p>
    <w:p w14:paraId="34B6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00" w:lineRule="exact"/>
        <w:ind w:left="0" w:leftChars="0" w:firstLine="0" w:firstLineChars="0"/>
        <w:jc w:val="center"/>
        <w:textAlignment w:val="auto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336550</wp:posOffset>
                </wp:positionV>
                <wp:extent cx="5610860" cy="1841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860" cy="184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6.5pt;height:1.45pt;width:441.8pt;z-index:251663360;mso-width-relative:page;mso-height-relative:page;" filled="f" stroked="t" coordsize="21600,21600" o:gfxdata="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e0aL3XAAAABgEAAA8AAAAAAAAAAQAgAAAAIgAAAGRycy9kb3ducmV2&#10;LnhtbFBLAQIUABQAAAAIAIdO4kB/Gy/O/QEAAPcDAAAOAAAAAAAAAAEAIAAAACYBAABkcnMvZTJv&#10;RG9jLnhtbFBLBQYAAAAABgAGAFkBAACV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黑体" w:eastAsia="仿宋_GB2312" w:cs="仿宋_GB2312"/>
          <w:sz w:val="32"/>
          <w:szCs w:val="32"/>
        </w:rPr>
        <w:t>通政发〔202</w:t>
      </w:r>
      <w:r>
        <w:rPr>
          <w:rFonts w:hint="eastAsia" w:ascii="仿宋_GB2312" w:hAnsi="黑体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仿宋_GB2312"/>
          <w:sz w:val="32"/>
          <w:szCs w:val="32"/>
        </w:rPr>
        <w:t>〕</w:t>
      </w:r>
      <w:r>
        <w:rPr>
          <w:rFonts w:hint="eastAsia" w:ascii="仿宋_GB2312" w:hAnsi="黑体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黑体" w:eastAsia="仿宋_GB2312" w:cs="仿宋_GB2312"/>
          <w:sz w:val="32"/>
          <w:szCs w:val="32"/>
        </w:rPr>
        <w:t>号</w:t>
      </w:r>
    </w:p>
    <w:p w14:paraId="615CC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74F90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BEEF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北京市通州区人民政府</w:t>
      </w:r>
    </w:p>
    <w:p w14:paraId="031DC4A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通州区国家慢性病</w:t>
      </w:r>
    </w:p>
    <w:p w14:paraId="162280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综合防控示范区建设实施方案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》的通知</w:t>
      </w:r>
    </w:p>
    <w:p w14:paraId="7A5B1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582C5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各街道办事处，各乡、镇人民政府，区政府各委、办、局，各区属机构：</w:t>
      </w:r>
    </w:p>
    <w:p w14:paraId="49627B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   现将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《通州区国家慢性病综合防控示范区建设实施方案》印发给你们，请认真遵照执行。</w:t>
      </w:r>
    </w:p>
    <w:p w14:paraId="3B6F12D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40916E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5BB6E5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040" w:firstLineChars="1575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北京市通州区人民政府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   </w:t>
      </w:r>
    </w:p>
    <w:p w14:paraId="06B6C6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257" w:firstLineChars="1643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2026年8月24日</w:t>
      </w:r>
    </w:p>
    <w:p w14:paraId="6AEA5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（此件公开发布）</w:t>
      </w:r>
    </w:p>
    <w:p w14:paraId="277A26B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通州区国家慢性病</w:t>
      </w:r>
    </w:p>
    <w:p w14:paraId="37FF71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综合防控示范区建设实施方案</w:t>
      </w:r>
    </w:p>
    <w:p w14:paraId="57C57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3A9C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巩固通州区国家慢性病综合防控示范区（以下简称示范区）建设成果，持续推进常态化工作，根据《国家慢性病综合防控示范区建设管理办法》《国家慢性病综合防控示范区建设指标体系（2020版）》《国家慢性病综合防控示范区建设指引（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版）》，结合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通州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本方案。</w:t>
      </w:r>
    </w:p>
    <w:p w14:paraId="1F5FF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一、指导思想</w:t>
      </w:r>
    </w:p>
    <w:p w14:paraId="058FB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以习近平新时代中国特色社会主义思想为指导，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深入学习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贯彻党的二十大及历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全会精神，坚持健康优先发展战略，立足城市副中心功能定位，推动医防融合，预防和控制重大慢性病发生发展，促进经济发展和社会进步。</w:t>
      </w:r>
    </w:p>
    <w:p w14:paraId="5FE66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二、基本原则</w:t>
      </w:r>
    </w:p>
    <w:p w14:paraId="4D63E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政府主导、部门协同、社会参与，完善统筹协调机制。贯彻预防为主、医防融合方针，中西医并重，构建全链条慢性病防治体系。立足健康优先、以人为本，加强重点人群个性化干预。注重创新引领与示范带动，以信息化为支撑，全面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慢性病综合防治能力。</w:t>
      </w:r>
    </w:p>
    <w:p w14:paraId="4F6B1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三、工作目标</w:t>
      </w:r>
    </w:p>
    <w:p w14:paraId="2F12E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构建覆盖全区、公平可及、系统连续的慢性病“防、筛、管、救、治、康”全链条防控体系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全面提升居民健康水平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，持续优化健康支持性环境，不断完善全民健身设施，推动健康行为养成，提升居民重点慢性病核心知识知晓率和健康素养水平，强化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慢性病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患者健康管理，同时，推动慢性病防控与社区文化、健康城市、文明创建等工作深度融合，打造特色创新案例并推广成功经验。</w:t>
      </w:r>
    </w:p>
    <w:p w14:paraId="5F011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四、工作内容</w:t>
      </w:r>
    </w:p>
    <w:p w14:paraId="753E5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（一）政策保障</w:t>
      </w:r>
    </w:p>
    <w:p w14:paraId="4BBF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1.区政府按规划、计划提供示范区建设专项工作经费，专款专用，持续推进示范区建设。根据慢性病防控工作规划及示范区建设需求，做好示范区建设经费保障工作。（牵头部门：区卫生健康委、区财政局；责任单位：各成员单位）</w:t>
      </w:r>
    </w:p>
    <w:p w14:paraId="5092D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.有效落实各项慢性病防控工作任务。按要求完成中央转移支付地方等慢性病综合防控项目。（牵头部门：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区卫生健康委）</w:t>
      </w:r>
    </w:p>
    <w:p w14:paraId="3FC59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（二）环境支持</w:t>
      </w:r>
    </w:p>
    <w:p w14:paraId="53C5B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.实施健康细胞工程,构建全方位健康支持性环境，提升健康环境建设品质。按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照《全民健康生活方式行动健康支持性环境建设指导方案》建设健康支持性环境，数量逐年增加。</w:t>
      </w:r>
    </w:p>
    <w:p w14:paraId="581E6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1" w:name="OLE_LINK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（1）健康社区、单位、食堂、小屋（牵头部门：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各街道乡镇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、各成员单位；责任部门：区卫生健康委）</w:t>
      </w:r>
    </w:p>
    <w:p w14:paraId="7CC7B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（2）健康学校（牵头部门：区教委）</w:t>
      </w:r>
    </w:p>
    <w:p w14:paraId="15D4B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（3）健康餐厅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（包含酒店餐厅）、健康超市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（牵头部门：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区市场监管局、区文化和旅游局、区商务局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；责任单位：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各街道乡镇、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区卫生健康委）</w:t>
      </w:r>
    </w:p>
    <w:p w14:paraId="43CE5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）健康主题公园、健康步道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、健康社团、健康街区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（牵头部门：区园林绿化局、区体育局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、区城市管理委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；责任单位：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各街道乡镇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、区卫生健康委）</w:t>
      </w:r>
    </w:p>
    <w:bookmarkEnd w:id="1"/>
    <w:p w14:paraId="5F3ED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.普及公共体育设施,营造有利于体育活动的支持性环境。</w:t>
      </w:r>
    </w:p>
    <w:p w14:paraId="07ED2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（1）建设社区15分钟健身圈/农村行政村体育设施，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覆盖率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且设施完好，人均体育场地面积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达到较好标准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。（牵头部门：区体育局；责任单位：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各街道乡镇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 w14:paraId="71F81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（2）公共体育场地、设施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有条件的单位、学校体育场地免费或低收费向居民开放。（牵头部门：区体育局、区教委；责任单位：各成员单位）</w:t>
      </w:r>
    </w:p>
    <w:p w14:paraId="54FBB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.社区卫生服务中心和乡镇卫生院设置自助式健康检测点，提供个性化健康指导，为群众提供方便、可及的自助式健康检测服务。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提供个性化健康指导服务率达100%，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促进健康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信息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高效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利用。（牵头部门：区卫生健康委）</w:t>
      </w:r>
    </w:p>
    <w:p w14:paraId="4A5CF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（三）专项行动</w:t>
      </w:r>
    </w:p>
    <w:p w14:paraId="68641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.开展烟草控制,持续降低人群吸烟率和二手烟危害。</w:t>
      </w:r>
    </w:p>
    <w:p w14:paraId="00C4E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（1）建设无烟党政机关、无烟医疗卫生机构、无烟学校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，覆盖率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。（牵头部门：区卫生健康委；责任单位：各成员单位）</w:t>
      </w:r>
    </w:p>
    <w:p w14:paraId="74FD7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（2）各级医疗卫生机构开展简短戒烟服务培训并提供简短戒烟服务。（牵头部门：区卫生健康委）</w:t>
      </w:r>
    </w:p>
    <w:p w14:paraId="3FD31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（3）逐年降低15岁及以上人群吸烟率、二手烟暴露率。（牵头部门：区卫生健康委）</w:t>
      </w:r>
    </w:p>
    <w:p w14:paraId="10F1D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.开展“体重管理年”活动，预防和控制人群超重肥胖。</w:t>
      </w:r>
    </w:p>
    <w:p w14:paraId="7ACD6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（1）倡导个人掌握体重管理知识与技能。建立职工健康档案，鼓励定期体检，加强职工健康教育。（牵头部门：区卫生健康委、区总工会；责任单位：各成员单位）</w:t>
      </w:r>
    </w:p>
    <w:p w14:paraId="3A6E6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（2）倡导家庭、医疗卫生机构、学校、机关企事业单位、宾馆酒店等配置体重秤。（责任单位：各成员单位）</w:t>
      </w:r>
    </w:p>
    <w:p w14:paraId="4A48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编制和发布体重管理权威信息，营造体重管理健康氛围。推动体重管理科普宣教进家庭、进社区、进医疗卫生机构、进机关企事业单位、进宾馆、进餐馆食堂等。（牵头部门：区卫生健康委；责任单位：各成员单位）</w:t>
      </w:r>
    </w:p>
    <w:p w14:paraId="6E4DC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超重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率、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肥胖率监测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与管理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。（牵头部门：区卫生健康委）</w:t>
      </w:r>
    </w:p>
    <w:p w14:paraId="03D8E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.开展全民健身运动,提升人群身体活动水平。</w:t>
      </w:r>
    </w:p>
    <w:p w14:paraId="6AD26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（1）经常参加体育锻炼人口比例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51%，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定期开展各类健身活动。（牵头部门：区体育局；责任单位：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各街道乡镇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、各成员单位）</w:t>
      </w:r>
    </w:p>
    <w:p w14:paraId="13A93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（2）实施青少年体育活动促进计划。中小学生每天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综合体育活动不低于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小时比例达到100%。（牵头部门：区教委）</w:t>
      </w:r>
    </w:p>
    <w:p w14:paraId="43E7E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.开展“三减三健”活动，践行文明健康生活方式。</w:t>
      </w:r>
    </w:p>
    <w:p w14:paraId="21573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（1）推广适宜技术和工具，有效降低人均每日盐、油摄入量。（牵头部门：区总工会、区卫生健康委；责任单位：各成员单位）</w:t>
      </w:r>
    </w:p>
    <w:p w14:paraId="2C529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（2）儿童窝沟封闭服务覆盖率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。（牵头部门：区卫生健康委）</w:t>
      </w:r>
    </w:p>
    <w:p w14:paraId="3C56F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（四）体系整合</w:t>
      </w:r>
    </w:p>
    <w:p w14:paraId="3670C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.健全疾病预防控制机构、各级医疗卫生机构医防融合工作机制，实现不同机构间功能协同、信息互联互通。</w:t>
      </w:r>
    </w:p>
    <w:p w14:paraId="57A1B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（1）制定慢性病防控服务体系建设方案，明晰各类机构职责与要求，加强各级防控队伍能力建设，创新慢性病协同管理服务模式。强化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对基层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支援协作，提升综合防治能力。（牵头部门：区卫生健康委）</w:t>
      </w:r>
    </w:p>
    <w:p w14:paraId="68A0C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（2）建立区域卫生健康信息平台，实现专业公共卫生机构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各级医疗卫生机构之间的卫生健康信息互联共享。（牵头部门：区卫生健康委、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区政务和数据局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 w14:paraId="61886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（3）实现基本公共卫生服务居民电子健康档案和医疗机构诊疗信息共享，实现个人信息连续记录。（牵头部门：区卫生健康委）</w:t>
      </w:r>
    </w:p>
    <w:p w14:paraId="48D39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（五）健康促进</w:t>
      </w:r>
    </w:p>
    <w:p w14:paraId="6E81B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.开展健康教育和健康促进，加大健康知识传播力度，提高居民健康素养水平。</w:t>
      </w:r>
    </w:p>
    <w:p w14:paraId="3C9A3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（1）广泛开展宣传，传播慢性病防治和健康素养知识与技能。（牵头部门：区委宣传部、区融媒体中心、区卫生健康委）</w:t>
      </w:r>
    </w:p>
    <w:p w14:paraId="7ABA5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（2）居民重点慢性病核心知识知晓率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70%，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健康素养水平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。关注重点人群，提高老年人健康素养水平。（牵头部门：区卫生健康委）</w:t>
      </w:r>
    </w:p>
    <w:p w14:paraId="06F2C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（3）扩大传播慢性病防治和健康素养知识和技能范围。围绕慢性病防治主题日开展宣传。（牵头部门：区卫生健康委；责任单位：各成员单位）</w:t>
      </w:r>
    </w:p>
    <w:p w14:paraId="75273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（4）开展幼儿园、中小学校健康行为方式教育，每学期以班级为单位，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健康教育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课程≥6学时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（牵头部门：区教委）</w:t>
      </w:r>
    </w:p>
    <w:p w14:paraId="7DE85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（六）全程管理</w:t>
      </w:r>
    </w:p>
    <w:p w14:paraId="34082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.开展学生、老年人等重点人群和职工定期健康体检和健康指导，提升健康水平。</w:t>
      </w:r>
    </w:p>
    <w:p w14:paraId="0D0C4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（1）开展学生定期健康体检和指导，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体检率≥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90%，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国家学生体质健康标准达标优良率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。（牵头部门：区教委）</w:t>
      </w:r>
    </w:p>
    <w:p w14:paraId="0D679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（2）开展老年人定期健康体检和指导，65岁及以上老年人城乡社区规范健康管理服务率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65%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。（牵头部门：区卫生健康委）</w:t>
      </w:r>
    </w:p>
    <w:p w14:paraId="33A0D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（3）开展职工定期健康体检和指导。（牵头部门：区总工会、区直机关工委；责任单位：各成员单位）</w:t>
      </w:r>
    </w:p>
    <w:p w14:paraId="3CBC2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.开展心脑血管疾病、癌症、糖尿病、慢阻肺病等重大慢性病的早期发现与管理，提高重大慢性病早诊早治与管理水平。</w:t>
      </w:r>
    </w:p>
    <w:p w14:paraId="2609F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（1）医疗机构首诊测血压率100%。（牵头部门：区卫生健康委）</w:t>
      </w:r>
    </w:p>
    <w:p w14:paraId="489CD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（2）开展心脑血管疾病、重点癌症、糖尿病及其并发症、慢阻肺病等重大慢性病的筛查和早期诊断。提升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基层社区早期筛查诊断能力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。加强个人健康档案与体检信息运用，发现高危人群纳入健康管理。（牵头部门：区卫生健康委）</w:t>
      </w:r>
    </w:p>
    <w:p w14:paraId="2507F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.开展高血压、糖尿病、慢阻肺病重点慢性病规范化管理，不断提升知晓率、治疗率和控制率。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建立分级诊疗与家庭医生签约制度，开展重点慢性病规范化管理。高血压、2型糖尿病患者基层规范管理服务率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均≥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慢阻肺病患者规范健康服务率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65%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，提高治疗率和控制率。（牵头部门：区卫生健康委）</w:t>
      </w:r>
    </w:p>
    <w:p w14:paraId="0D73B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.中西医并重，发挥中医药在慢性病预防、保健、诊疗、康复中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作用。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加强中医药养生宣传与适宜技术推广，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提高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老年人中医药健康管理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。（牵头部门：区卫生健康委）</w:t>
      </w:r>
    </w:p>
    <w:p w14:paraId="21B17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（七）监测评估</w:t>
      </w:r>
    </w:p>
    <w:p w14:paraId="2D138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规范开展慢性病及相关危险因素监测，掌握重点慢性病状况、影响因素和疾病负担。开展全人群死因监测、慢性病和营养监测、心脑血管事件监测、慢阻肺病监测、肿瘤随访登记等重大慢性病登记报告工作。（牵头部门：区卫生健康委）</w:t>
      </w:r>
    </w:p>
    <w:p w14:paraId="1D601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.开展慢性病综合防控，降低重大慢性病过早死亡率。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构建分级诊疗闭环，大力普及健康生活方式，提升公众自主健康管理意识，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降低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重大慢性病过早死亡。（牵头部门：区卫生健康委）</w:t>
      </w:r>
    </w:p>
    <w:p w14:paraId="6CEDB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（八）创新引领</w:t>
      </w:r>
    </w:p>
    <w:p w14:paraId="38081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形成可复制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推广慢性病综合防控特色，与社区文化、健康城市建设、智慧城市建设、文明创建等项目有机融合，实现协同增效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形成特色案例，促进成功经验推广应用。（牵头部门：各成员单位）</w:t>
      </w:r>
    </w:p>
    <w:p w14:paraId="31E3C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五、保障措施</w:t>
      </w:r>
    </w:p>
    <w:p w14:paraId="33D02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（一）政策保障</w:t>
      </w:r>
    </w:p>
    <w:p w14:paraId="4CBCB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政府统一领导，完善慢性病防控政策和规划，健全长效机制，为慢性病综合防控提供政策支持。</w:t>
      </w:r>
    </w:p>
    <w:p w14:paraId="0CE4E5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组织保障</w:t>
      </w:r>
    </w:p>
    <w:p w14:paraId="2340B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建立示范区建设领导工作机制，各成员单位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成立组织机构，保障工作落实。</w:t>
      </w:r>
    </w:p>
    <w:p w14:paraId="09D0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（三）经费保障</w:t>
      </w:r>
    </w:p>
    <w:p w14:paraId="4F141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慢性病防控经费纳入年度财政预算，强化专项经费规范管理，支持防控工作可持续发展。</w:t>
      </w:r>
    </w:p>
    <w:p w14:paraId="125DF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（四）技术保障</w:t>
      </w:r>
    </w:p>
    <w:p w14:paraId="02829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区卫生健康委及内部相关机构慢性病专业人员队伍稳定，持续为成员单位提供技术指导与培训，提升全区慢性病防控专业化与规范化水平。</w:t>
      </w:r>
    </w:p>
    <w:p w14:paraId="285C1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六、工作要求</w:t>
      </w:r>
    </w:p>
    <w:p w14:paraId="6264E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成员单位在区委、区政府统一领导下，做到思想认识、组织领导、资金投入和工作措施“四到位”。加强信息沟通与反馈，完善内部运行与考核机制，形成常态化长效管理。建立慢性病防控专项经费专款专用、全程监管制度。持续开展健康教育与社会宣传，营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全社会支持慢性病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防控良好氛围。</w:t>
      </w:r>
    </w:p>
    <w:p w14:paraId="71162461">
      <w:pPr>
        <w:adjustRightInd w:val="0"/>
        <w:snapToGrid w:val="0"/>
        <w:spacing w:line="560" w:lineRule="exact"/>
        <w:ind w:left="1674" w:leftChars="304" w:hanging="1036" w:hangingChars="324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通州区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国家慢性病综合防控示范区建设各成员单位</w:t>
      </w:r>
    </w:p>
    <w:p w14:paraId="2754ADD8">
      <w:pPr>
        <w:adjustRightInd w:val="0"/>
        <w:snapToGrid w:val="0"/>
        <w:spacing w:line="560" w:lineRule="exact"/>
        <w:ind w:left="1674" w:leftChars="304" w:hanging="1036" w:hangingChars="324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主要职责</w:t>
      </w:r>
    </w:p>
    <w:p w14:paraId="03D20B98"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1277" w:leftChars="608" w:firstLine="195" w:firstLineChars="61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任务分解表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（各成员单位）</w:t>
      </w:r>
    </w:p>
    <w:p w14:paraId="6E92251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4054B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0122B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right="0" w:righ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                </w:t>
      </w:r>
    </w:p>
    <w:p w14:paraId="57E7828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41927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6EDEDB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BEBA84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3EF7FB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F79B59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CC7800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75B298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E8FD8C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8E37BE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2AF5C1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F44E9E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304192E">
      <w:pPr>
        <w:pStyle w:val="7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C0C6D8B">
      <w:pPr>
        <w:spacing w:line="52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007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6pt;height:0pt;width:441pt;z-index:251659264;mso-width-relative:page;mso-height-relative:page;" filled="f" stroked="t" coordsize="21600,21600" o:gfxdata="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yoaAPRAAAABAEAAA8AAAAAAAAAAQAgAAAAIgAAAGRycy9kb3ducmV2LnhtbFBLAQIU&#10;ABQAAAAIAIdO4kBgtui/+gEAAPI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抄送：区委各部、委、办，区人大办公室，区政协办公室，区法院，</w:t>
      </w:r>
    </w:p>
    <w:p w14:paraId="3C42BB2F">
      <w:pPr>
        <w:tabs>
          <w:tab w:val="left" w:pos="316"/>
        </w:tabs>
        <w:spacing w:line="520" w:lineRule="exact"/>
        <w:ind w:firstLine="1117" w:firstLineChars="39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区检察院，区各人民团体。</w:t>
      </w:r>
    </w:p>
    <w:p w14:paraId="32675026">
      <w:pPr>
        <w:spacing w:line="520" w:lineRule="exact"/>
        <w:ind w:firstLine="280" w:firstLineChars="1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</wp:posOffset>
                </wp:positionV>
                <wp:extent cx="560070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0.6pt;height:0pt;width:441pt;z-index:251660288;mso-width-relative:page;mso-height-relative:page;" filled="f" stroked="t" coordsize="21600,21600" o:gfxdata="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4e8ttMAAAAGAQAADwAAAAAAAAABACAAAAAiAAAAZHJzL2Rvd25yZXYueG1sUEsB&#10;AhQAFAAAAAgAh07iQM+Cex36AQAA8g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5600700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15pt;height:0pt;width:441pt;z-index:251661312;mso-width-relative:page;mso-height-relative:page;" filled="f" stroked="t" coordsize="21600,21600" o:gfxdata="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mR6PfSAAAABAEAAA8AAAAAAAAAAQAgAAAAIgAAAGRycy9kb3ducmV2LnhtbFBLAQIU&#10;ABQAAAAIAIdO4kCg2PlM+QEAAPIDAAAOAAAAAAAAAAEAIAAAACE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北京市通州区人民政府办公室      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202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日印发  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0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00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DC38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4813300</wp:posOffset>
              </wp:positionH>
              <wp:positionV relativeFrom="paragraph">
                <wp:posOffset>-31750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81DE8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pt;margin-top:-2.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Zpc+a9gAAAAL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81DE8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51FC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51FC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3ED4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7DDC0">
                          <w:pPr>
                            <w:pStyle w:val="5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17DDC0">
                    <w:pPr>
                      <w:pStyle w:val="5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18E746"/>
    <w:multiLevelType w:val="singleLevel"/>
    <w:tmpl w:val="6A18E746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560493"/>
    <w:rsid w:val="001F7AE7"/>
    <w:rsid w:val="002D3B01"/>
    <w:rsid w:val="003654ED"/>
    <w:rsid w:val="003C24FF"/>
    <w:rsid w:val="00645294"/>
    <w:rsid w:val="006D596E"/>
    <w:rsid w:val="006F601E"/>
    <w:rsid w:val="00737C9C"/>
    <w:rsid w:val="00761BED"/>
    <w:rsid w:val="0098585F"/>
    <w:rsid w:val="00A244D8"/>
    <w:rsid w:val="00A34D42"/>
    <w:rsid w:val="00A525F3"/>
    <w:rsid w:val="00D76B29"/>
    <w:rsid w:val="00E95A9D"/>
    <w:rsid w:val="03DF8D25"/>
    <w:rsid w:val="068070EC"/>
    <w:rsid w:val="0E200EC1"/>
    <w:rsid w:val="0ECE570B"/>
    <w:rsid w:val="0FC05415"/>
    <w:rsid w:val="11131439"/>
    <w:rsid w:val="115E6852"/>
    <w:rsid w:val="1488536E"/>
    <w:rsid w:val="15531721"/>
    <w:rsid w:val="1AF927DC"/>
    <w:rsid w:val="1B3107F2"/>
    <w:rsid w:val="1BC32A8F"/>
    <w:rsid w:val="1E331953"/>
    <w:rsid w:val="20A53730"/>
    <w:rsid w:val="20E64A81"/>
    <w:rsid w:val="241467EF"/>
    <w:rsid w:val="241E170C"/>
    <w:rsid w:val="242839A9"/>
    <w:rsid w:val="25281DAC"/>
    <w:rsid w:val="2A6F5706"/>
    <w:rsid w:val="2AF1230B"/>
    <w:rsid w:val="2C3E10BC"/>
    <w:rsid w:val="2F576BF3"/>
    <w:rsid w:val="3019323E"/>
    <w:rsid w:val="327E1A6C"/>
    <w:rsid w:val="34D447EA"/>
    <w:rsid w:val="36852A33"/>
    <w:rsid w:val="3A017084"/>
    <w:rsid w:val="3C032933"/>
    <w:rsid w:val="3D417B9E"/>
    <w:rsid w:val="3DBD6527"/>
    <w:rsid w:val="3EB42636"/>
    <w:rsid w:val="40A513DC"/>
    <w:rsid w:val="41E9396D"/>
    <w:rsid w:val="46736B84"/>
    <w:rsid w:val="49160BBC"/>
    <w:rsid w:val="4BEB2B1F"/>
    <w:rsid w:val="4C2D2990"/>
    <w:rsid w:val="4DEB6377"/>
    <w:rsid w:val="4EFDD7E0"/>
    <w:rsid w:val="506165FC"/>
    <w:rsid w:val="51AA02F7"/>
    <w:rsid w:val="54E6403E"/>
    <w:rsid w:val="57560493"/>
    <w:rsid w:val="5812508D"/>
    <w:rsid w:val="5E413D91"/>
    <w:rsid w:val="5EBB3B43"/>
    <w:rsid w:val="619D4FAC"/>
    <w:rsid w:val="62AC0A50"/>
    <w:rsid w:val="65BDBC59"/>
    <w:rsid w:val="6B80653C"/>
    <w:rsid w:val="6BCE4EB6"/>
    <w:rsid w:val="6D057BB1"/>
    <w:rsid w:val="6EFF8B8A"/>
    <w:rsid w:val="718E1415"/>
    <w:rsid w:val="71C97C49"/>
    <w:rsid w:val="72763CDD"/>
    <w:rsid w:val="77790598"/>
    <w:rsid w:val="7B9B0E9A"/>
    <w:rsid w:val="7BC41545"/>
    <w:rsid w:val="7C714739"/>
    <w:rsid w:val="7C99122A"/>
    <w:rsid w:val="7DD846FF"/>
    <w:rsid w:val="7DFA20EB"/>
    <w:rsid w:val="7F1963CD"/>
    <w:rsid w:val="9FA9B601"/>
    <w:rsid w:val="9FC790DE"/>
    <w:rsid w:val="B2DFCD8D"/>
    <w:rsid w:val="BF3D809B"/>
    <w:rsid w:val="DE9DBCE9"/>
    <w:rsid w:val="DF79CEFE"/>
    <w:rsid w:val="DFEFA88D"/>
    <w:rsid w:val="EFEB7B41"/>
    <w:rsid w:val="EFFABAAB"/>
    <w:rsid w:val="F62B6630"/>
    <w:rsid w:val="F6CBDA81"/>
    <w:rsid w:val="F78F613B"/>
    <w:rsid w:val="FDFB11CB"/>
    <w:rsid w:val="FE7F4CCE"/>
    <w:rsid w:val="FF7CB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index heading"/>
    <w:basedOn w:val="1"/>
    <w:next w:val="8"/>
    <w:qFormat/>
    <w:uiPriority w:val="0"/>
    <w:rPr>
      <w:rFonts w:ascii="Arial" w:hAnsi="Arial"/>
      <w:b/>
    </w:rPr>
  </w:style>
  <w:style w:type="paragraph" w:styleId="8">
    <w:name w:val="index 1"/>
    <w:basedOn w:val="1"/>
    <w:next w:val="1"/>
    <w:qFormat/>
    <w:uiPriority w:val="0"/>
  </w:style>
  <w:style w:type="character" w:customStyle="1" w:styleId="11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3999</Words>
  <Characters>4077</Characters>
  <Lines>38</Lines>
  <Paragraphs>10</Paragraphs>
  <TotalTime>1</TotalTime>
  <ScaleCrop>false</ScaleCrop>
  <LinksUpToDate>false</LinksUpToDate>
  <CharactersWithSpaces>4142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2026-04-11T22:24:00Z</dcterms:created>
  <dc:creator>大光</dc:creator>
  <cp:lastModifiedBy>User</cp:lastModifiedBy>
  <dcterms:modified xsi:type="dcterms:W3CDTF">2026-08-24T17:28:28Z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41D7A211669802BFFD40336A94CD25F5_43</vt:lpwstr>
  </property>
  <property fmtid="{D5CDD505-2E9C-101B-9397-08002B2CF9AE}" pid="4" name="KSOTemplateDocerSaveRecord">
    <vt:lpwstr>eyJoZGlkIjoiMDNiMTBiYmNiOTM2ZTY2YThiMGZlNmY1ZTJhZGYwOTkiLCJ1c2VySWQiOiI2MzgyMjM0MDAifQ==</vt:lpwstr>
  </property>
</Properties>
</file>