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306B54">
      <w:pPr>
        <w:keepNext w:val="0"/>
        <w:keepLines w:val="0"/>
        <w:pageBreakBefore w:val="0"/>
        <w:widowControl w:val="0"/>
        <w:tabs>
          <w:tab w:val="left" w:pos="819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640" w:firstLineChars="200"/>
        <w:jc w:val="both"/>
        <w:textAlignment w:val="auto"/>
        <w:rPr>
          <w:rFonts w:ascii="仿宋_GB2312" w:hAnsi="宋体" w:eastAsia="仿宋_GB2312" w:cs="Times New Roman"/>
          <w:kern w:val="2"/>
          <w:sz w:val="32"/>
          <w:szCs w:val="32"/>
          <w:lang w:val="en-US" w:eastAsia="zh-CN" w:bidi="ar-SA"/>
        </w:rPr>
      </w:pPr>
      <w:bookmarkStart w:id="0" w:name="_Hlt44488104"/>
      <w:bookmarkEnd w:id="0"/>
      <w:bookmarkStart w:id="1" w:name="OLE_LINK1"/>
      <w:bookmarkStart w:id="2" w:name="OLE_LINK8"/>
      <w:bookmarkStart w:id="3" w:name="OLE_LINK9"/>
    </w:p>
    <w:p w14:paraId="045ABAB6">
      <w:pPr>
        <w:keepNext w:val="0"/>
        <w:keepLines w:val="0"/>
        <w:pageBreakBefore w:val="0"/>
        <w:widowControl w:val="0"/>
        <w:tabs>
          <w:tab w:val="left" w:pos="819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640" w:firstLineChars="200"/>
        <w:jc w:val="both"/>
        <w:textAlignment w:val="auto"/>
        <w:rPr>
          <w:rFonts w:ascii="仿宋_GB2312" w:hAnsi="宋体" w:eastAsia="仿宋_GB2312" w:cs="Times New Roman"/>
          <w:kern w:val="2"/>
          <w:sz w:val="32"/>
          <w:szCs w:val="32"/>
          <w:lang w:val="en-US" w:eastAsia="zh-CN" w:bidi="ar-SA"/>
        </w:rPr>
      </w:pPr>
    </w:p>
    <w:p w14:paraId="65A73535">
      <w:pPr>
        <w:widowControl w:val="0"/>
        <w:snapToGrid w:val="0"/>
        <w:spacing w:before="561" w:beforeLines="180" w:line="1000" w:lineRule="exact"/>
        <w:jc w:val="center"/>
        <w:rPr>
          <w:rFonts w:ascii="方正小标宋简体" w:hAnsi="小标宋" w:eastAsia="方正小标宋简体" w:cs="Times New Roman"/>
          <w:color w:val="FF0000"/>
          <w:spacing w:val="-12"/>
          <w:w w:val="79"/>
          <w:kern w:val="2"/>
          <w:sz w:val="96"/>
          <w:szCs w:val="96"/>
          <w:lang w:val="en-US" w:eastAsia="zh-CN" w:bidi="ar-SA"/>
        </w:rPr>
      </w:pPr>
      <w:r>
        <w:rPr>
          <w:rFonts w:hint="eastAsia" w:ascii="方正小标宋简体" w:hAnsi="小标宋" w:eastAsia="方正小标宋简体" w:cs="方正小标宋简体"/>
          <w:color w:val="FF0000"/>
          <w:spacing w:val="-12"/>
          <w:w w:val="77"/>
          <w:kern w:val="2"/>
          <w:sz w:val="96"/>
          <w:szCs w:val="96"/>
          <w:lang w:val="en-US" w:eastAsia="zh-CN" w:bidi="ar-SA"/>
        </w:rPr>
        <w:t>北京市通州区人民政府文件</w:t>
      </w:r>
    </w:p>
    <w:p w14:paraId="41F491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640" w:firstLineChars="200"/>
        <w:jc w:val="center"/>
        <w:textAlignment w:val="auto"/>
        <w:rPr>
          <w:rFonts w:ascii="Times New Roman" w:hAnsi="Times New Roman" w:eastAsia="宋体" w:cs="Times New Roman"/>
          <w:sz w:val="32"/>
          <w:szCs w:val="28"/>
        </w:rPr>
      </w:pPr>
    </w:p>
    <w:p w14:paraId="7C9B00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640" w:firstLineChars="200"/>
        <w:jc w:val="center"/>
        <w:textAlignment w:val="auto"/>
        <w:rPr>
          <w:rFonts w:ascii="Times New Roman" w:hAnsi="Times New Roman" w:eastAsia="宋体" w:cs="Times New Roman"/>
          <w:sz w:val="32"/>
          <w:szCs w:val="28"/>
        </w:rPr>
      </w:pPr>
    </w:p>
    <w:p w14:paraId="5DF9F6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60" w:line="400" w:lineRule="exact"/>
        <w:ind w:left="0" w:leftChars="0" w:firstLine="0" w:firstLineChars="0"/>
        <w:jc w:val="center"/>
        <w:textAlignment w:val="auto"/>
        <w:rPr>
          <w:rFonts w:hint="eastAsia" w:ascii="仿宋_GB2312" w:hAnsi="黑体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336550</wp:posOffset>
                </wp:positionV>
                <wp:extent cx="5610860" cy="18415"/>
                <wp:effectExtent l="0" t="17145" r="8890" b="2159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0860" cy="18415"/>
                        </a:xfrm>
                        <a:prstGeom prst="line">
                          <a:avLst/>
                        </a:prstGeom>
                        <a:ln w="3492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26.5pt;height:1.45pt;width:441.8pt;z-index:251664384;mso-width-relative:page;mso-height-relative:page;" filled="f" stroked="t" coordsize="21600,21600" o:gfxdata="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tkQJ92QAAAAYBAAAPAAAAAAAAAAEAIAAAACIAAABkcnMvZG93&#10;bnJldi54bWxQSwECFAAUAAAACACHTuJAWjW0kf8BAAD3AwAADgAAAAAAAAABACAAAAAoAQAAZHJz&#10;L2Uyb0RvYy54bWxQSwUGAAAAAAYABgBZAQAAmQUAAAAA&#10;">
                <v:fill on="f" focussize="0,0"/>
                <v:stroke weight="2.7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黑体" w:eastAsia="仿宋_GB2312" w:cs="仿宋_GB2312"/>
          <w:sz w:val="32"/>
          <w:szCs w:val="32"/>
        </w:rPr>
        <w:t>通政发〔202</w:t>
      </w:r>
      <w:r>
        <w:rPr>
          <w:rFonts w:hint="eastAsia" w:ascii="仿宋_GB2312" w:hAnsi="黑体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黑体" w:eastAsia="仿宋_GB2312" w:cs="仿宋_GB2312"/>
          <w:sz w:val="32"/>
          <w:szCs w:val="32"/>
        </w:rPr>
        <w:t>〕</w:t>
      </w:r>
      <w:r>
        <w:rPr>
          <w:rFonts w:hint="eastAsia" w:ascii="仿宋_GB2312" w:hAnsi="黑体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黑体" w:eastAsia="仿宋_GB2312" w:cs="仿宋_GB2312"/>
          <w:sz w:val="32"/>
          <w:szCs w:val="32"/>
        </w:rPr>
        <w:t>号</w:t>
      </w:r>
    </w:p>
    <w:p w14:paraId="17907B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jc w:val="both"/>
        <w:textAlignment w:val="auto"/>
        <w:rPr>
          <w:rFonts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</w:pPr>
    </w:p>
    <w:p w14:paraId="051E5AD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eastAsia="zh-CN"/>
        </w:rPr>
      </w:pPr>
    </w:p>
    <w:p w14:paraId="2053EF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</w:pPr>
      <w:bookmarkStart w:id="9" w:name="_GoBack"/>
      <w:bookmarkEnd w:id="9"/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  <w:t>北京市通州区人民政府</w:t>
      </w:r>
    </w:p>
    <w:p w14:paraId="564671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  <w:t>关于加快推进北京城市副中心产业</w:t>
      </w:r>
    </w:p>
    <w:p w14:paraId="0D5DBE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  <w:t>高质量发展的若干</w:t>
      </w:r>
      <w:bookmarkEnd w:id="1"/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  <w:t>意见</w:t>
      </w:r>
      <w:bookmarkEnd w:id="2"/>
    </w:p>
    <w:bookmarkEnd w:id="3"/>
    <w:p w14:paraId="3F7B15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0" w:firstLineChars="200"/>
        <w:jc w:val="both"/>
        <w:textAlignment w:val="auto"/>
        <w:outlineLvl w:val="9"/>
        <w:rPr>
          <w:rFonts w:ascii="仿宋_GB2312" w:hAnsi="仿宋_GB2312" w:eastAsia="仿宋_GB2312" w:cs="仿宋_GB2312"/>
          <w:b w:val="0"/>
          <w:color w:val="000000"/>
          <w:sz w:val="31"/>
          <w:szCs w:val="31"/>
          <w:highlight w:val="none"/>
        </w:rPr>
      </w:pPr>
    </w:p>
    <w:p w14:paraId="5825E1D4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各街道办事处，各乡、镇人民政府，区政府各委、办、局，各区属机构：</w:t>
      </w:r>
    </w:p>
    <w:p w14:paraId="38277A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color w:val="000000"/>
          <w:sz w:val="32"/>
          <w:szCs w:val="32"/>
          <w:highlight w:val="none"/>
          <w:lang w:eastAsia="zh-CN"/>
        </w:rPr>
        <w:t>为深入贯彻习近平总书记对北京城市副中心系列重要讲话精神，全面落实《国务院关于支持北京城市副中心高质量发展的意见》等政策，加快建设城市副中心现代化产业体系，打造首都发展新增长极，特制定本意见。</w:t>
      </w:r>
    </w:p>
    <w:p w14:paraId="39009056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ascii="黑体" w:hAnsi="宋体" w:eastAsia="黑体" w:cs="黑体"/>
          <w:b w:val="0"/>
          <w:color w:val="000000"/>
          <w:sz w:val="32"/>
          <w:szCs w:val="32"/>
          <w:highlight w:val="none"/>
        </w:rPr>
      </w:pPr>
      <w:r>
        <w:rPr>
          <w:rFonts w:hint="eastAsia" w:ascii="黑体" w:hAnsi="宋体" w:eastAsia="黑体" w:cs="黑体"/>
          <w:b w:val="0"/>
          <w:color w:val="000000"/>
          <w:sz w:val="32"/>
          <w:szCs w:val="32"/>
          <w:highlight w:val="none"/>
          <w:lang w:eastAsia="zh-CN"/>
        </w:rPr>
        <w:t>一、聚力强链固链延链，提速产业集聚成型</w:t>
      </w:r>
    </w:p>
    <w:p w14:paraId="55DEF76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default" w:asciiTheme="minorHAnsi" w:hAnsiTheme="minorHAnsi" w:eastAsiaTheme="minorEastAsia" w:cstheme="minorBidi"/>
          <w:b w:val="0"/>
          <w:color w:val="000000"/>
          <w:sz w:val="32"/>
          <w:szCs w:val="32"/>
          <w:highlight w:val="none"/>
          <w:lang w:eastAsia="zh-CN"/>
        </w:rPr>
      </w:pPr>
      <w:bookmarkStart w:id="4" w:name="OLE_LINK2"/>
      <w:r>
        <w:rPr>
          <w:rFonts w:hint="eastAsia" w:ascii="楷体_GB2312" w:hAnsi="楷体_GB2312" w:eastAsia="楷体_GB2312" w:cs="楷体_GB2312"/>
          <w:b w:val="0"/>
          <w:color w:val="000000"/>
          <w:sz w:val="32"/>
          <w:szCs w:val="32"/>
          <w:highlight w:val="none"/>
          <w:lang w:eastAsia="zh-CN"/>
        </w:rPr>
        <w:t>（一）全周期培育优质市场主体。</w:t>
      </w:r>
      <w:bookmarkEnd w:id="4"/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支持产业载体资源集聚，完善产业全链条企业培育机制，精准扶持初创型、成长型等各类型企业发展，推动小微企业提质扩容、骨干企业做大做强。</w:t>
      </w:r>
    </w:p>
    <w:p w14:paraId="0A98FA7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  <w:highlight w:val="none"/>
          <w:lang w:eastAsia="zh-CN"/>
        </w:rPr>
        <w:t>（二）全链条推进产业集群成型。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推动产业建链补链强链，引导产业链上下游融通协作、大中小企业配套联动，强化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eastAsia="zh-CN"/>
        </w:rPr>
        <w:t>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场拓展、品牌建设，持续壮大产业集群规模与综合竞争力。</w:t>
      </w:r>
    </w:p>
    <w:p w14:paraId="55D2FD2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  <w:highlight w:val="none"/>
          <w:lang w:eastAsia="zh-CN"/>
        </w:rPr>
        <w:t>（三）多维度促进产业业态融合。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鼓励先进制造业与生产性服务业融合，推动“工业+旅游”“工业+教育”“工业+设计”融合的新兴模式。支持重点产业赛道与多业态融合联动，培育融合型新兴产业增长点。</w:t>
      </w:r>
    </w:p>
    <w:p w14:paraId="11B02E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ascii="黑体" w:hAnsi="宋体" w:eastAsia="黑体" w:cs="黑体"/>
          <w:b w:val="0"/>
          <w:color w:val="000000"/>
          <w:sz w:val="32"/>
          <w:szCs w:val="32"/>
          <w:highlight w:val="none"/>
        </w:rPr>
      </w:pPr>
      <w:r>
        <w:rPr>
          <w:rFonts w:ascii="黑体" w:hAnsi="宋体" w:eastAsia="黑体" w:cs="黑体"/>
          <w:b w:val="0"/>
          <w:color w:val="000000"/>
          <w:sz w:val="32"/>
          <w:szCs w:val="32"/>
          <w:highlight w:val="none"/>
        </w:rPr>
        <w:t>二、</w:t>
      </w:r>
      <w:r>
        <w:rPr>
          <w:rFonts w:hint="eastAsia" w:ascii="黑体" w:hAnsi="宋体" w:eastAsia="黑体" w:cs="黑体"/>
          <w:b w:val="0"/>
          <w:color w:val="000000"/>
          <w:sz w:val="32"/>
          <w:szCs w:val="32"/>
          <w:highlight w:val="none"/>
          <w:lang w:eastAsia="zh-CN"/>
        </w:rPr>
        <w:t>聚力科创数智驱动，</w:t>
      </w:r>
      <w:bookmarkStart w:id="5" w:name="OLE_LINK3"/>
      <w:r>
        <w:rPr>
          <w:rFonts w:hint="eastAsia" w:ascii="黑体" w:hAnsi="宋体" w:eastAsia="黑体" w:cs="黑体"/>
          <w:b w:val="0"/>
          <w:color w:val="000000"/>
          <w:sz w:val="32"/>
          <w:szCs w:val="32"/>
          <w:highlight w:val="none"/>
          <w:lang w:eastAsia="zh-CN"/>
        </w:rPr>
        <w:t>提升</w:t>
      </w:r>
      <w:r>
        <w:rPr>
          <w:rFonts w:ascii="黑体" w:hAnsi="宋体" w:eastAsia="黑体" w:cs="黑体"/>
          <w:b w:val="0"/>
          <w:color w:val="000000"/>
          <w:sz w:val="32"/>
          <w:szCs w:val="32"/>
          <w:highlight w:val="none"/>
        </w:rPr>
        <w:t>产业</w:t>
      </w:r>
      <w:r>
        <w:rPr>
          <w:rFonts w:hint="eastAsia" w:ascii="黑体" w:hAnsi="宋体" w:eastAsia="黑体" w:cs="黑体"/>
          <w:b w:val="0"/>
          <w:color w:val="000000"/>
          <w:sz w:val="32"/>
          <w:szCs w:val="32"/>
          <w:highlight w:val="none"/>
          <w:lang w:eastAsia="zh-CN"/>
        </w:rPr>
        <w:t>创新策源能力</w:t>
      </w:r>
      <w:bookmarkEnd w:id="5"/>
    </w:p>
    <w:p w14:paraId="44DF7D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color w:val="000000"/>
          <w:sz w:val="32"/>
          <w:szCs w:val="32"/>
          <w:highlight w:val="none"/>
        </w:rPr>
      </w:pPr>
      <w:r>
        <w:rPr>
          <w:rFonts w:ascii="楷体_GB2312" w:hAnsi="楷体_GB2312" w:eastAsia="楷体_GB2312" w:cs="楷体_GB2312"/>
          <w:b w:val="0"/>
          <w:color w:val="000000"/>
          <w:sz w:val="32"/>
          <w:szCs w:val="32"/>
          <w:highlight w:val="none"/>
        </w:rPr>
        <w:t>（</w:t>
      </w:r>
      <w:r>
        <w:rPr>
          <w:rFonts w:hint="eastAsia" w:ascii="楷体_GB2312" w:hAnsi="楷体_GB2312" w:eastAsia="楷体_GB2312" w:cs="楷体_GB2312"/>
          <w:b w:val="0"/>
          <w:color w:val="000000"/>
          <w:sz w:val="32"/>
          <w:szCs w:val="32"/>
          <w:highlight w:val="none"/>
          <w:lang w:eastAsia="zh-CN"/>
        </w:rPr>
        <w:t>四</w:t>
      </w:r>
      <w:r>
        <w:rPr>
          <w:rFonts w:ascii="楷体_GB2312" w:hAnsi="楷体_GB2312" w:eastAsia="楷体_GB2312" w:cs="楷体_GB2312"/>
          <w:b w:val="0"/>
          <w:color w:val="000000"/>
          <w:sz w:val="32"/>
          <w:szCs w:val="32"/>
          <w:highlight w:val="none"/>
        </w:rPr>
        <w:t>）</w:t>
      </w:r>
      <w:r>
        <w:rPr>
          <w:rFonts w:hint="eastAsia" w:ascii="楷体_GB2312" w:hAnsi="楷体_GB2312" w:eastAsia="楷体_GB2312" w:cs="楷体_GB2312"/>
          <w:b w:val="0"/>
          <w:color w:val="000000"/>
          <w:sz w:val="32"/>
          <w:szCs w:val="32"/>
          <w:highlight w:val="none"/>
          <w:lang w:eastAsia="zh-CN"/>
        </w:rPr>
        <w:t>以</w:t>
      </w:r>
      <w:r>
        <w:rPr>
          <w:rFonts w:hint="eastAsia" w:ascii="楷体_GB2312" w:hAnsi="楷体_GB2312" w:eastAsia="楷体_GB2312" w:cs="楷体_GB2312"/>
          <w:b w:val="0"/>
          <w:color w:val="000000"/>
          <w:sz w:val="32"/>
          <w:szCs w:val="32"/>
          <w:highlight w:val="none"/>
        </w:rPr>
        <w:t>科研攻关</w:t>
      </w:r>
      <w:r>
        <w:rPr>
          <w:rFonts w:hint="eastAsia" w:ascii="楷体_GB2312" w:hAnsi="楷体_GB2312" w:eastAsia="楷体_GB2312" w:cs="楷体_GB2312"/>
          <w:b w:val="0"/>
          <w:color w:val="000000"/>
          <w:sz w:val="32"/>
          <w:szCs w:val="32"/>
          <w:highlight w:val="none"/>
          <w:lang w:val="en-US" w:eastAsia="zh-CN"/>
        </w:rPr>
        <w:t>助推成果落地</w:t>
      </w:r>
      <w:r>
        <w:rPr>
          <w:rFonts w:ascii="楷体_GB2312" w:hAnsi="楷体_GB2312" w:eastAsia="楷体_GB2312" w:cs="楷体_GB2312"/>
          <w:b w:val="0"/>
          <w:color w:val="000000"/>
          <w:sz w:val="32"/>
          <w:szCs w:val="32"/>
          <w:highlight w:val="none"/>
        </w:rPr>
        <w:t>。</w:t>
      </w:r>
      <w:r>
        <w:rPr>
          <w:rFonts w:hint="default" w:ascii="仿宋_GB2312" w:hAnsi="仿宋_GB2312" w:eastAsia="仿宋_GB2312" w:cs="仿宋_GB2312"/>
          <w:b w:val="0"/>
          <w:color w:val="000000"/>
          <w:sz w:val="32"/>
          <w:szCs w:val="32"/>
          <w:highlight w:val="none"/>
        </w:rPr>
        <w:t>围绕数字经济、先进制造、医药健康等重点</w:t>
      </w:r>
      <w:r>
        <w:rPr>
          <w:rFonts w:hint="eastAsia" w:ascii="仿宋_GB2312" w:hAnsi="仿宋_GB2312" w:eastAsia="仿宋_GB2312" w:cs="仿宋_GB2312"/>
          <w:b w:val="0"/>
          <w:color w:val="000000"/>
          <w:sz w:val="32"/>
          <w:szCs w:val="32"/>
          <w:highlight w:val="none"/>
          <w:lang w:eastAsia="zh-CN"/>
        </w:rPr>
        <w:t>产业</w:t>
      </w:r>
      <w:r>
        <w:rPr>
          <w:rFonts w:hint="default" w:ascii="仿宋_GB2312" w:hAnsi="仿宋_GB2312" w:eastAsia="仿宋_GB2312" w:cs="仿宋_GB2312"/>
          <w:b w:val="0"/>
          <w:color w:val="000000"/>
          <w:sz w:val="32"/>
          <w:szCs w:val="32"/>
          <w:highlight w:val="none"/>
        </w:rPr>
        <w:t>，支持企业承担国家、市级重大科研专项，强化关键技术自主研发</w:t>
      </w:r>
      <w:r>
        <w:rPr>
          <w:rFonts w:hint="eastAsia" w:ascii="仿宋_GB2312" w:hAnsi="仿宋_GB2312" w:eastAsia="仿宋_GB2312" w:cs="仿宋_GB2312"/>
          <w:b w:val="0"/>
          <w:color w:val="000000"/>
          <w:sz w:val="32"/>
          <w:szCs w:val="32"/>
          <w:highlight w:val="none"/>
          <w:lang w:eastAsia="zh-CN"/>
        </w:rPr>
        <w:t>。</w:t>
      </w:r>
      <w:r>
        <w:rPr>
          <w:rFonts w:hint="default" w:ascii="仿宋_GB2312" w:hAnsi="仿宋_GB2312" w:eastAsia="仿宋_GB2312" w:cs="仿宋_GB2312"/>
          <w:b w:val="0"/>
          <w:color w:val="000000"/>
          <w:sz w:val="32"/>
          <w:szCs w:val="32"/>
          <w:highlight w:val="none"/>
        </w:rPr>
        <w:t>支持创新成果首试首用，加速科研成果落地转化、迭代</w:t>
      </w:r>
      <w:r>
        <w:rPr>
          <w:rFonts w:hint="eastAsia" w:ascii="仿宋_GB2312" w:hAnsi="仿宋_GB2312" w:eastAsia="仿宋_GB2312" w:cs="仿宋_GB2312"/>
          <w:b w:val="0"/>
          <w:color w:val="000000"/>
          <w:sz w:val="32"/>
          <w:szCs w:val="32"/>
          <w:highlight w:val="none"/>
          <w:lang w:eastAsia="zh-CN"/>
        </w:rPr>
        <w:t>熟化。</w:t>
      </w:r>
    </w:p>
    <w:p w14:paraId="09C2D2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</w:pPr>
      <w:r>
        <w:rPr>
          <w:rFonts w:ascii="楷体_GB2312" w:hAnsi="楷体_GB2312" w:eastAsia="楷体_GB2312" w:cs="楷体_GB2312"/>
          <w:b w:val="0"/>
          <w:color w:val="auto"/>
          <w:sz w:val="32"/>
          <w:szCs w:val="32"/>
          <w:highlight w:val="none"/>
        </w:rPr>
        <w:t>（</w:t>
      </w:r>
      <w:r>
        <w:rPr>
          <w:rFonts w:hint="eastAsia" w:ascii="楷体_GB2312" w:hAnsi="楷体_GB2312" w:eastAsia="楷体_GB2312" w:cs="楷体_GB2312"/>
          <w:b w:val="0"/>
          <w:color w:val="auto"/>
          <w:sz w:val="32"/>
          <w:szCs w:val="32"/>
          <w:highlight w:val="none"/>
          <w:lang w:eastAsia="zh-CN"/>
        </w:rPr>
        <w:t>五</w:t>
      </w:r>
      <w:r>
        <w:rPr>
          <w:rFonts w:ascii="楷体_GB2312" w:hAnsi="楷体_GB2312" w:eastAsia="楷体_GB2312" w:cs="楷体_GB2312"/>
          <w:b w:val="0"/>
          <w:color w:val="auto"/>
          <w:sz w:val="32"/>
          <w:szCs w:val="32"/>
          <w:highlight w:val="none"/>
        </w:rPr>
        <w:t>）</w:t>
      </w:r>
      <w:r>
        <w:rPr>
          <w:rFonts w:hint="eastAsia" w:ascii="楷体_GB2312" w:hAnsi="楷体_GB2312" w:eastAsia="楷体_GB2312" w:cs="楷体_GB2312"/>
          <w:b w:val="0"/>
          <w:color w:val="auto"/>
          <w:sz w:val="32"/>
          <w:szCs w:val="32"/>
          <w:highlight w:val="none"/>
          <w:lang w:eastAsia="zh-CN"/>
        </w:rPr>
        <w:t>以</w:t>
      </w:r>
      <w:r>
        <w:rPr>
          <w:rFonts w:hint="eastAsia" w:ascii="楷体_GB2312" w:hAnsi="楷体_GB2312" w:eastAsia="楷体_GB2312" w:cs="楷体_GB2312"/>
          <w:b w:val="0"/>
          <w:color w:val="auto"/>
          <w:sz w:val="32"/>
          <w:szCs w:val="32"/>
          <w:highlight w:val="none"/>
        </w:rPr>
        <w:t>数智转型赋能产业升级</w:t>
      </w:r>
      <w:r>
        <w:rPr>
          <w:rFonts w:ascii="楷体_GB2312" w:hAnsi="楷体_GB2312" w:eastAsia="楷体_GB2312" w:cs="楷体_GB2312"/>
          <w:b w:val="0"/>
          <w:color w:val="auto"/>
          <w:sz w:val="32"/>
          <w:szCs w:val="32"/>
          <w:highlight w:val="none"/>
        </w:rPr>
        <w:t>。</w:t>
      </w:r>
      <w:r>
        <w:rPr>
          <w:rFonts w:ascii="仿宋_GB2312" w:hAnsi="仿宋_GB2312" w:eastAsia="仿宋_GB2312" w:cs="仿宋_GB2312"/>
          <w:b w:val="0"/>
          <w:color w:val="auto"/>
          <w:sz w:val="32"/>
          <w:szCs w:val="32"/>
          <w:highlight w:val="none"/>
        </w:rPr>
        <w:t>推动企业智能化转型和数字化提升，</w:t>
      </w:r>
      <w:r>
        <w:rPr>
          <w:rFonts w:hint="eastAsia" w:ascii="仿宋_GB2312" w:hAnsi="仿宋_GB2312" w:eastAsia="仿宋_GB2312" w:cs="仿宋_GB2312"/>
          <w:b w:val="0"/>
          <w:color w:val="000000"/>
          <w:sz w:val="32"/>
          <w:szCs w:val="32"/>
          <w:highlight w:val="none"/>
        </w:rPr>
        <w:t>鼓励企业开展设备更新、工艺升级、数字赋能等产业化项目</w:t>
      </w:r>
      <w:r>
        <w:rPr>
          <w:rFonts w:hint="eastAsia" w:ascii="仿宋_GB2312" w:hAnsi="仿宋_GB2312" w:eastAsia="仿宋_GB2312" w:cs="仿宋_GB2312"/>
          <w:b w:val="0"/>
          <w:color w:val="000000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  <w:t>激活数据要素价值，对入选国家级、北京市可信数据空间项目、北京市数智标杆场景的示范应用项目给予支持。</w:t>
      </w:r>
    </w:p>
    <w:p w14:paraId="1AF314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highlight w:val="none"/>
          <w:lang w:eastAsia="zh-CN"/>
        </w:rPr>
      </w:pPr>
      <w:r>
        <w:rPr>
          <w:rFonts w:ascii="楷体_GB2312" w:hAnsi="楷体_GB2312" w:eastAsia="楷体_GB2312" w:cs="楷体_GB2312"/>
          <w:b w:val="0"/>
          <w:color w:val="000000"/>
          <w:sz w:val="32"/>
          <w:szCs w:val="32"/>
          <w:highlight w:val="none"/>
        </w:rPr>
        <w:t>（</w:t>
      </w:r>
      <w:r>
        <w:rPr>
          <w:rFonts w:hint="eastAsia" w:ascii="楷体_GB2312" w:hAnsi="楷体_GB2312" w:eastAsia="楷体_GB2312" w:cs="楷体_GB2312"/>
          <w:b w:val="0"/>
          <w:color w:val="000000"/>
          <w:sz w:val="32"/>
          <w:szCs w:val="32"/>
          <w:highlight w:val="none"/>
          <w:lang w:eastAsia="zh-CN"/>
        </w:rPr>
        <w:t>六</w:t>
      </w:r>
      <w:r>
        <w:rPr>
          <w:rFonts w:ascii="楷体_GB2312" w:hAnsi="楷体_GB2312" w:eastAsia="楷体_GB2312" w:cs="楷体_GB2312"/>
          <w:b w:val="0"/>
          <w:color w:val="000000"/>
          <w:sz w:val="32"/>
          <w:szCs w:val="32"/>
          <w:highlight w:val="none"/>
        </w:rPr>
        <w:t>）</w:t>
      </w:r>
      <w:r>
        <w:rPr>
          <w:rFonts w:hint="eastAsia" w:ascii="楷体_GB2312" w:hAnsi="楷体_GB2312" w:eastAsia="楷体_GB2312" w:cs="楷体_GB2312"/>
          <w:b w:val="0"/>
          <w:color w:val="000000"/>
          <w:sz w:val="32"/>
          <w:szCs w:val="32"/>
          <w:highlight w:val="none"/>
          <w:lang w:eastAsia="zh-CN"/>
        </w:rPr>
        <w:t>以</w:t>
      </w:r>
      <w:r>
        <w:rPr>
          <w:rFonts w:hint="eastAsia" w:ascii="楷体_GB2312" w:hAnsi="楷体_GB2312" w:eastAsia="楷体_GB2312" w:cs="楷体_GB2312"/>
          <w:b w:val="0"/>
          <w:color w:val="000000"/>
          <w:sz w:val="32"/>
          <w:szCs w:val="32"/>
          <w:highlight w:val="none"/>
        </w:rPr>
        <w:t>平台载体集聚创新资源</w:t>
      </w:r>
      <w:r>
        <w:rPr>
          <w:rFonts w:ascii="楷体_GB2312" w:hAnsi="楷体_GB2312" w:eastAsia="楷体_GB2312" w:cs="楷体_GB2312"/>
          <w:b w:val="0"/>
          <w:color w:val="000000"/>
          <w:sz w:val="32"/>
          <w:szCs w:val="32"/>
          <w:highlight w:val="none"/>
        </w:rPr>
        <w:t>。</w:t>
      </w:r>
      <w:r>
        <w:rPr>
          <w:rFonts w:hint="eastAsia" w:ascii="仿宋_GB2312" w:hAnsi="仿宋_GB2312" w:eastAsia="仿宋_GB2312" w:cs="仿宋_GB2312"/>
          <w:b w:val="0"/>
          <w:color w:val="000000"/>
          <w:sz w:val="32"/>
          <w:szCs w:val="32"/>
          <w:highlight w:val="none"/>
        </w:rPr>
        <w:t>强化企业创新主体地位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highlight w:val="none"/>
          <w:lang w:eastAsia="zh-CN"/>
        </w:rPr>
        <w:t>支持建设</w:t>
      </w:r>
      <w:r>
        <w:rPr>
          <w:rFonts w:ascii="仿宋_GB2312" w:hAnsi="仿宋_GB2312" w:eastAsia="仿宋_GB2312" w:cs="仿宋_GB2312"/>
          <w:b w:val="0"/>
          <w:color w:val="auto"/>
          <w:sz w:val="32"/>
          <w:szCs w:val="32"/>
          <w:highlight w:val="none"/>
        </w:rPr>
        <w:t>产业孵化平台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highlight w:val="none"/>
          <w:lang w:eastAsia="zh-CN"/>
        </w:rPr>
        <w:t>、共性技术平台、概念验证中心、中试平台等创新平台，提供研发测试、设计、认证、打样和概念验证等服务，推动原创性、颠覆性技术成果就地孵化。</w:t>
      </w:r>
    </w:p>
    <w:p w14:paraId="1BCD000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  <w:highlight w:val="none"/>
          <w:lang w:val="en-US" w:eastAsia="zh-CN"/>
        </w:rPr>
        <w:t>（七）以技术攻关突破产业瓶颈。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以“AI+”深度融合为抓手，</w:t>
      </w:r>
      <w:r>
        <w:rPr>
          <w:rFonts w:hint="eastAsia" w:ascii="仿宋_GB2312" w:hAnsi="仿宋_GB2312" w:eastAsia="仿宋_GB2312" w:cs="仿宋_GB2312"/>
          <w:b w:val="0"/>
          <w:color w:val="000000"/>
          <w:sz w:val="32"/>
          <w:szCs w:val="32"/>
          <w:highlight w:val="none"/>
          <w:lang w:eastAsia="zh-CN"/>
        </w:rPr>
        <w:t>鼓励</w:t>
      </w:r>
      <w:r>
        <w:rPr>
          <w:rFonts w:hint="eastAsia" w:ascii="仿宋_GB2312" w:hAnsi="仿宋_GB2312" w:eastAsia="仿宋_GB2312" w:cs="仿宋_GB2312"/>
          <w:b w:val="0"/>
          <w:bCs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企业参与“卡脖子”技术与国产替代项目攻关，承担“揭榜挂帅”创新任务。支持企业落地算力模型应用，</w:t>
      </w:r>
      <w:r>
        <w:rPr>
          <w:rFonts w:hint="eastAsia" w:ascii="仿宋_GB2312" w:hAnsi="仿宋_GB2312" w:eastAsia="仿宋_GB2312" w:cs="仿宋_GB2312"/>
          <w:b w:val="0"/>
          <w:color w:val="000000"/>
          <w:sz w:val="32"/>
          <w:szCs w:val="32"/>
          <w:highlight w:val="none"/>
          <w:lang w:eastAsia="zh-CN"/>
        </w:rPr>
        <w:t>强化人工智能赋能千行百业。</w:t>
      </w:r>
    </w:p>
    <w:p w14:paraId="38C75F5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outlineLvl w:val="9"/>
        <w:rPr>
          <w:rFonts w:ascii="楷体_GB2312" w:hAnsi="楷体_GB2312" w:eastAsia="楷体_GB2312" w:cs="楷体_GB2312"/>
          <w:b w:val="0"/>
          <w:color w:val="auto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 w:val="0"/>
          <w:bCs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（八）以</w:t>
      </w:r>
      <w:r>
        <w:rPr>
          <w:rFonts w:hint="eastAsia" w:ascii="楷体_GB2312" w:hAnsi="楷体_GB2312" w:eastAsia="楷体_GB2312" w:cs="楷体_GB2312"/>
          <w:b w:val="0"/>
          <w:color w:val="auto"/>
          <w:sz w:val="32"/>
          <w:szCs w:val="32"/>
          <w:highlight w:val="none"/>
        </w:rPr>
        <w:t>绿色转型培育低碳动能</w:t>
      </w:r>
      <w:r>
        <w:rPr>
          <w:rFonts w:ascii="楷体_GB2312" w:hAnsi="楷体_GB2312" w:eastAsia="楷体_GB2312" w:cs="楷体_GB2312"/>
          <w:b w:val="0"/>
          <w:color w:val="auto"/>
          <w:sz w:val="32"/>
          <w:szCs w:val="32"/>
          <w:highlight w:val="none"/>
        </w:rPr>
        <w:t>。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shd w:val="clear" w:color="auto" w:fill="auto"/>
        </w:rPr>
        <w:t>引导企业完善全流程碳足迹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shd w:val="clear" w:color="auto" w:fill="auto"/>
          <w:lang w:eastAsia="zh-CN"/>
        </w:rPr>
        <w:t>管理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shd w:val="clear" w:color="auto" w:fill="auto"/>
        </w:rPr>
        <w:t>，支持企业碳减排变现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。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shd w:val="clear" w:color="auto" w:fill="auto"/>
          <w:lang w:eastAsia="zh-CN"/>
        </w:rPr>
        <w:t>鼓励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shd w:val="clear" w:color="auto" w:fill="auto"/>
          <w:lang w:val="en-US" w:eastAsia="zh-CN"/>
        </w:rPr>
        <w:t>建设分布式光伏、生物质能源及储能等新能源项目，加速产业绿色低碳、零碳转型升级。</w:t>
      </w:r>
    </w:p>
    <w:p w14:paraId="6182B5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color w:val="000000"/>
          <w:sz w:val="32"/>
          <w:szCs w:val="32"/>
          <w:highlight w:val="none"/>
          <w:lang w:eastAsia="zh-CN"/>
        </w:rPr>
        <w:t>三、聚力特色培优育强，提高产业竞争实力</w:t>
      </w:r>
    </w:p>
    <w:p w14:paraId="3288E3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2"/>
          <w:highlight w:val="none"/>
          <w:lang w:eastAsia="zh-CN"/>
        </w:rPr>
        <w:t>（九）深耕</w:t>
      </w:r>
      <w:r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2"/>
          <w:highlight w:val="none"/>
          <w:lang w:val="en-US" w:eastAsia="zh-CN"/>
        </w:rPr>
        <w:t>文旅融合业态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  <w:t>。支持丰富夜间演艺、文博展览、文创市集、新品首发、研学旅行等消费场景，打造非遗传承、文娱体验特色空间，落地专业化赛事运营、户外运动项目。</w:t>
      </w:r>
    </w:p>
    <w:p w14:paraId="689453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2"/>
          <w:highlight w:val="none"/>
          <w:lang w:val="en-US" w:eastAsia="zh-CN"/>
        </w:rPr>
        <w:t>（十）</w:t>
      </w:r>
      <w:bookmarkStart w:id="6" w:name="OLE_LINK5"/>
      <w:r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2"/>
          <w:highlight w:val="none"/>
          <w:lang w:val="en-US" w:eastAsia="zh-CN"/>
        </w:rPr>
        <w:t>提升商务服务能级</w:t>
      </w:r>
      <w:bookmarkEnd w:id="6"/>
      <w:r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2"/>
          <w:highlight w:val="none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  <w:t>推进国际化消费环境建设，聚力首店经济、夜间经济集聚发展。支持发展智慧冷链、统仓统配、绿色智慧物流；鼓励建设便民综合体与社区便民网点，夯实商贸服务底盘。</w:t>
      </w:r>
    </w:p>
    <w:p w14:paraId="6382CA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2"/>
          <w:highlight w:val="none"/>
          <w:lang w:val="en-US" w:eastAsia="zh-CN"/>
        </w:rPr>
        <w:t>（十一）加速医药健康发展。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  <w:t>支持创新药、前沿关键技术、高端医疗器械、美丽健康等领域研发创新和特色化发展。培育公共服务平台与专业服务机构。强化医产协同创新，支持多层次协同创新合作，吸引全产业链优质主体集聚。</w:t>
      </w:r>
    </w:p>
    <w:p w14:paraId="024C56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2"/>
          <w:highlight w:val="none"/>
          <w:lang w:val="en-US" w:eastAsia="zh-CN"/>
        </w:rPr>
        <w:t>（十二）夯实现代农业</w:t>
      </w:r>
      <w:bookmarkStart w:id="7" w:name="OLE_LINK4"/>
      <w:r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2"/>
          <w:highlight w:val="none"/>
          <w:lang w:val="en-US" w:eastAsia="zh-CN"/>
        </w:rPr>
        <w:t>质效。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  <w:t>支持企业打造“育繁推一体化”“产供销一体化”发展模式，带动种业创新链、种植业产业链协同发展。</w:t>
      </w:r>
      <w:bookmarkEnd w:id="7"/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  <w:t>因地制宜发展特色农业，支持特色农业品牌建设。</w:t>
      </w:r>
    </w:p>
    <w:p w14:paraId="3DF88F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ascii="楷体_GB2312" w:hAnsi="楷体_GB2312" w:eastAsia="楷体_GB2312" w:cs="楷体_GB2312"/>
          <w:b w:val="0"/>
          <w:bCs w:val="0"/>
          <w:color w:val="000000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2"/>
          <w:highlight w:val="none"/>
          <w:lang w:val="en-US" w:eastAsia="zh-CN"/>
        </w:rPr>
        <w:t>（十三）做强网络视听产业。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  <w:t>鼓励</w:t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  <w:t>超高清、XR虚拟制作、人工智能、云计算等技术研发创新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  <w:t>，加强</w:t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  <w:t>超高清视听场景应用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  <w:t>。</w:t>
      </w:r>
    </w:p>
    <w:p w14:paraId="55B938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ascii="楷体_GB2312" w:hAnsi="楷体_GB2312" w:eastAsia="楷体_GB2312" w:cs="楷体_GB2312"/>
          <w:b w:val="0"/>
          <w:bCs w:val="0"/>
          <w:color w:val="000000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2"/>
          <w:highlight w:val="none"/>
          <w:lang w:val="en-US" w:eastAsia="zh-CN"/>
        </w:rPr>
        <w:t>（十四）培育电竞新兴业态。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  <w:t>加快发展文化新质生产力，构建“游戏电竞+文旅”产业生态，支持电竞俱乐部、引进国际职业电竞赛事、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精品游戏创作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  <w:t>规模化发展。</w:t>
      </w:r>
    </w:p>
    <w:p w14:paraId="552E37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default" w:ascii="仿宋_GB2312" w:hAnsi="仿宋_GB2312" w:eastAsia="仿宋_GB2312" w:cs="仿宋_GB2312"/>
          <w:b w:val="0"/>
          <w:color w:val="000000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 w:val="0"/>
          <w:color w:val="000000"/>
          <w:sz w:val="32"/>
          <w:szCs w:val="32"/>
          <w:highlight w:val="none"/>
          <w:lang w:eastAsia="zh-CN"/>
        </w:rPr>
        <w:t>（十五）做优做细</w:t>
      </w:r>
      <w:r>
        <w:rPr>
          <w:rFonts w:hint="eastAsia" w:ascii="楷体_GB2312" w:hAnsi="楷体_GB2312" w:eastAsia="楷体_GB2312" w:cs="楷体_GB2312"/>
          <w:b w:val="0"/>
          <w:color w:val="000000"/>
          <w:sz w:val="32"/>
          <w:szCs w:val="32"/>
          <w:highlight w:val="none"/>
        </w:rPr>
        <w:t>设计产业。</w:t>
      </w:r>
      <w:r>
        <w:rPr>
          <w:rFonts w:hint="eastAsia" w:ascii="仿宋_GB2312" w:hAnsi="仿宋_GB2312" w:eastAsia="仿宋_GB2312" w:cs="仿宋_GB2312"/>
          <w:b w:val="0"/>
          <w:color w:val="000000"/>
          <w:sz w:val="32"/>
          <w:szCs w:val="32"/>
          <w:highlight w:val="none"/>
          <w:lang w:eastAsia="zh-CN"/>
        </w:rPr>
        <w:t>聚焦</w:t>
      </w:r>
      <w:r>
        <w:rPr>
          <w:rFonts w:hint="default" w:ascii="仿宋_GB2312" w:hAnsi="仿宋_GB2312" w:eastAsia="仿宋_GB2312" w:cs="仿宋_GB2312"/>
          <w:b w:val="0"/>
          <w:color w:val="000000"/>
          <w:sz w:val="32"/>
          <w:szCs w:val="32"/>
          <w:highlight w:val="none"/>
        </w:rPr>
        <w:t>时尚设计、城市设计、工业设计及数字创意等</w:t>
      </w:r>
      <w:r>
        <w:rPr>
          <w:rFonts w:hint="eastAsia" w:ascii="仿宋_GB2312" w:hAnsi="仿宋_GB2312" w:eastAsia="仿宋_GB2312" w:cs="仿宋_GB2312"/>
          <w:b w:val="0"/>
          <w:color w:val="000000"/>
          <w:sz w:val="32"/>
          <w:szCs w:val="32"/>
          <w:highlight w:val="none"/>
          <w:lang w:eastAsia="zh-CN"/>
        </w:rPr>
        <w:t>重点方向</w:t>
      </w:r>
      <w:r>
        <w:rPr>
          <w:rFonts w:hint="default" w:ascii="仿宋_GB2312" w:hAnsi="仿宋_GB2312" w:eastAsia="仿宋_GB2312" w:cs="仿宋_GB2312"/>
          <w:b w:val="0"/>
          <w:color w:val="000000"/>
          <w:sz w:val="32"/>
          <w:szCs w:val="32"/>
          <w:highlight w:val="none"/>
        </w:rPr>
        <w:t>，</w:t>
      </w:r>
      <w:r>
        <w:rPr>
          <w:rFonts w:hint="eastAsia" w:ascii="仿宋_GB2312" w:hAnsi="仿宋_GB2312" w:eastAsia="仿宋_GB2312" w:cs="仿宋_GB2312"/>
          <w:b w:val="0"/>
          <w:color w:val="000000"/>
          <w:sz w:val="32"/>
          <w:szCs w:val="32"/>
          <w:highlight w:val="none"/>
          <w:lang w:eastAsia="zh-CN"/>
        </w:rPr>
        <w:t>支持落地</w:t>
      </w:r>
      <w:r>
        <w:rPr>
          <w:rFonts w:hint="default" w:ascii="仿宋_GB2312" w:hAnsi="仿宋_GB2312" w:eastAsia="仿宋_GB2312" w:cs="仿宋_GB2312"/>
          <w:b w:val="0"/>
          <w:color w:val="000000"/>
          <w:sz w:val="32"/>
          <w:szCs w:val="32"/>
          <w:highlight w:val="none"/>
        </w:rPr>
        <w:t>新型示范项目，构建国际化设计产业生态，打造全球设计产业高地。</w:t>
      </w:r>
    </w:p>
    <w:p w14:paraId="6C531E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eastAsia="仿宋_GB2312" w:asciiTheme="minorHAnsi" w:hAnsiTheme="minorHAnsi" w:cstheme="minorBidi"/>
          <w:b w:val="0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 w:val="0"/>
          <w:color w:val="000000"/>
          <w:sz w:val="32"/>
          <w:szCs w:val="32"/>
          <w:highlight w:val="none"/>
          <w:lang w:eastAsia="zh-CN"/>
        </w:rPr>
        <w:t>（十六）壮大数字广告产业。</w:t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  <w:t>发挥数字广告业在促进消费、引领创新塑造品牌、传播文化等方面的重要作用，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  <w:t>支持</w:t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  <w:t>数字广告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  <w:t>机构、</w:t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  <w:t>产业园区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  <w:t>规模化发展。</w:t>
      </w:r>
    </w:p>
    <w:p w14:paraId="6A9CB5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ascii="黑体" w:hAnsi="宋体" w:eastAsia="黑体" w:cs="黑体"/>
          <w:b w:val="0"/>
          <w:color w:val="000000"/>
          <w:sz w:val="32"/>
          <w:szCs w:val="32"/>
          <w:highlight w:val="none"/>
        </w:rPr>
      </w:pPr>
      <w:r>
        <w:rPr>
          <w:rFonts w:hint="eastAsia" w:ascii="黑体" w:hAnsi="宋体" w:eastAsia="黑体" w:cs="黑体"/>
          <w:b w:val="0"/>
          <w:color w:val="000000"/>
          <w:sz w:val="32"/>
          <w:szCs w:val="32"/>
          <w:highlight w:val="none"/>
          <w:lang w:eastAsia="zh-CN"/>
        </w:rPr>
        <w:t>四</w:t>
      </w:r>
      <w:r>
        <w:rPr>
          <w:rFonts w:ascii="黑体" w:hAnsi="宋体" w:eastAsia="黑体" w:cs="黑体"/>
          <w:b w:val="0"/>
          <w:color w:val="000000"/>
          <w:sz w:val="32"/>
          <w:szCs w:val="32"/>
          <w:highlight w:val="none"/>
        </w:rPr>
        <w:t>、</w:t>
      </w:r>
      <w:r>
        <w:rPr>
          <w:rFonts w:hint="eastAsia" w:ascii="黑体" w:hAnsi="宋体" w:eastAsia="黑体" w:cs="黑体"/>
          <w:b w:val="0"/>
          <w:color w:val="000000"/>
          <w:sz w:val="32"/>
          <w:szCs w:val="32"/>
          <w:highlight w:val="none"/>
          <w:lang w:eastAsia="zh-CN"/>
        </w:rPr>
        <w:t>聚力优化服务供给，厚植</w:t>
      </w:r>
      <w:r>
        <w:rPr>
          <w:rFonts w:hint="eastAsia" w:ascii="黑体" w:hAnsi="宋体" w:eastAsia="黑体" w:cs="黑体"/>
          <w:b w:val="0"/>
          <w:color w:val="000000"/>
          <w:sz w:val="32"/>
          <w:szCs w:val="32"/>
          <w:highlight w:val="none"/>
        </w:rPr>
        <w:t>产业生态体系</w:t>
      </w:r>
    </w:p>
    <w:p w14:paraId="306FAC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color w:val="000000"/>
          <w:sz w:val="32"/>
          <w:szCs w:val="32"/>
          <w:highlight w:val="none"/>
        </w:rPr>
      </w:pPr>
      <w:r>
        <w:rPr>
          <w:rFonts w:ascii="楷体_GB2312" w:hAnsi="楷体_GB2312" w:eastAsia="楷体_GB2312" w:cs="楷体_GB2312"/>
          <w:b w:val="0"/>
          <w:color w:val="000000"/>
          <w:sz w:val="32"/>
          <w:szCs w:val="32"/>
          <w:highlight w:val="none"/>
        </w:rPr>
        <w:t>（</w:t>
      </w:r>
      <w:r>
        <w:rPr>
          <w:rFonts w:hint="eastAsia" w:ascii="楷体_GB2312" w:hAnsi="楷体_GB2312" w:eastAsia="楷体_GB2312" w:cs="楷体_GB2312"/>
          <w:b w:val="0"/>
          <w:color w:val="000000"/>
          <w:sz w:val="32"/>
          <w:szCs w:val="32"/>
          <w:highlight w:val="none"/>
          <w:lang w:eastAsia="zh-CN"/>
        </w:rPr>
        <w:t>十七</w:t>
      </w:r>
      <w:r>
        <w:rPr>
          <w:rFonts w:ascii="楷体_GB2312" w:hAnsi="楷体_GB2312" w:eastAsia="楷体_GB2312" w:cs="楷体_GB2312"/>
          <w:b w:val="0"/>
          <w:color w:val="000000"/>
          <w:sz w:val="32"/>
          <w:szCs w:val="32"/>
          <w:highlight w:val="none"/>
        </w:rPr>
        <w:t>）</w:t>
      </w:r>
      <w:r>
        <w:rPr>
          <w:rFonts w:hint="eastAsia" w:ascii="楷体_GB2312" w:hAnsi="楷体_GB2312" w:eastAsia="楷体_GB2312" w:cs="楷体_GB2312"/>
          <w:b w:val="0"/>
          <w:color w:val="000000"/>
          <w:sz w:val="32"/>
          <w:szCs w:val="32"/>
          <w:highlight w:val="none"/>
          <w:lang w:eastAsia="zh-CN"/>
        </w:rPr>
        <w:t>迭代优化</w:t>
      </w:r>
      <w:r>
        <w:rPr>
          <w:rFonts w:ascii="楷体_GB2312" w:hAnsi="楷体_GB2312" w:eastAsia="楷体_GB2312" w:cs="楷体_GB2312"/>
          <w:b w:val="0"/>
          <w:color w:val="000000"/>
          <w:sz w:val="32"/>
          <w:szCs w:val="32"/>
          <w:highlight w:val="none"/>
        </w:rPr>
        <w:t>营商</w:t>
      </w:r>
      <w:r>
        <w:rPr>
          <w:rFonts w:hint="eastAsia" w:ascii="楷体_GB2312" w:hAnsi="楷体_GB2312" w:eastAsia="楷体_GB2312" w:cs="楷体_GB2312"/>
          <w:b w:val="0"/>
          <w:color w:val="000000"/>
          <w:sz w:val="32"/>
          <w:szCs w:val="32"/>
          <w:highlight w:val="none"/>
          <w:lang w:eastAsia="zh-CN"/>
        </w:rPr>
        <w:t>环境</w:t>
      </w:r>
      <w:r>
        <w:rPr>
          <w:rFonts w:ascii="楷体_GB2312" w:hAnsi="楷体_GB2312" w:eastAsia="楷体_GB2312" w:cs="楷体_GB2312"/>
          <w:b w:val="0"/>
          <w:color w:val="000000"/>
          <w:sz w:val="32"/>
          <w:szCs w:val="32"/>
          <w:highlight w:val="none"/>
        </w:rPr>
        <w:t>。</w:t>
      </w:r>
      <w:r>
        <w:rPr>
          <w:rFonts w:hint="eastAsia" w:ascii="仿宋_GB2312" w:hAnsi="仿宋_GB2312" w:eastAsia="仿宋_GB2312" w:cs="仿宋_GB2312"/>
          <w:b w:val="0"/>
          <w:color w:val="000000"/>
          <w:sz w:val="32"/>
          <w:szCs w:val="32"/>
          <w:highlight w:val="none"/>
        </w:rPr>
        <w:t>推行惠企政策精准快兑，实现政策直享、服务直达、诉求直通。畅通政务服务审批绿色通道，提供全程代办、并联审批等服务。完善重点企业服务机制，精准解决企业诉求。鼓励企业主办、承办高质量产业大会、创新大赛等品牌活动，营造产业发展良好氛围。</w:t>
      </w:r>
    </w:p>
    <w:p w14:paraId="56FEE6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ascii="仿宋_GB2312" w:hAnsi="仿宋_GB2312" w:eastAsia="仿宋_GB2312" w:cs="仿宋_GB2312"/>
          <w:b w:val="0"/>
          <w:color w:val="000000"/>
          <w:sz w:val="32"/>
          <w:szCs w:val="32"/>
          <w:highlight w:val="none"/>
        </w:rPr>
      </w:pPr>
      <w:r>
        <w:rPr>
          <w:rFonts w:ascii="楷体_GB2312" w:hAnsi="楷体_GB2312" w:eastAsia="楷体_GB2312" w:cs="楷体_GB2312"/>
          <w:b w:val="0"/>
          <w:color w:val="000000"/>
          <w:sz w:val="32"/>
          <w:szCs w:val="32"/>
          <w:highlight w:val="none"/>
        </w:rPr>
        <w:t>（</w:t>
      </w:r>
      <w:r>
        <w:rPr>
          <w:rFonts w:hint="eastAsia" w:ascii="楷体_GB2312" w:hAnsi="楷体_GB2312" w:eastAsia="楷体_GB2312" w:cs="楷体_GB2312"/>
          <w:b w:val="0"/>
          <w:color w:val="000000"/>
          <w:sz w:val="32"/>
          <w:szCs w:val="32"/>
          <w:highlight w:val="none"/>
          <w:lang w:eastAsia="zh-CN"/>
        </w:rPr>
        <w:t>十八</w:t>
      </w:r>
      <w:r>
        <w:rPr>
          <w:rFonts w:ascii="楷体_GB2312" w:hAnsi="楷体_GB2312" w:eastAsia="楷体_GB2312" w:cs="楷体_GB2312"/>
          <w:b w:val="0"/>
          <w:color w:val="000000"/>
          <w:sz w:val="32"/>
          <w:szCs w:val="32"/>
          <w:highlight w:val="none"/>
        </w:rPr>
        <w:t>）</w:t>
      </w:r>
      <w:r>
        <w:rPr>
          <w:rFonts w:hint="eastAsia" w:ascii="楷体_GB2312" w:hAnsi="楷体_GB2312" w:eastAsia="楷体_GB2312" w:cs="楷体_GB2312"/>
          <w:b w:val="0"/>
          <w:color w:val="000000"/>
          <w:sz w:val="32"/>
          <w:szCs w:val="32"/>
          <w:highlight w:val="none"/>
          <w:lang w:eastAsia="zh-CN"/>
        </w:rPr>
        <w:t>多维建设</w:t>
      </w:r>
      <w:r>
        <w:rPr>
          <w:rFonts w:ascii="楷体_GB2312" w:hAnsi="楷体_GB2312" w:eastAsia="楷体_GB2312" w:cs="楷体_GB2312"/>
          <w:b w:val="0"/>
          <w:color w:val="000000"/>
          <w:sz w:val="32"/>
          <w:szCs w:val="32"/>
          <w:highlight w:val="none"/>
        </w:rPr>
        <w:t>场景</w:t>
      </w:r>
      <w:r>
        <w:rPr>
          <w:rFonts w:hint="eastAsia" w:ascii="楷体_GB2312" w:hAnsi="楷体_GB2312" w:eastAsia="楷体_GB2312" w:cs="楷体_GB2312"/>
          <w:b w:val="0"/>
          <w:color w:val="000000"/>
          <w:sz w:val="32"/>
          <w:szCs w:val="32"/>
          <w:highlight w:val="none"/>
          <w:lang w:eastAsia="zh-CN"/>
        </w:rPr>
        <w:t>资源</w:t>
      </w:r>
      <w:r>
        <w:rPr>
          <w:rFonts w:ascii="楷体_GB2312" w:hAnsi="楷体_GB2312" w:eastAsia="楷体_GB2312" w:cs="楷体_GB2312"/>
          <w:b w:val="0"/>
          <w:color w:val="000000"/>
          <w:sz w:val="32"/>
          <w:szCs w:val="32"/>
          <w:highlight w:val="none"/>
        </w:rPr>
        <w:t>。</w:t>
      </w:r>
      <w:r>
        <w:rPr>
          <w:rFonts w:hint="eastAsia" w:ascii="仿宋_GB2312" w:hAnsi="仿宋_GB2312" w:eastAsia="仿宋_GB2312" w:cs="仿宋_GB2312"/>
          <w:b w:val="0"/>
          <w:color w:val="000000"/>
          <w:sz w:val="32"/>
          <w:szCs w:val="32"/>
          <w:highlight w:val="none"/>
        </w:rPr>
        <w:t>支持企业依托人工智能、6G、网络安全、大数据、云计算等先进数字技术，打造信息安全、数据要素、自动驾驶等应用示范标杆场景</w:t>
      </w:r>
      <w:r>
        <w:rPr>
          <w:rFonts w:hint="eastAsia" w:ascii="仿宋_GB2312" w:hAnsi="仿宋_GB2312" w:eastAsia="仿宋_GB2312" w:cs="仿宋_GB2312"/>
          <w:b w:val="0"/>
          <w:color w:val="000000"/>
          <w:sz w:val="32"/>
          <w:szCs w:val="32"/>
          <w:highlight w:val="none"/>
          <w:lang w:eastAsia="zh-CN"/>
        </w:rPr>
        <w:t>。支持项目以场景驱动</w:t>
      </w:r>
      <w:r>
        <w:rPr>
          <w:rFonts w:hint="eastAsia" w:ascii="仿宋_GB2312" w:hAnsi="仿宋_GB2312" w:eastAsia="仿宋_GB2312" w:cs="仿宋_GB2312"/>
          <w:b w:val="0"/>
          <w:color w:val="000000"/>
          <w:sz w:val="32"/>
          <w:szCs w:val="32"/>
          <w:highlight w:val="none"/>
        </w:rPr>
        <w:t>技术迭代和成果转化、实现新技术新产品落地验证或</w:t>
      </w:r>
      <w:r>
        <w:rPr>
          <w:rFonts w:hint="eastAsia" w:ascii="仿宋_GB2312" w:hAnsi="仿宋_GB2312" w:eastAsia="仿宋_GB2312" w:cs="仿宋_GB2312"/>
          <w:b w:val="0"/>
          <w:color w:val="000000"/>
          <w:sz w:val="32"/>
          <w:szCs w:val="32"/>
          <w:highlight w:val="none"/>
          <w:lang w:eastAsia="zh-CN"/>
        </w:rPr>
        <w:t>规模化</w:t>
      </w:r>
      <w:r>
        <w:rPr>
          <w:rFonts w:hint="eastAsia" w:ascii="仿宋_GB2312" w:hAnsi="仿宋_GB2312" w:eastAsia="仿宋_GB2312" w:cs="仿宋_GB2312"/>
          <w:b w:val="0"/>
          <w:color w:val="000000"/>
          <w:sz w:val="32"/>
          <w:szCs w:val="32"/>
          <w:highlight w:val="none"/>
        </w:rPr>
        <w:t>应用。</w:t>
      </w:r>
    </w:p>
    <w:p w14:paraId="743BAA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ascii="仿宋_GB2312" w:hAnsi="仿宋_GB2312" w:eastAsia="仿宋_GB2312" w:cs="仿宋_GB2312"/>
          <w:b w:val="0"/>
          <w:color w:val="000000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2"/>
          <w:highlight w:val="none"/>
          <w:lang w:eastAsia="zh-CN"/>
        </w:rPr>
        <w:t>（十九）</w:t>
      </w:r>
      <w:bookmarkStart w:id="8" w:name="OLE_LINK6"/>
      <w:r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2"/>
          <w:highlight w:val="none"/>
          <w:lang w:eastAsia="zh-CN"/>
        </w:rPr>
        <w:t>扩容</w:t>
      </w:r>
      <w:r>
        <w:rPr>
          <w:rFonts w:ascii="楷体_GB2312" w:hAnsi="楷体_GB2312" w:eastAsia="楷体_GB2312" w:cs="楷体_GB2312"/>
          <w:b w:val="0"/>
          <w:color w:val="000000"/>
          <w:sz w:val="32"/>
          <w:szCs w:val="32"/>
          <w:highlight w:val="none"/>
        </w:rPr>
        <w:t>产业</w:t>
      </w:r>
      <w:r>
        <w:rPr>
          <w:rFonts w:hint="eastAsia" w:ascii="楷体_GB2312" w:hAnsi="楷体_GB2312" w:eastAsia="楷体_GB2312" w:cs="楷体_GB2312"/>
          <w:b w:val="0"/>
          <w:color w:val="000000"/>
          <w:sz w:val="32"/>
          <w:szCs w:val="32"/>
          <w:highlight w:val="none"/>
          <w:lang w:eastAsia="zh-CN"/>
        </w:rPr>
        <w:t>落地</w:t>
      </w:r>
      <w:bookmarkEnd w:id="8"/>
      <w:r>
        <w:rPr>
          <w:rFonts w:hint="eastAsia" w:ascii="楷体_GB2312" w:hAnsi="楷体_GB2312" w:eastAsia="楷体_GB2312" w:cs="楷体_GB2312"/>
          <w:b w:val="0"/>
          <w:color w:val="000000"/>
          <w:sz w:val="32"/>
          <w:szCs w:val="32"/>
          <w:highlight w:val="none"/>
          <w:lang w:eastAsia="zh-CN"/>
        </w:rPr>
        <w:t>空间</w:t>
      </w:r>
      <w:r>
        <w:rPr>
          <w:rFonts w:ascii="楷体_GB2312" w:hAnsi="楷体_GB2312" w:eastAsia="楷体_GB2312" w:cs="楷体_GB2312"/>
          <w:b w:val="0"/>
          <w:color w:val="000000"/>
          <w:sz w:val="32"/>
          <w:szCs w:val="32"/>
          <w:highlight w:val="none"/>
        </w:rPr>
        <w:t>。</w:t>
      </w:r>
      <w:r>
        <w:rPr>
          <w:rFonts w:hint="eastAsia" w:ascii="仿宋_GB2312" w:eastAsia="仿宋_GB2312" w:hAnsiTheme="minorHAnsi" w:cstheme="minorBidi"/>
          <w:b w:val="0"/>
          <w:color w:val="auto"/>
          <w:sz w:val="32"/>
          <w:szCs w:val="32"/>
          <w:highlight w:val="none"/>
          <w:lang w:eastAsia="zh-CN"/>
        </w:rPr>
        <w:t>依托北京城市副中心要素市场化配置综合改革试点，鼓励采用长期租赁、先租后让、弹性年期供应等方式供应产业用地，</w:t>
      </w:r>
      <w:r>
        <w:rPr>
          <w:rFonts w:hint="eastAsia" w:ascii="仿宋_GB2312" w:eastAsia="仿宋_GB2312" w:cstheme="minorBidi"/>
          <w:b w:val="0"/>
          <w:color w:val="auto"/>
          <w:sz w:val="32"/>
          <w:szCs w:val="32"/>
          <w:highlight w:val="none"/>
          <w:lang w:eastAsia="zh-CN"/>
        </w:rPr>
        <w:t>支撑重点</w:t>
      </w:r>
      <w:r>
        <w:rPr>
          <w:rFonts w:hint="eastAsia" w:ascii="仿宋_GB2312" w:eastAsia="仿宋_GB2312" w:hAnsiTheme="minorHAnsi" w:cstheme="minorBidi"/>
          <w:b w:val="0"/>
          <w:color w:val="auto"/>
          <w:sz w:val="32"/>
          <w:szCs w:val="32"/>
          <w:highlight w:val="none"/>
          <w:lang w:eastAsia="zh-CN"/>
        </w:rPr>
        <w:t>产业集聚发展。</w:t>
      </w:r>
    </w:p>
    <w:p w14:paraId="0C0EF9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default" w:ascii="仿宋_GB2312" w:hAnsi="仿宋_GB2312" w:eastAsia="仿宋_GB2312" w:cs="仿宋_GB2312"/>
          <w:b w:val="0"/>
          <w:color w:val="auto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2"/>
          <w:highlight w:val="none"/>
          <w:lang w:eastAsia="zh-CN"/>
        </w:rPr>
        <w:t>（二十）发挥标准引领作用。</w:t>
      </w:r>
      <w:r>
        <w:rPr>
          <w:rFonts w:ascii="仿宋_GB2312" w:hAnsi="仿宋_GB2312" w:eastAsia="仿宋_GB2312" w:cs="仿宋_GB2312"/>
          <w:b w:val="0"/>
          <w:color w:val="auto"/>
          <w:sz w:val="32"/>
          <w:szCs w:val="32"/>
          <w:highlight w:val="none"/>
        </w:rPr>
        <w:t>鼓</w:t>
      </w:r>
      <w:r>
        <w:rPr>
          <w:rFonts w:hint="default" w:ascii="仿宋_GB2312" w:hAnsi="仿宋_GB2312" w:eastAsia="仿宋_GB2312" w:cs="仿宋_GB2312"/>
          <w:b w:val="0"/>
          <w:color w:val="auto"/>
          <w:sz w:val="32"/>
          <w:szCs w:val="32"/>
          <w:highlight w:val="none"/>
        </w:rPr>
        <w:t>励企业参与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highlight w:val="none"/>
          <w:lang w:eastAsia="zh-CN"/>
        </w:rPr>
        <w:t>产业领域</w:t>
      </w:r>
      <w:r>
        <w:rPr>
          <w:rFonts w:hint="default" w:ascii="仿宋_GB2312" w:hAnsi="仿宋_GB2312" w:eastAsia="仿宋_GB2312" w:cs="仿宋_GB2312"/>
          <w:b w:val="0"/>
          <w:color w:val="auto"/>
          <w:sz w:val="32"/>
          <w:szCs w:val="32"/>
          <w:highlight w:val="none"/>
        </w:rPr>
        <w:t>国际标准、国家标准、行业标准、地方标准、团体标准研制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highlight w:val="none"/>
          <w:lang w:eastAsia="zh-CN"/>
        </w:rPr>
        <w:t>。</w:t>
      </w:r>
    </w:p>
    <w:p w14:paraId="48AAF0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default" w:ascii="仿宋_GB2312" w:hAnsi="仿宋_GB2312" w:eastAsia="仿宋_GB2312" w:cs="仿宋_GB2312"/>
          <w:b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highlight w:val="none"/>
          <w:lang w:eastAsia="zh-CN"/>
        </w:rPr>
        <w:t>（二十一）创新打造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highlight w:val="none"/>
        </w:rPr>
        <w:t>OPC生态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highlight w:val="none"/>
          <w:lang w:eastAsia="zh-CN"/>
        </w:rPr>
        <w:t>。</w:t>
      </w:r>
      <w:r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  <w:t>鼓励园区、孵化器打造OPC生态社区，提供工商、税务、法律等一站式服务。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支持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数智创新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OPC围绕文旅、设计、商务、政务、医药健康等领域打造高质量数据集，探索数据要素统计核算与资产评估，激活数据资产价值。</w:t>
      </w:r>
    </w:p>
    <w:p w14:paraId="66D19BEC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30" w:firstLine="0" w:firstLineChars="0"/>
        <w:jc w:val="both"/>
        <w:textAlignment w:val="auto"/>
        <w:outlineLvl w:val="9"/>
        <w:rPr>
          <w:rFonts w:ascii="黑体" w:hAnsi="宋体" w:eastAsia="黑体" w:cs="黑体"/>
          <w:b w:val="0"/>
          <w:color w:val="000000"/>
          <w:sz w:val="32"/>
          <w:szCs w:val="32"/>
          <w:highlight w:val="none"/>
        </w:rPr>
      </w:pPr>
      <w:r>
        <w:rPr>
          <w:rFonts w:hint="eastAsia" w:ascii="黑体" w:hAnsi="宋体" w:eastAsia="黑体" w:cs="黑体"/>
          <w:b w:val="0"/>
          <w:color w:val="000000"/>
          <w:sz w:val="32"/>
          <w:szCs w:val="32"/>
          <w:highlight w:val="none"/>
          <w:lang w:eastAsia="zh-CN"/>
        </w:rPr>
        <w:t>五、聚力</w:t>
      </w:r>
      <w:r>
        <w:rPr>
          <w:rFonts w:hint="eastAsia" w:ascii="黑体" w:hAnsi="宋体" w:eastAsia="黑体" w:cs="黑体"/>
          <w:b w:val="0"/>
          <w:color w:val="000000"/>
          <w:sz w:val="32"/>
          <w:szCs w:val="32"/>
          <w:highlight w:val="none"/>
        </w:rPr>
        <w:t>金融</w:t>
      </w:r>
      <w:r>
        <w:rPr>
          <w:rFonts w:hint="eastAsia" w:ascii="黑体" w:hAnsi="宋体" w:eastAsia="黑体" w:cs="黑体"/>
          <w:b w:val="0"/>
          <w:color w:val="000000"/>
          <w:sz w:val="32"/>
          <w:szCs w:val="32"/>
          <w:highlight w:val="none"/>
          <w:lang w:eastAsia="zh-CN"/>
        </w:rPr>
        <w:t>资本赋能，</w:t>
      </w:r>
      <w:r>
        <w:rPr>
          <w:rFonts w:hint="eastAsia" w:ascii="黑体" w:hAnsi="宋体" w:eastAsia="黑体" w:cs="黑体"/>
          <w:b w:val="0"/>
          <w:color w:val="000000"/>
          <w:sz w:val="32"/>
          <w:szCs w:val="32"/>
          <w:highlight w:val="none"/>
        </w:rPr>
        <w:t>筑牢产业</w:t>
      </w:r>
      <w:r>
        <w:rPr>
          <w:rFonts w:hint="eastAsia" w:ascii="黑体" w:hAnsi="宋体" w:eastAsia="黑体" w:cs="黑体"/>
          <w:b w:val="0"/>
          <w:color w:val="000000"/>
          <w:sz w:val="32"/>
          <w:szCs w:val="32"/>
          <w:highlight w:val="none"/>
          <w:lang w:eastAsia="zh-CN"/>
        </w:rPr>
        <w:t>发展</w:t>
      </w:r>
      <w:r>
        <w:rPr>
          <w:rFonts w:hint="eastAsia" w:ascii="黑体" w:hAnsi="宋体" w:eastAsia="黑体" w:cs="黑体"/>
          <w:b w:val="0"/>
          <w:color w:val="000000"/>
          <w:sz w:val="32"/>
          <w:szCs w:val="32"/>
          <w:highlight w:val="none"/>
        </w:rPr>
        <w:t>资金保障</w:t>
      </w:r>
    </w:p>
    <w:p w14:paraId="5C5BDCA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仿宋_GB2312" w:eastAsia="仿宋_GB2312" w:hAnsiTheme="minorHAnsi" w:cstheme="minorBidi"/>
          <w:b w:val="0"/>
          <w:sz w:val="32"/>
          <w:szCs w:val="32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b w:val="0"/>
          <w:color w:val="000000"/>
          <w:sz w:val="32"/>
          <w:szCs w:val="32"/>
          <w:highlight w:val="none"/>
          <w:lang w:eastAsia="zh-CN"/>
        </w:rPr>
        <w:t>（二十二）鼓励金融业务创新。</w:t>
      </w:r>
      <w:r>
        <w:rPr>
          <w:rFonts w:hint="eastAsia" w:ascii="仿宋_GB2312" w:eastAsia="仿宋_GB2312" w:hAnsiTheme="minorHAnsi" w:cstheme="minorBidi"/>
          <w:b w:val="0"/>
          <w:color w:val="auto"/>
          <w:sz w:val="32"/>
          <w:szCs w:val="32"/>
          <w:highlight w:val="none"/>
          <w:lang w:eastAsia="zh-CN"/>
        </w:rPr>
        <w:t>鼓励开展资本要素创新举措“揭榜挂帅”</w:t>
      </w:r>
      <w:r>
        <w:rPr>
          <w:rFonts w:hint="eastAsia" w:ascii="仿宋_GB2312" w:eastAsia="仿宋_GB2312" w:cstheme="minorBidi"/>
          <w:b w:val="0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eastAsia="仿宋_GB2312" w:cstheme="minorBidi"/>
          <w:b w:val="0"/>
          <w:sz w:val="32"/>
          <w:szCs w:val="32"/>
          <w:highlight w:val="none"/>
          <w:lang w:eastAsia="zh-CN"/>
        </w:rPr>
        <w:t>支持</w:t>
      </w:r>
      <w:r>
        <w:rPr>
          <w:rFonts w:hint="eastAsia" w:ascii="仿宋_GB2312" w:eastAsia="仿宋_GB2312" w:hAnsiTheme="minorHAnsi" w:cstheme="minorBidi"/>
          <w:b w:val="0"/>
          <w:color w:val="auto"/>
          <w:sz w:val="32"/>
          <w:szCs w:val="32"/>
          <w:highlight w:val="none"/>
          <w:lang w:eastAsia="zh-CN"/>
        </w:rPr>
        <w:t>在信托、商业共保体、投贷联动等资本要素改革领域开展新业务。</w:t>
      </w:r>
      <w:r>
        <w:rPr>
          <w:rFonts w:hint="eastAsia" w:ascii="仿宋_GB2312" w:eastAsia="仿宋_GB2312" w:hAnsiTheme="minorHAnsi" w:cstheme="minorBidi"/>
          <w:b w:val="0"/>
          <w:sz w:val="32"/>
          <w:szCs w:val="32"/>
          <w:highlight w:val="none"/>
          <w:lang w:eastAsia="zh-CN"/>
        </w:rPr>
        <w:t>鼓励银行、信托、证券、期货、保险资产管理机构</w:t>
      </w:r>
      <w:r>
        <w:rPr>
          <w:rFonts w:hint="eastAsia" w:ascii="仿宋_GB2312" w:eastAsia="仿宋_GB2312" w:cstheme="minorBidi"/>
          <w:b w:val="0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eastAsia="仿宋_GB2312" w:hAnsiTheme="minorHAnsi" w:cstheme="minorBidi"/>
          <w:b w:val="0"/>
          <w:sz w:val="32"/>
          <w:szCs w:val="32"/>
          <w:highlight w:val="none"/>
          <w:lang w:eastAsia="zh-CN"/>
        </w:rPr>
        <w:t>金融资产投资公司等优质机构拓宽业务规模。鼓励壮大耐心资本，支持私募股权基金“募投管退”。</w:t>
      </w:r>
    </w:p>
    <w:p w14:paraId="5C03B66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b w:val="0"/>
          <w:color w:val="000000"/>
          <w:sz w:val="32"/>
          <w:szCs w:val="32"/>
          <w:highlight w:val="none"/>
          <w:lang w:eastAsia="zh-CN"/>
        </w:rPr>
      </w:pPr>
      <w:r>
        <w:rPr>
          <w:rFonts w:ascii="楷体_GB2312" w:hAnsi="楷体_GB2312" w:eastAsia="楷体_GB2312" w:cs="楷体_GB2312"/>
          <w:b w:val="0"/>
          <w:color w:val="000000"/>
          <w:sz w:val="32"/>
          <w:szCs w:val="32"/>
          <w:highlight w:val="none"/>
        </w:rPr>
        <w:t>（</w:t>
      </w:r>
      <w:r>
        <w:rPr>
          <w:rFonts w:hint="eastAsia" w:ascii="楷体_GB2312" w:hAnsi="楷体_GB2312" w:eastAsia="楷体_GB2312" w:cs="楷体_GB2312"/>
          <w:b w:val="0"/>
          <w:color w:val="000000"/>
          <w:sz w:val="32"/>
          <w:szCs w:val="32"/>
          <w:highlight w:val="none"/>
          <w:lang w:eastAsia="zh-CN"/>
        </w:rPr>
        <w:t>二十三</w:t>
      </w:r>
      <w:r>
        <w:rPr>
          <w:rFonts w:ascii="楷体_GB2312" w:hAnsi="楷体_GB2312" w:eastAsia="楷体_GB2312" w:cs="楷体_GB2312"/>
          <w:b w:val="0"/>
          <w:color w:val="000000"/>
          <w:sz w:val="32"/>
          <w:szCs w:val="32"/>
          <w:highlight w:val="none"/>
        </w:rPr>
        <w:t>）加速绿色金融发展。</w:t>
      </w:r>
      <w:r>
        <w:rPr>
          <w:rFonts w:hint="eastAsia" w:ascii="仿宋_GB2312" w:hAnsi="仿宋_GB2312" w:eastAsia="仿宋_GB2312" w:cs="仿宋_GB2312"/>
          <w:b w:val="0"/>
          <w:color w:val="000000"/>
          <w:sz w:val="32"/>
          <w:szCs w:val="32"/>
          <w:highlight w:val="none"/>
        </w:rPr>
        <w:t>鼓励各类型金融机构拓宽</w:t>
      </w:r>
      <w:r>
        <w:rPr>
          <w:rFonts w:hint="eastAsia" w:ascii="仿宋_GB2312" w:hAnsi="仿宋_GB2312" w:eastAsia="仿宋_GB2312" w:cs="仿宋_GB2312"/>
          <w:b w:val="0"/>
          <w:color w:val="000000"/>
          <w:sz w:val="32"/>
          <w:szCs w:val="32"/>
          <w:highlight w:val="none"/>
          <w:lang w:eastAsia="zh-CN"/>
        </w:rPr>
        <w:t>绿色贷款、绿色保险、绿色债券等绿色金融业务。支持制定绿色金融标准、建设绿色项目库、开展国家核证自愿减排量（CCER）等绿色交易。</w:t>
      </w:r>
    </w:p>
    <w:p w14:paraId="619A60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 w:val="0"/>
          <w:color w:val="000000"/>
          <w:sz w:val="32"/>
          <w:szCs w:val="32"/>
          <w:highlight w:val="none"/>
        </w:rPr>
        <w:t>（</w:t>
      </w:r>
      <w:r>
        <w:rPr>
          <w:rFonts w:hint="eastAsia" w:ascii="楷体_GB2312" w:hAnsi="楷体_GB2312" w:eastAsia="楷体_GB2312" w:cs="楷体_GB2312"/>
          <w:b w:val="0"/>
          <w:color w:val="000000"/>
          <w:sz w:val="32"/>
          <w:szCs w:val="32"/>
          <w:highlight w:val="none"/>
          <w:lang w:eastAsia="zh-CN"/>
        </w:rPr>
        <w:t>二十四</w:t>
      </w:r>
      <w:r>
        <w:rPr>
          <w:rFonts w:hint="eastAsia" w:ascii="楷体_GB2312" w:hAnsi="楷体_GB2312" w:eastAsia="楷体_GB2312" w:cs="楷体_GB2312"/>
          <w:b w:val="0"/>
          <w:color w:val="000000"/>
          <w:sz w:val="32"/>
          <w:szCs w:val="32"/>
          <w:highlight w:val="none"/>
        </w:rPr>
        <w:t>）</w:t>
      </w:r>
      <w:r>
        <w:rPr>
          <w:rFonts w:hint="eastAsia" w:ascii="楷体_GB2312" w:eastAsia="楷体_GB2312"/>
          <w:sz w:val="32"/>
          <w:szCs w:val="32"/>
          <w:highlight w:val="none"/>
        </w:rPr>
        <w:t>提升金融服务实体经济质效。</w:t>
      </w:r>
      <w:r>
        <w:rPr>
          <w:rFonts w:hint="eastAsia" w:ascii="仿宋_GB2312" w:eastAsia="仿宋_GB2312"/>
          <w:sz w:val="32"/>
          <w:szCs w:val="32"/>
          <w:highlight w:val="none"/>
        </w:rPr>
        <w:t>鼓励金融机构加大对普惠、科创、绿色等实体经济重点领域与薄弱环节支持力度。支持小微企业融资，持续降低实体经济融资成本。强化科技保险保障，扩展科技保险深度和广度。</w:t>
      </w:r>
    </w:p>
    <w:p w14:paraId="708A97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黑体" w:hAnsi="宋体" w:eastAsia="黑体" w:cs="黑体"/>
          <w:b w:val="0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黑体" w:hAnsi="宋体" w:eastAsia="黑体" w:cs="黑体"/>
          <w:b w:val="0"/>
          <w:color w:val="000000"/>
          <w:sz w:val="32"/>
          <w:szCs w:val="32"/>
          <w:highlight w:val="none"/>
          <w:lang w:eastAsia="zh-CN"/>
        </w:rPr>
        <w:t>六</w:t>
      </w:r>
      <w:r>
        <w:rPr>
          <w:rFonts w:ascii="黑体" w:hAnsi="宋体" w:eastAsia="黑体" w:cs="黑体"/>
          <w:b w:val="0"/>
          <w:color w:val="000000"/>
          <w:sz w:val="32"/>
          <w:szCs w:val="32"/>
          <w:highlight w:val="none"/>
        </w:rPr>
        <w:t>、</w:t>
      </w:r>
      <w:r>
        <w:rPr>
          <w:rFonts w:hint="eastAsia" w:ascii="黑体" w:hAnsi="宋体" w:eastAsia="黑体" w:cs="黑体"/>
          <w:b w:val="0"/>
          <w:color w:val="000000"/>
          <w:sz w:val="32"/>
          <w:szCs w:val="32"/>
          <w:highlight w:val="none"/>
          <w:lang w:eastAsia="zh-CN"/>
        </w:rPr>
        <w:t>聚力引才育才留才，构筑</w:t>
      </w:r>
      <w:r>
        <w:rPr>
          <w:rFonts w:hint="eastAsia" w:ascii="黑体" w:hAnsi="宋体" w:eastAsia="黑体" w:cs="黑体"/>
          <w:b w:val="0"/>
          <w:color w:val="000000"/>
          <w:sz w:val="32"/>
          <w:szCs w:val="32"/>
          <w:highlight w:val="none"/>
        </w:rPr>
        <w:t>人才</w:t>
      </w:r>
      <w:r>
        <w:rPr>
          <w:rFonts w:hint="eastAsia" w:ascii="黑体" w:hAnsi="宋体" w:eastAsia="黑体" w:cs="黑体"/>
          <w:b w:val="0"/>
          <w:color w:val="000000"/>
          <w:sz w:val="32"/>
          <w:szCs w:val="32"/>
          <w:highlight w:val="none"/>
          <w:lang w:eastAsia="zh-CN"/>
        </w:rPr>
        <w:t>智力支撑高地</w:t>
      </w:r>
    </w:p>
    <w:p w14:paraId="532C51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b w:val="0"/>
          <w:color w:val="000000"/>
          <w:sz w:val="32"/>
          <w:szCs w:val="32"/>
          <w:highlight w:val="none"/>
          <w:lang w:val="en-US" w:eastAsia="zh-CN"/>
        </w:rPr>
      </w:pPr>
      <w:r>
        <w:rPr>
          <w:rFonts w:ascii="楷体_GB2312" w:hAnsi="楷体_GB2312" w:eastAsia="楷体_GB2312" w:cs="楷体_GB2312"/>
          <w:b w:val="0"/>
          <w:color w:val="000000"/>
          <w:sz w:val="32"/>
          <w:szCs w:val="32"/>
          <w:highlight w:val="none"/>
        </w:rPr>
        <w:t>（</w:t>
      </w:r>
      <w:r>
        <w:rPr>
          <w:rFonts w:hint="eastAsia" w:ascii="楷体_GB2312" w:hAnsi="楷体_GB2312" w:eastAsia="楷体_GB2312" w:cs="楷体_GB2312"/>
          <w:b w:val="0"/>
          <w:color w:val="000000"/>
          <w:sz w:val="32"/>
          <w:szCs w:val="32"/>
          <w:highlight w:val="none"/>
          <w:lang w:eastAsia="zh-CN"/>
        </w:rPr>
        <w:t>二十五</w:t>
      </w:r>
      <w:r>
        <w:rPr>
          <w:rFonts w:ascii="楷体_GB2312" w:hAnsi="楷体_GB2312" w:eastAsia="楷体_GB2312" w:cs="楷体_GB2312"/>
          <w:b w:val="0"/>
          <w:color w:val="000000"/>
          <w:sz w:val="32"/>
          <w:szCs w:val="32"/>
          <w:highlight w:val="none"/>
        </w:rPr>
        <w:t>）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  <w:t>实施“运河英才”计划。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构建“十百千万”金字塔型人才梯队，针对战略类、产业类、国际类、创新创业类及青年群体五类人才的不同特点和需求，在安居保障、子女教育、公共服务等方面予以支持。</w:t>
      </w:r>
    </w:p>
    <w:p w14:paraId="34B5CCF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ascii="楷体_GB2312" w:hAnsi="楷体_GB2312" w:eastAsia="楷体_GB2312" w:cs="楷体_GB2312"/>
          <w:b w:val="0"/>
          <w:color w:val="000000"/>
          <w:sz w:val="32"/>
          <w:szCs w:val="32"/>
          <w:highlight w:val="none"/>
        </w:rPr>
        <w:t>（</w:t>
      </w:r>
      <w:r>
        <w:rPr>
          <w:rFonts w:hint="eastAsia" w:ascii="楷体_GB2312" w:hAnsi="楷体_GB2312" w:eastAsia="楷体_GB2312" w:cs="楷体_GB2312"/>
          <w:b w:val="0"/>
          <w:color w:val="000000"/>
          <w:sz w:val="32"/>
          <w:szCs w:val="32"/>
          <w:highlight w:val="none"/>
          <w:lang w:eastAsia="zh-CN"/>
        </w:rPr>
        <w:t>二十六</w:t>
      </w:r>
      <w:r>
        <w:rPr>
          <w:rFonts w:ascii="楷体_GB2312" w:hAnsi="楷体_GB2312" w:eastAsia="楷体_GB2312" w:cs="楷体_GB2312"/>
          <w:b w:val="0"/>
          <w:color w:val="000000"/>
          <w:sz w:val="32"/>
          <w:szCs w:val="32"/>
          <w:highlight w:val="none"/>
        </w:rPr>
        <w:t>）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  <w:t>加大人才引进力度。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支持入选“运河英才计划”的人才申办人才引进，采取“随报随审”，由人才专员进行“一对一”服务，为人才提供引进落户、北京市工作居住证申办支持。健全市场化引才育才服务体系，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鼓励高等院校、企业等主体培育引进高层次人才。</w:t>
      </w:r>
    </w:p>
    <w:p w14:paraId="5DD73E3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ascii="仿宋_GB2312" w:hAnsi="宋体" w:eastAsia="仿宋_GB2312" w:cs="仿宋_GB2312"/>
          <w:b w:val="0"/>
          <w:bCs w:val="0"/>
          <w:color w:val="000000"/>
          <w:sz w:val="32"/>
          <w:szCs w:val="32"/>
          <w:highlight w:val="none"/>
        </w:rPr>
      </w:pPr>
      <w:r>
        <w:rPr>
          <w:rFonts w:hint="eastAsia" w:ascii="仿宋_GB2312" w:eastAsia="仿宋_GB2312" w:hAnsiTheme="minorHAnsi" w:cstheme="minorBidi"/>
          <w:b w:val="0"/>
          <w:bCs w:val="0"/>
          <w:sz w:val="32"/>
          <w:szCs w:val="32"/>
          <w:highlight w:val="none"/>
        </w:rPr>
        <w:t>本</w:t>
      </w:r>
      <w:r>
        <w:rPr>
          <w:rFonts w:hint="eastAsia" w:ascii="仿宋_GB2312" w:eastAsia="仿宋_GB2312" w:cstheme="minorBidi"/>
          <w:b w:val="0"/>
          <w:bCs w:val="0"/>
          <w:sz w:val="32"/>
          <w:szCs w:val="32"/>
          <w:highlight w:val="none"/>
          <w:lang w:eastAsia="zh-CN"/>
        </w:rPr>
        <w:t>意见</w:t>
      </w:r>
      <w:r>
        <w:rPr>
          <w:rFonts w:hint="eastAsia" w:ascii="仿宋_GB2312" w:eastAsia="仿宋_GB2312" w:hAnsiTheme="minorHAnsi" w:cstheme="minorBidi"/>
          <w:b w:val="0"/>
          <w:bCs w:val="0"/>
          <w:sz w:val="32"/>
          <w:szCs w:val="32"/>
          <w:highlight w:val="none"/>
        </w:rPr>
        <w:t>自印发之日起</w:t>
      </w:r>
      <w:r>
        <w:rPr>
          <w:rFonts w:hint="eastAsia" w:ascii="仿宋_GB2312" w:eastAsia="仿宋_GB2312" w:cstheme="minorBidi"/>
          <w:b w:val="0"/>
          <w:bCs w:val="0"/>
          <w:sz w:val="32"/>
          <w:szCs w:val="32"/>
          <w:highlight w:val="none"/>
          <w:lang w:eastAsia="zh-CN"/>
        </w:rPr>
        <w:t>施行</w:t>
      </w:r>
      <w:r>
        <w:rPr>
          <w:rFonts w:hint="eastAsia" w:ascii="仿宋_GB2312" w:eastAsia="仿宋_GB2312" w:hAnsiTheme="minorHAnsi" w:cstheme="minorBidi"/>
          <w:b w:val="0"/>
          <w:bCs w:val="0"/>
          <w:sz w:val="32"/>
          <w:szCs w:val="32"/>
          <w:highlight w:val="none"/>
        </w:rPr>
        <w:t>。</w:t>
      </w:r>
      <w:r>
        <w:rPr>
          <w:rFonts w:ascii="仿宋_GB2312" w:hAnsi="宋体" w:eastAsia="仿宋_GB2312" w:cs="仿宋_GB2312"/>
          <w:b w:val="0"/>
          <w:bCs w:val="0"/>
          <w:color w:val="000000"/>
          <w:sz w:val="32"/>
          <w:szCs w:val="32"/>
          <w:highlight w:val="none"/>
        </w:rPr>
        <w:t>原《</w:t>
      </w:r>
      <w:r>
        <w:rPr>
          <w:rFonts w:hint="eastAsia" w:ascii="仿宋_GB2312" w:hAnsi="宋体" w:eastAsia="仿宋_GB2312" w:cs="仿宋_GB2312"/>
          <w:b w:val="0"/>
          <w:bCs w:val="0"/>
          <w:color w:val="000000"/>
          <w:sz w:val="32"/>
          <w:szCs w:val="32"/>
          <w:highlight w:val="none"/>
          <w:lang w:eastAsia="zh-CN"/>
        </w:rPr>
        <w:t>北京市通州区人民政府印发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eastAsia="zh-CN"/>
        </w:rPr>
        <w:t>〈</w:t>
      </w:r>
      <w:r>
        <w:rPr>
          <w:rFonts w:hint="eastAsia" w:ascii="仿宋_GB2312" w:hAnsi="宋体" w:eastAsia="仿宋_GB2312" w:cs="仿宋_GB2312"/>
          <w:b w:val="0"/>
          <w:bCs w:val="0"/>
          <w:color w:val="000000"/>
          <w:sz w:val="32"/>
          <w:szCs w:val="32"/>
          <w:highlight w:val="none"/>
          <w:lang w:eastAsia="zh-CN"/>
        </w:rPr>
        <w:t>关于加快推进北京城市副中心产业高质量发展的若干措施（修订）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eastAsia="zh-CN"/>
        </w:rPr>
        <w:t>〉</w:t>
      </w:r>
      <w:r>
        <w:rPr>
          <w:rFonts w:hint="eastAsia" w:ascii="仿宋_GB2312" w:hAnsi="宋体" w:eastAsia="仿宋_GB2312" w:cs="仿宋_GB2312"/>
          <w:b w:val="0"/>
          <w:bCs w:val="0"/>
          <w:color w:val="000000"/>
          <w:sz w:val="32"/>
          <w:szCs w:val="32"/>
          <w:highlight w:val="none"/>
          <w:lang w:eastAsia="zh-CN"/>
        </w:rPr>
        <w:t>的通知</w:t>
      </w:r>
      <w:r>
        <w:rPr>
          <w:rFonts w:ascii="仿宋_GB2312" w:hAnsi="宋体" w:eastAsia="仿宋_GB2312" w:cs="仿宋_GB2312"/>
          <w:b w:val="0"/>
          <w:bCs w:val="0"/>
          <w:color w:val="000000"/>
          <w:sz w:val="32"/>
          <w:szCs w:val="32"/>
          <w:highlight w:val="none"/>
        </w:rPr>
        <w:t>》（通政发〔2025〕9号）同时废止。</w:t>
      </w:r>
    </w:p>
    <w:p w14:paraId="4B4FE9F4">
      <w:pPr>
        <w:keepNext w:val="0"/>
        <w:keepLines w:val="0"/>
        <w:pageBreakBefore w:val="0"/>
        <w:widowControl w:val="0"/>
        <w:tabs>
          <w:tab w:val="left" w:pos="8280"/>
        </w:tabs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960" w:firstLineChars="155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037EF331">
      <w:pPr>
        <w:pStyle w:val="13"/>
        <w:rPr>
          <w:rFonts w:hint="eastAsia"/>
          <w:sz w:val="32"/>
          <w:szCs w:val="32"/>
        </w:rPr>
      </w:pPr>
    </w:p>
    <w:p w14:paraId="5C432430">
      <w:pPr>
        <w:keepNext w:val="0"/>
        <w:keepLines w:val="0"/>
        <w:pageBreakBefore w:val="0"/>
        <w:widowControl w:val="0"/>
        <w:tabs>
          <w:tab w:val="left" w:pos="8280"/>
        </w:tabs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960" w:firstLineChars="155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3498C70D">
      <w:pPr>
        <w:keepNext w:val="0"/>
        <w:keepLines w:val="0"/>
        <w:pageBreakBefore w:val="0"/>
        <w:widowControl w:val="0"/>
        <w:tabs>
          <w:tab w:val="left" w:pos="8280"/>
        </w:tabs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5040" w:firstLineChars="1575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北京市通州区人民政府    </w:t>
      </w:r>
    </w:p>
    <w:p w14:paraId="55892534">
      <w:pPr>
        <w:keepNext w:val="0"/>
        <w:keepLines w:val="0"/>
        <w:pageBreakBefore w:val="0"/>
        <w:widowControl w:val="0"/>
        <w:tabs>
          <w:tab w:val="left" w:pos="8280"/>
        </w:tabs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120" w:firstLineChars="16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23日</w:t>
      </w:r>
    </w:p>
    <w:p w14:paraId="16560E0B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楷体_GB2312"/>
          <w:color w:val="auto"/>
          <w:sz w:val="32"/>
          <w:szCs w:val="32"/>
        </w:rPr>
        <w:t>（此件公开发布）</w:t>
      </w:r>
    </w:p>
    <w:p w14:paraId="5072B1BF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val="en-US" w:eastAsia="zh-CN"/>
        </w:rPr>
      </w:pPr>
    </w:p>
    <w:p w14:paraId="3CF34F07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val="en-US" w:eastAsia="zh-CN"/>
        </w:rPr>
      </w:pPr>
    </w:p>
    <w:p w14:paraId="1FD8AF75">
      <w:pPr>
        <w:keepNext w:val="0"/>
        <w:keepLines w:val="0"/>
        <w:pageBreakBefore w:val="0"/>
        <w:widowControl w:val="0"/>
        <w:tabs>
          <w:tab w:val="left" w:pos="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329" w:leftChars="1" w:hanging="1327" w:hangingChars="632"/>
        <w:textAlignment w:val="auto"/>
        <w:rPr>
          <w:rFonts w:hint="eastAsia" w:ascii="仿宋_GB2312" w:hAnsi="Calibri" w:eastAsia="仿宋_GB2312" w:cs="Times New Roman"/>
          <w:color w:val="000000"/>
          <w:sz w:val="28"/>
          <w:szCs w:val="28"/>
        </w:rPr>
      </w:pPr>
      <w:r>
        <w:rPr>
          <w:rFonts w:hint="eastAsia" w:ascii="仿宋_GB2312" w:hAnsi="Calibri" w:eastAsia="仿宋_GB2312" w:cs="Times New Roman"/>
          <w:color w:val="000000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86360</wp:posOffset>
                </wp:positionV>
                <wp:extent cx="5600700" cy="0"/>
                <wp:effectExtent l="0" t="4445" r="0" b="508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6.8pt;height:0pt;width:441pt;z-index:251661312;mso-width-relative:page;mso-height-relative:page;" filled="f" stroked="t" coordsize="21600,21600" o:gfxdata="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sfdkCNIAAAAGAQAADwAAAAAAAAABACAAAAAiAAAAZHJzL2Rvd25yZXYueG1sUEsBAhQAFAAA&#10;AAgAh07iQOLPmCf1AQAA5AMAAA4AAAAAAAAAAQAgAAAAIQEAAGRycy9lMm9Eb2MueG1sUEsFBgAA&#10;AAAGAAYAWQEAAIg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Calibri" w:eastAsia="仿宋_GB2312" w:cs="Times New Roman"/>
          <w:color w:val="000000"/>
          <w:sz w:val="28"/>
          <w:szCs w:val="28"/>
        </w:rPr>
        <w:t xml:space="preserve">  抄送：区委各部、委、办，区人大办公室，区政协办公室，区法院，</w:t>
      </w:r>
    </w:p>
    <w:p w14:paraId="4AA485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771" w:leftChars="1" w:hanging="1769" w:hangingChars="632"/>
        <w:textAlignment w:val="auto"/>
        <w:rPr>
          <w:rFonts w:hint="eastAsia" w:ascii="仿宋_GB2312" w:hAnsi="Calibri" w:eastAsia="仿宋_GB2312" w:cs="Times New Roman"/>
          <w:color w:val="000000"/>
          <w:sz w:val="28"/>
          <w:szCs w:val="28"/>
        </w:rPr>
      </w:pPr>
      <w:r>
        <w:rPr>
          <w:rFonts w:hint="eastAsia" w:ascii="仿宋_GB2312" w:hAnsi="Calibri" w:eastAsia="仿宋_GB2312" w:cs="Times New Roman"/>
          <w:color w:val="000000"/>
          <w:sz w:val="28"/>
          <w:szCs w:val="28"/>
        </w:rPr>
        <w:t xml:space="preserve">        区检察院，区各人民团体。</w:t>
      </w:r>
    </w:p>
    <w:p w14:paraId="7A2E06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-334" w:rightChars="-159" w:firstLine="300" w:firstLineChars="100"/>
        <w:jc w:val="both"/>
        <w:textAlignment w:val="auto"/>
        <w:rPr>
          <w:rFonts w:hint="eastAsia"/>
          <w:lang w:eastAsia="zh-CN"/>
        </w:rPr>
      </w:pPr>
      <w:r>
        <w:rPr>
          <w:rFonts w:hint="eastAsia" w:ascii="仿宋_GB2312" w:hAnsi="仿宋_GB2312" w:eastAsia="宋体" w:cs="仿宋_GB2312"/>
          <w:color w:val="000000"/>
          <w:kern w:val="2"/>
          <w:sz w:val="30"/>
          <w:szCs w:val="30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388620</wp:posOffset>
                </wp:positionV>
                <wp:extent cx="5600700" cy="0"/>
                <wp:effectExtent l="0" t="4445" r="0" b="508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30.6pt;height:0pt;width:441pt;z-index:251663360;mso-width-relative:page;mso-height-relative:page;" filled="f" stroked="t" coordsize="21600,21600" o:gfxdata="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Q4e8ttMAAAAGAQAADwAAAAAAAAABACAAAAAiAAAAZHJzL2Rvd25yZXYueG1sUEsBAhQAFAAA&#10;AAgAh07iQNFyNJD0AQAA5AMAAA4AAAAAAAAAAQAgAAAAIgEAAGRycy9lMm9Eb2MueG1sUEsFBgAA&#10;AAAGAAYAWQEAAIg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宋体" w:cs="仿宋_GB2312"/>
          <w:color w:val="000000"/>
          <w:kern w:val="2"/>
          <w:sz w:val="30"/>
          <w:szCs w:val="30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-1905</wp:posOffset>
                </wp:positionV>
                <wp:extent cx="5600700" cy="0"/>
                <wp:effectExtent l="0" t="4445" r="0" b="508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-0.15pt;height:0pt;width:441pt;z-index:251662336;mso-width-relative:page;mso-height-relative:page;" filled="f" stroked="t" coordsize="21600,21600" o:gfxdata="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KZHo99IAAAAEAQAADwAAAAAAAAABACAAAAAiAAAAZHJzL2Rvd25yZXYueG1sUEsBAhQAFAAA&#10;AAgAh07iQO0xuZT1AQAA5AMAAA4AAAAAAAAAAQAgAAAAIQEAAGRycy9lMm9Eb2MueG1sUEsFBgAA&#10;AAAGAAYAWQEAAIg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color w:val="000000"/>
          <w:kern w:val="2"/>
          <w:sz w:val="28"/>
          <w:szCs w:val="28"/>
          <w:lang w:val="en-US" w:eastAsia="zh-CN" w:bidi="ar-SA"/>
        </w:rPr>
        <w:t xml:space="preserve">北京市通州区人民政府办公室              2026年6月24日印发  </w:t>
      </w:r>
    </w:p>
    <w:sectPr>
      <w:footerReference r:id="rId3" w:type="default"/>
      <w:footerReference r:id="rId4" w:type="even"/>
      <w:pgSz w:w="11906" w:h="16838"/>
      <w:pgMar w:top="1701" w:right="1474" w:bottom="1701" w:left="1587" w:header="851" w:footer="1474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803050406030204"/>
    <w:charset w:val="00"/>
    <w:family w:val="roman"/>
    <w:pitch w:val="default"/>
    <w:sig w:usb0="E00006FF" w:usb1="4000045F" w:usb2="00000000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原版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小标宋">
    <w:altName w:val="方正小标宋简体"/>
    <w:panose1 w:val="03000509000000000000"/>
    <w:charset w:val="00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4D61D0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4819015</wp:posOffset>
              </wp:positionH>
              <wp:positionV relativeFrom="paragraph">
                <wp:posOffset>0</wp:posOffset>
              </wp:positionV>
              <wp:extent cx="79756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756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7C8BA7A">
                          <w:pPr>
                            <w:pStyle w:val="6"/>
                            <w:tabs>
                              <w:tab w:val="left" w:pos="840"/>
                            </w:tabs>
                            <w:rPr>
                              <w:rFonts w:hint="eastAsia" w:ascii="原版宋体" w:hAnsi="原版宋体" w:eastAsia="原版宋体" w:cs="原版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原版宋体" w:hAnsi="原版宋体" w:eastAsia="原版宋体" w:cs="原版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原版宋体" w:hAnsi="原版宋体" w:eastAsia="原版宋体" w:cs="原版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原版宋体" w:hAnsi="原版宋体" w:eastAsia="原版宋体" w:cs="原版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原版宋体" w:hAnsi="原版宋体" w:eastAsia="原版宋体" w:cs="原版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原版宋体" w:hAnsi="原版宋体" w:eastAsia="原版宋体" w:cs="原版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原版宋体" w:hAnsi="原版宋体" w:eastAsia="原版宋体" w:cs="原版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原版宋体" w:hAnsi="原版宋体" w:eastAsia="原版宋体" w:cs="原版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79.45pt;margin-top:0pt;height:144pt;width:62.8pt;mso-position-horizontal-relative:margin;z-index:251659264;mso-width-relative:page;mso-height-relative:page;" filled="f" stroked="f" coordsize="21600,21600" o:gfxdata="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HjXUJbWAAAACAEAAA8AAAAAAAAAAQAgAAAAIgAAAGRycy9kb3ducmV2&#10;LnhtbFBLAQIUABQAAAAIAIdO4kCpHKsuNwIAAGIEAAAOAAAAAAAAAAEAIAAAACUBAABkcnMvZTJv&#10;RG9jLnhtbFBLBQYAAAAABgAGAFkBAADO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7C8BA7A">
                    <w:pPr>
                      <w:pStyle w:val="6"/>
                      <w:tabs>
                        <w:tab w:val="left" w:pos="840"/>
                      </w:tabs>
                      <w:rPr>
                        <w:rFonts w:hint="eastAsia" w:ascii="原版宋体" w:hAnsi="原版宋体" w:eastAsia="原版宋体" w:cs="原版宋体"/>
                        <w:sz w:val="28"/>
                        <w:szCs w:val="28"/>
                      </w:rPr>
                    </w:pPr>
                    <w:r>
                      <w:rPr>
                        <w:rFonts w:hint="eastAsia" w:ascii="原版宋体" w:hAnsi="原版宋体" w:eastAsia="原版宋体" w:cs="原版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原版宋体" w:hAnsi="原版宋体" w:eastAsia="原版宋体" w:cs="原版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原版宋体" w:hAnsi="原版宋体" w:eastAsia="原版宋体" w:cs="原版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原版宋体" w:hAnsi="原版宋体" w:eastAsia="原版宋体" w:cs="原版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原版宋体" w:hAnsi="原版宋体" w:eastAsia="原版宋体" w:cs="原版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原版宋体" w:hAnsi="原版宋体" w:eastAsia="原版宋体" w:cs="原版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原版宋体" w:hAnsi="原版宋体" w:eastAsia="原版宋体" w:cs="原版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B939CB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3F81225">
                          <w:pPr>
                            <w:pStyle w:val="6"/>
                            <w:ind w:firstLine="280" w:firstLineChars="100"/>
                            <w:rPr>
                              <w:rFonts w:hint="eastAsia" w:ascii="原版宋体" w:hAnsi="原版宋体" w:eastAsia="原版宋体" w:cs="原版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原版宋体" w:hAnsi="原版宋体" w:eastAsia="原版宋体" w:cs="原版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原版宋体" w:hAnsi="原版宋体" w:eastAsia="原版宋体" w:cs="原版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原版宋体" w:hAnsi="原版宋体" w:eastAsia="原版宋体" w:cs="原版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原版宋体" w:hAnsi="原版宋体" w:eastAsia="原版宋体" w:cs="原版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原版宋体" w:hAnsi="原版宋体" w:eastAsia="原版宋体" w:cs="原版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原版宋体" w:hAnsi="原版宋体" w:eastAsia="原版宋体" w:cs="原版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原版宋体" w:hAnsi="原版宋体" w:eastAsia="原版宋体" w:cs="原版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3F81225">
                    <w:pPr>
                      <w:pStyle w:val="6"/>
                      <w:ind w:firstLine="280" w:firstLineChars="100"/>
                      <w:rPr>
                        <w:rFonts w:hint="eastAsia" w:ascii="原版宋体" w:hAnsi="原版宋体" w:eastAsia="原版宋体" w:cs="原版宋体"/>
                        <w:sz w:val="28"/>
                        <w:szCs w:val="28"/>
                      </w:rPr>
                    </w:pPr>
                    <w:r>
                      <w:rPr>
                        <w:rFonts w:hint="eastAsia" w:ascii="原版宋体" w:hAnsi="原版宋体" w:eastAsia="原版宋体" w:cs="原版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原版宋体" w:hAnsi="原版宋体" w:eastAsia="原版宋体" w:cs="原版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原版宋体" w:hAnsi="原版宋体" w:eastAsia="原版宋体" w:cs="原版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原版宋体" w:hAnsi="原版宋体" w:eastAsia="原版宋体" w:cs="原版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原版宋体" w:hAnsi="原版宋体" w:eastAsia="原版宋体" w:cs="原版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原版宋体" w:hAnsi="原版宋体" w:eastAsia="原版宋体" w:cs="原版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原版宋体" w:hAnsi="原版宋体" w:eastAsia="原版宋体" w:cs="原版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7"/>
  <w:embedSystemFonts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01289B"/>
    <w:rsid w:val="03911568"/>
    <w:rsid w:val="054114D0"/>
    <w:rsid w:val="05A610B2"/>
    <w:rsid w:val="05A766D5"/>
    <w:rsid w:val="0601289B"/>
    <w:rsid w:val="07051E94"/>
    <w:rsid w:val="07175632"/>
    <w:rsid w:val="0763442C"/>
    <w:rsid w:val="08620704"/>
    <w:rsid w:val="0BAC3844"/>
    <w:rsid w:val="0BC07254"/>
    <w:rsid w:val="0BE022CB"/>
    <w:rsid w:val="0EFFA8CB"/>
    <w:rsid w:val="0F4B61B3"/>
    <w:rsid w:val="10FC4F6D"/>
    <w:rsid w:val="121972CE"/>
    <w:rsid w:val="126976C2"/>
    <w:rsid w:val="12B76710"/>
    <w:rsid w:val="13502702"/>
    <w:rsid w:val="15C07EB6"/>
    <w:rsid w:val="15F00AC6"/>
    <w:rsid w:val="16872A06"/>
    <w:rsid w:val="169A3BE6"/>
    <w:rsid w:val="16E573D4"/>
    <w:rsid w:val="1778760D"/>
    <w:rsid w:val="193A4B8A"/>
    <w:rsid w:val="1A3C1715"/>
    <w:rsid w:val="1AF70C4B"/>
    <w:rsid w:val="1AFD2B54"/>
    <w:rsid w:val="1B811E07"/>
    <w:rsid w:val="1D246914"/>
    <w:rsid w:val="1D6672D3"/>
    <w:rsid w:val="1DE94821"/>
    <w:rsid w:val="1DFD34C1"/>
    <w:rsid w:val="1E0D2131"/>
    <w:rsid w:val="1E702BF6"/>
    <w:rsid w:val="20142414"/>
    <w:rsid w:val="20361E67"/>
    <w:rsid w:val="2094652E"/>
    <w:rsid w:val="2554521B"/>
    <w:rsid w:val="257EFFB4"/>
    <w:rsid w:val="26C6392A"/>
    <w:rsid w:val="287E1653"/>
    <w:rsid w:val="29F44362"/>
    <w:rsid w:val="2A750BB8"/>
    <w:rsid w:val="2A886554"/>
    <w:rsid w:val="2B467C0B"/>
    <w:rsid w:val="2B6D169A"/>
    <w:rsid w:val="2BBA7BE3"/>
    <w:rsid w:val="2C463031"/>
    <w:rsid w:val="2C51324E"/>
    <w:rsid w:val="2C771CEC"/>
    <w:rsid w:val="2E150147"/>
    <w:rsid w:val="2EFE3F65"/>
    <w:rsid w:val="31370D6F"/>
    <w:rsid w:val="3185449E"/>
    <w:rsid w:val="31A77C86"/>
    <w:rsid w:val="32165D3B"/>
    <w:rsid w:val="32D64AF4"/>
    <w:rsid w:val="35316ED2"/>
    <w:rsid w:val="35380BBF"/>
    <w:rsid w:val="380A1186"/>
    <w:rsid w:val="38203D22"/>
    <w:rsid w:val="385C5F52"/>
    <w:rsid w:val="387A56B5"/>
    <w:rsid w:val="39504729"/>
    <w:rsid w:val="3AE83899"/>
    <w:rsid w:val="3AE83F32"/>
    <w:rsid w:val="3B083765"/>
    <w:rsid w:val="3B365FD9"/>
    <w:rsid w:val="3C3648A6"/>
    <w:rsid w:val="3CFF26D5"/>
    <w:rsid w:val="3DAA5519"/>
    <w:rsid w:val="3DE13ED3"/>
    <w:rsid w:val="3E1A70B4"/>
    <w:rsid w:val="3E20511B"/>
    <w:rsid w:val="3F3C6A4D"/>
    <w:rsid w:val="3FD93904"/>
    <w:rsid w:val="40323DB0"/>
    <w:rsid w:val="41B4781F"/>
    <w:rsid w:val="41DC029B"/>
    <w:rsid w:val="430F4EE8"/>
    <w:rsid w:val="44080702"/>
    <w:rsid w:val="453E468E"/>
    <w:rsid w:val="466F6D35"/>
    <w:rsid w:val="47204552"/>
    <w:rsid w:val="47812160"/>
    <w:rsid w:val="478D63A6"/>
    <w:rsid w:val="47F44609"/>
    <w:rsid w:val="49E71118"/>
    <w:rsid w:val="4B51409F"/>
    <w:rsid w:val="4D221AE1"/>
    <w:rsid w:val="4E816B8E"/>
    <w:rsid w:val="4EF52F36"/>
    <w:rsid w:val="4F740250"/>
    <w:rsid w:val="4F9E0E2B"/>
    <w:rsid w:val="5220694C"/>
    <w:rsid w:val="530F54A7"/>
    <w:rsid w:val="540B3758"/>
    <w:rsid w:val="54124B7D"/>
    <w:rsid w:val="556A2BB0"/>
    <w:rsid w:val="55F90965"/>
    <w:rsid w:val="57987942"/>
    <w:rsid w:val="59D848AC"/>
    <w:rsid w:val="5A9D28FB"/>
    <w:rsid w:val="5C905D72"/>
    <w:rsid w:val="5CCA7CB5"/>
    <w:rsid w:val="5DB9485E"/>
    <w:rsid w:val="5E2B5C0D"/>
    <w:rsid w:val="5EA527DD"/>
    <w:rsid w:val="5F5046EA"/>
    <w:rsid w:val="62595967"/>
    <w:rsid w:val="626B762E"/>
    <w:rsid w:val="62DC1E08"/>
    <w:rsid w:val="62FD628B"/>
    <w:rsid w:val="633B3DEB"/>
    <w:rsid w:val="63D869C4"/>
    <w:rsid w:val="657B7376"/>
    <w:rsid w:val="65F32C4F"/>
    <w:rsid w:val="661E4820"/>
    <w:rsid w:val="66E128D8"/>
    <w:rsid w:val="67CCACD3"/>
    <w:rsid w:val="67DE6318"/>
    <w:rsid w:val="6804655B"/>
    <w:rsid w:val="68A90463"/>
    <w:rsid w:val="693578A9"/>
    <w:rsid w:val="6A1154CA"/>
    <w:rsid w:val="6AC10335"/>
    <w:rsid w:val="6B464D0B"/>
    <w:rsid w:val="6BA95DDE"/>
    <w:rsid w:val="6CE425CA"/>
    <w:rsid w:val="6D24429C"/>
    <w:rsid w:val="6E085B93"/>
    <w:rsid w:val="6FDD1D17"/>
    <w:rsid w:val="70CB669B"/>
    <w:rsid w:val="70E67E5F"/>
    <w:rsid w:val="71A02869"/>
    <w:rsid w:val="71BE59CD"/>
    <w:rsid w:val="727540AC"/>
    <w:rsid w:val="72B30A8F"/>
    <w:rsid w:val="73306E0A"/>
    <w:rsid w:val="73645310"/>
    <w:rsid w:val="73B0482E"/>
    <w:rsid w:val="73F66678"/>
    <w:rsid w:val="74352E35"/>
    <w:rsid w:val="75CF7497"/>
    <w:rsid w:val="75EB654F"/>
    <w:rsid w:val="76F7FACD"/>
    <w:rsid w:val="77EF16E4"/>
    <w:rsid w:val="78E45D71"/>
    <w:rsid w:val="79304861"/>
    <w:rsid w:val="79A3351B"/>
    <w:rsid w:val="79AF22EB"/>
    <w:rsid w:val="7B3813B3"/>
    <w:rsid w:val="7BF6414C"/>
    <w:rsid w:val="7BFFE3FD"/>
    <w:rsid w:val="7D1B284D"/>
    <w:rsid w:val="7D293EED"/>
    <w:rsid w:val="7D5E90B6"/>
    <w:rsid w:val="7D7F4B05"/>
    <w:rsid w:val="7D803614"/>
    <w:rsid w:val="7E496C77"/>
    <w:rsid w:val="7EDF528F"/>
    <w:rsid w:val="7FFA80F6"/>
    <w:rsid w:val="A7FBB874"/>
    <w:rsid w:val="BA55E088"/>
    <w:rsid w:val="D1FFCE19"/>
    <w:rsid w:val="DF7E888C"/>
    <w:rsid w:val="F7AF1060"/>
    <w:rsid w:val="F8B5D756"/>
    <w:rsid w:val="FAEF99B0"/>
    <w:rsid w:val="FBFE0CA4"/>
    <w:rsid w:val="FDBCB968"/>
    <w:rsid w:val="FE36C60A"/>
    <w:rsid w:val="FFB7537F"/>
    <w:rsid w:val="FFBE2663"/>
    <w:rsid w:val="FFBF9239"/>
    <w:rsid w:val="FFFEBB39"/>
    <w:rsid w:val="FFFFA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iPriority="99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9"/>
    <w:basedOn w:val="1"/>
    <w:next w:val="1"/>
    <w:qFormat/>
    <w:uiPriority w:val="0"/>
    <w:pPr>
      <w:ind w:left="3360"/>
      <w:jc w:val="left"/>
    </w:pPr>
  </w:style>
  <w:style w:type="paragraph" w:styleId="3">
    <w:name w:val="Body Text"/>
    <w:basedOn w:val="1"/>
    <w:next w:val="4"/>
    <w:qFormat/>
    <w:uiPriority w:val="99"/>
    <w:pPr>
      <w:spacing w:after="120"/>
    </w:pPr>
  </w:style>
  <w:style w:type="paragraph" w:styleId="4">
    <w:name w:val="Body Text 2"/>
    <w:basedOn w:val="1"/>
    <w:qFormat/>
    <w:uiPriority w:val="0"/>
    <w:pPr>
      <w:spacing w:line="360" w:lineRule="auto"/>
      <w:ind w:firstLine="200" w:firstLineChars="200"/>
    </w:pPr>
    <w:rPr>
      <w:rFonts w:eastAsia="楷体_GB2312"/>
      <w:sz w:val="32"/>
    </w:rPr>
  </w:style>
  <w:style w:type="paragraph" w:styleId="5">
    <w:name w:val="Block Text"/>
    <w:basedOn w:val="1"/>
    <w:unhideWhenUsed/>
    <w:qFormat/>
    <w:uiPriority w:val="99"/>
    <w:pPr>
      <w:spacing w:after="120"/>
      <w:ind w:left="1440" w:leftChars="700" w:right="1440" w:rightChars="700"/>
    </w:pPr>
  </w:style>
  <w:style w:type="paragraph" w:styleId="6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Body Text First Indent"/>
    <w:basedOn w:val="3"/>
    <w:next w:val="9"/>
    <w:qFormat/>
    <w:uiPriority w:val="0"/>
    <w:pPr>
      <w:spacing w:beforeAutospacing="1" w:after="100" w:afterAutospacing="1"/>
      <w:ind w:left="1548" w:firstLine="320" w:firstLineChars="100"/>
    </w:pPr>
    <w:rPr>
      <w:kern w:val="0"/>
      <w:sz w:val="20"/>
      <w:szCs w:val="20"/>
    </w:rPr>
  </w:style>
  <w:style w:type="paragraph" w:styleId="9">
    <w:name w:val="Body Text First Indent 2"/>
    <w:basedOn w:val="1"/>
    <w:next w:val="1"/>
    <w:qFormat/>
    <w:uiPriority w:val="0"/>
    <w:pPr>
      <w:spacing w:line="360" w:lineRule="auto"/>
      <w:ind w:firstLine="420" w:firstLineChars="200"/>
    </w:pPr>
    <w:rPr>
      <w:rFonts w:ascii="仿宋_GB2312"/>
      <w:szCs w:val="32"/>
    </w:rPr>
  </w:style>
  <w:style w:type="character" w:styleId="12">
    <w:name w:val="Strong"/>
    <w:basedOn w:val="11"/>
    <w:qFormat/>
    <w:uiPriority w:val="0"/>
    <w:rPr>
      <w:b/>
    </w:rPr>
  </w:style>
  <w:style w:type="paragraph" w:customStyle="1" w:styleId="13">
    <w:name w:val="BodyText"/>
    <w:basedOn w:val="1"/>
    <w:next w:val="14"/>
    <w:qFormat/>
    <w:uiPriority w:val="0"/>
    <w:pPr>
      <w:textAlignment w:val="baseline"/>
    </w:pPr>
    <w:rPr>
      <w:rFonts w:ascii="Calibri" w:hAnsi="Calibri" w:eastAsia="仿宋_GB2312"/>
      <w:sz w:val="28"/>
    </w:rPr>
  </w:style>
  <w:style w:type="paragraph" w:customStyle="1" w:styleId="14">
    <w:name w:val="BodyText2"/>
    <w:qFormat/>
    <w:uiPriority w:val="0"/>
    <w:pPr>
      <w:widowControl w:val="0"/>
      <w:suppressAutoHyphens/>
      <w:bidi w:val="0"/>
      <w:spacing w:after="120" w:line="480" w:lineRule="auto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paragraph" w:customStyle="1" w:styleId="15">
    <w:name w:val="我的正文"/>
    <w:qFormat/>
    <w:uiPriority w:val="0"/>
    <w:pPr>
      <w:widowControl w:val="0"/>
      <w:spacing w:before="80" w:line="360" w:lineRule="auto"/>
      <w:ind w:firstLine="200" w:firstLineChars="200"/>
    </w:pPr>
    <w:rPr>
      <w:rFonts w:ascii="Cambria" w:hAnsi="Cambria" w:eastAsia="仿宋_GB2312" w:cs="Times New Roman"/>
      <w:color w:val="000000"/>
      <w:sz w:val="32"/>
      <w:szCs w:val="56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2635</Words>
  <Characters>2651</Characters>
  <Lines>0</Lines>
  <Paragraphs>0</Paragraphs>
  <TotalTime>0</TotalTime>
  <ScaleCrop>false</ScaleCrop>
  <LinksUpToDate>false</LinksUpToDate>
  <CharactersWithSpaces>2651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2025-07-18T17:35:00Z</dcterms:created>
  <dc:creator>Win7</dc:creator>
  <cp:lastModifiedBy>User</cp:lastModifiedBy>
  <cp:lastPrinted>2026-06-24T10:00:45Z</cp:lastPrinted>
  <dcterms:modified xsi:type="dcterms:W3CDTF">2026-06-24T10:03:09Z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8ACCDCEA299D4ADA82A410A894383CBD</vt:lpwstr>
  </property>
  <property fmtid="{D5CDD505-2E9C-101B-9397-08002B2CF9AE}" pid="4" name="KSOTemplateDocerSaveRecord">
    <vt:lpwstr>eyJoZGlkIjoiYWJmNTAxYTA0NTllZTU0OWY5NWY0MWNlMzBjNGU2OTYiLCJ1c2VySWQiOiI0MjYxMjEzMzUifQ==</vt:lpwstr>
  </property>
</Properties>
</file>