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60BE3A">
      <w:pPr>
        <w:pStyle w:val="12"/>
        <w:spacing w:before="0" w:after="0"/>
        <w:rPr>
          <w:rFonts w:hint="eastAsia" w:ascii="方正小标宋简体" w:eastAsia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b w:val="0"/>
          <w:bCs w:val="0"/>
          <w:sz w:val="44"/>
          <w:szCs w:val="44"/>
        </w:rPr>
        <w:t>《</w:t>
      </w:r>
      <w:r>
        <w:rPr>
          <w:rFonts w:hint="eastAsia" w:ascii="方正小标宋简体" w:eastAsia="方正小标宋简体"/>
          <w:b w:val="0"/>
          <w:bCs w:val="0"/>
          <w:sz w:val="44"/>
          <w:szCs w:val="44"/>
          <w:lang w:val="en-US" w:eastAsia="zh-CN"/>
        </w:rPr>
        <w:t>关于北京城市副中心促进游戏电竞行业</w:t>
      </w:r>
    </w:p>
    <w:p w14:paraId="0ED70F41">
      <w:pPr>
        <w:pStyle w:val="12"/>
        <w:spacing w:before="0" w:after="0"/>
        <w:rPr>
          <w:rFonts w:hint="eastAsia" w:ascii="方正小标宋简体" w:eastAsia="方正小标宋简体"/>
          <w:b w:val="0"/>
          <w:bCs w:val="0"/>
          <w:sz w:val="44"/>
          <w:szCs w:val="44"/>
        </w:rPr>
      </w:pPr>
      <w:r>
        <w:rPr>
          <w:rFonts w:hint="eastAsia" w:ascii="方正小标宋简体" w:eastAsia="方正小标宋简体"/>
          <w:b w:val="0"/>
          <w:bCs w:val="0"/>
          <w:sz w:val="44"/>
          <w:szCs w:val="44"/>
          <w:lang w:val="en-US" w:eastAsia="zh-CN"/>
        </w:rPr>
        <w:t>高质量发展的若干措施</w:t>
      </w:r>
      <w:r>
        <w:rPr>
          <w:rFonts w:hint="eastAsia" w:ascii="方正小标宋简体" w:eastAsia="方正小标宋简体"/>
          <w:b w:val="0"/>
          <w:bCs w:val="0"/>
          <w:sz w:val="44"/>
          <w:szCs w:val="44"/>
        </w:rPr>
        <w:t>》</w:t>
      </w:r>
    </w:p>
    <w:p w14:paraId="755DF534">
      <w:pPr>
        <w:pStyle w:val="12"/>
        <w:spacing w:before="0" w:after="0"/>
        <w:rPr>
          <w:rFonts w:ascii="方正小标宋简体" w:eastAsia="方正小标宋简体"/>
          <w:b w:val="0"/>
          <w:bCs w:val="0"/>
          <w:sz w:val="44"/>
          <w:szCs w:val="44"/>
        </w:rPr>
      </w:pPr>
      <w:r>
        <w:rPr>
          <w:rFonts w:hint="eastAsia" w:ascii="方正小标宋简体" w:eastAsia="方正小标宋简体"/>
          <w:b w:val="0"/>
          <w:bCs w:val="0"/>
          <w:sz w:val="44"/>
          <w:szCs w:val="44"/>
        </w:rPr>
        <w:t>申报指南</w:t>
      </w:r>
    </w:p>
    <w:p w14:paraId="3094B385"/>
    <w:p w14:paraId="53B7B0E2">
      <w:pPr>
        <w:pStyle w:val="2"/>
        <w:bidi w:val="0"/>
      </w:pPr>
      <w:r>
        <w:rPr>
          <w:rFonts w:hint="eastAsia"/>
        </w:rPr>
        <w:t>一、申报方式</w:t>
      </w:r>
    </w:p>
    <w:p w14:paraId="4909B773">
      <w:pPr>
        <w:ind w:firstLine="640" w:firstLineChars="20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（一）申报时间：2026年</w:t>
      </w:r>
      <w:r>
        <w:rPr>
          <w:rFonts w:hint="eastAsia" w:ascii="仿宋_GB2312" w:hAnsi="仿宋_GB2312" w:cs="仿宋_GB2312"/>
          <w:lang w:val="en-US" w:eastAsia="zh-CN"/>
        </w:rPr>
        <w:t>9</w:t>
      </w:r>
      <w:r>
        <w:rPr>
          <w:rFonts w:hint="eastAsia" w:ascii="仿宋_GB2312" w:hAnsi="仿宋_GB2312" w:cs="仿宋_GB2312"/>
        </w:rPr>
        <w:t>月</w:t>
      </w:r>
      <w:r>
        <w:rPr>
          <w:rFonts w:hint="eastAsia" w:ascii="仿宋_GB2312" w:hAnsi="仿宋_GB2312" w:cs="仿宋_GB2312"/>
          <w:lang w:val="en-US" w:eastAsia="zh-CN"/>
        </w:rPr>
        <w:t>18</w:t>
      </w:r>
      <w:r>
        <w:rPr>
          <w:rFonts w:hint="eastAsia" w:ascii="仿宋_GB2312" w:hAnsi="仿宋_GB2312" w:cs="仿宋_GB2312"/>
        </w:rPr>
        <w:t>日至</w:t>
      </w:r>
      <w:r>
        <w:rPr>
          <w:rFonts w:hint="eastAsia" w:ascii="仿宋_GB2312" w:hAnsi="仿宋_GB2312" w:cs="仿宋_GB2312"/>
          <w:lang w:val="en-US" w:eastAsia="zh-CN"/>
        </w:rPr>
        <w:t>10</w:t>
      </w:r>
      <w:r>
        <w:rPr>
          <w:rFonts w:hint="eastAsia" w:ascii="仿宋_GB2312" w:hAnsi="仿宋_GB2312" w:cs="仿宋_GB2312"/>
        </w:rPr>
        <w:t>月</w:t>
      </w:r>
      <w:r>
        <w:rPr>
          <w:rFonts w:hint="eastAsia" w:ascii="仿宋_GB2312" w:hAnsi="仿宋_GB2312" w:cs="仿宋_GB2312"/>
          <w:lang w:val="en-US" w:eastAsia="zh-CN"/>
        </w:rPr>
        <w:t>9</w:t>
      </w:r>
      <w:r>
        <w:rPr>
          <w:rFonts w:hint="eastAsia" w:ascii="仿宋_GB2312" w:hAnsi="仿宋_GB2312" w:cs="仿宋_GB2312"/>
        </w:rPr>
        <w:t>日。</w:t>
      </w:r>
    </w:p>
    <w:p w14:paraId="14CF9F75">
      <w:pPr>
        <w:ind w:firstLine="640" w:firstLineChars="20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（二）申报方式：申报主体登录北京市人民政府门户网站“政策兑现专区”（https://zhengce.beijing.gov.cn），按要求注册或登录单位账号，选择对应的项目并上传电子版材料进行申报。</w:t>
      </w:r>
    </w:p>
    <w:p w14:paraId="7C24F576">
      <w:pPr>
        <w:ind w:firstLine="640" w:firstLineChars="20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（三）纸质版材料报送：</w:t>
      </w:r>
      <w:r>
        <w:rPr>
          <w:rFonts w:hint="eastAsia" w:ascii="仿宋_GB2312" w:hAnsi="仿宋_GB2312" w:cs="仿宋_GB2312"/>
          <w:b/>
          <w:bCs/>
        </w:rPr>
        <w:t>线上</w:t>
      </w:r>
      <w:bookmarkStart w:id="2" w:name="_GoBack"/>
      <w:bookmarkEnd w:id="2"/>
      <w:r>
        <w:rPr>
          <w:rFonts w:hint="eastAsia" w:ascii="仿宋_GB2312" w:hAnsi="仿宋_GB2312" w:cs="仿宋_GB2312"/>
          <w:b/>
          <w:bCs/>
        </w:rPr>
        <w:t>申报材料审核通过后</w:t>
      </w:r>
      <w:r>
        <w:rPr>
          <w:rFonts w:hint="eastAsia" w:ascii="仿宋_GB2312" w:hAnsi="仿宋_GB2312" w:cs="仿宋_GB2312"/>
        </w:rPr>
        <w:t>，另行通知申报主体报送。</w:t>
      </w:r>
    </w:p>
    <w:p w14:paraId="30E9A548">
      <w:pPr>
        <w:ind w:firstLine="640" w:firstLineChars="20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（四）申报主体对申报材料的合法性、真实性、完整性和有效性负全部责任。申报主体涉及伪造、编造申请资料，或违反相关法律法规获取支持资金的，一经查实，申报主体须退回支持资金，并取消其5年内申请资格，性质严重者移交司法机关处理。</w:t>
      </w:r>
    </w:p>
    <w:p w14:paraId="0E7686E9">
      <w:pPr>
        <w:pStyle w:val="7"/>
        <w:ind w:firstLine="640"/>
        <w:rPr>
          <w:rFonts w:hint="eastAsia" w:ascii="仿宋_GB2312" w:hAnsi="仿宋_GB2312" w:cs="仿宋_GB2312"/>
        </w:rPr>
      </w:pPr>
      <w:r>
        <w:rPr>
          <w:rFonts w:hint="eastAsia" w:ascii="仿宋_GB2312" w:hAnsi="仿宋_GB2312" w:cs="仿宋_GB2312"/>
        </w:rPr>
        <w:t>（五）</w:t>
      </w:r>
      <w:r>
        <w:rPr>
          <w:rFonts w:hint="eastAsia" w:ascii="仿宋_GB2312" w:hAnsi="仿宋_GB2312" w:cs="仿宋_GB2312"/>
          <w:lang w:val="en-US" w:eastAsia="zh-CN"/>
        </w:rPr>
        <w:t>所有</w:t>
      </w:r>
      <w:r>
        <w:rPr>
          <w:rFonts w:hint="eastAsia" w:ascii="仿宋_GB2312" w:hAnsi="仿宋_GB2312" w:cs="仿宋_GB2312"/>
        </w:rPr>
        <w:t>条款均为2025年度政策支持。</w:t>
      </w:r>
    </w:p>
    <w:p w14:paraId="074D3EB9">
      <w:pPr>
        <w:spacing w:line="558" w:lineRule="exact"/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>）有以下情形的不予支持：</w:t>
      </w:r>
    </w:p>
    <w:p w14:paraId="188CDC9F">
      <w:pPr>
        <w:spacing w:line="558" w:lineRule="exact"/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1.申报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被列入《北京市新增产业的禁止和限制目录》禁止类和限制类范围的；</w:t>
      </w:r>
    </w:p>
    <w:p w14:paraId="2E50406C">
      <w:pPr>
        <w:spacing w:line="558" w:lineRule="exact"/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2.申报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被纳入全市联合惩戒“黑名单”的；</w:t>
      </w:r>
    </w:p>
    <w:p w14:paraId="7FB8072B">
      <w:pPr>
        <w:spacing w:line="558" w:lineRule="exact"/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3.申报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近三年在财务管理、税收管理、外汇管理、海关管理、统计管理等方面存在严重违法违规行为，拖欠应缴还财政性资金的；</w:t>
      </w:r>
    </w:p>
    <w:p w14:paraId="58547293">
      <w:pPr>
        <w:spacing w:line="558" w:lineRule="exact"/>
        <w:ind w:firstLine="640"/>
        <w:jc w:val="left"/>
      </w:pPr>
      <w:r>
        <w:rPr>
          <w:rFonts w:hint="eastAsia" w:ascii="仿宋_GB2312" w:hAnsi="仿宋_GB2312" w:eastAsia="仿宋_GB2312" w:cs="仿宋_GB2312"/>
          <w:sz w:val="32"/>
          <w:szCs w:val="32"/>
        </w:rPr>
        <w:t>4.经审议其他不予支持的。</w:t>
      </w:r>
    </w:p>
    <w:p w14:paraId="7422649E">
      <w:pPr>
        <w:pStyle w:val="2"/>
        <w:bidi w:val="0"/>
        <w:rPr>
          <w:rFonts w:hint="eastAsia"/>
        </w:rPr>
      </w:pPr>
      <w:r>
        <w:rPr>
          <w:rFonts w:hint="eastAsia"/>
        </w:rPr>
        <w:t>二、申报材料</w:t>
      </w:r>
    </w:p>
    <w:p w14:paraId="667B08A4">
      <w:pPr>
        <w:pStyle w:val="3"/>
        <w:bidi w:val="0"/>
      </w:pPr>
      <w:r>
        <w:rPr>
          <w:rFonts w:hint="eastAsia"/>
        </w:rPr>
        <w:t>（一）基础申报材料</w:t>
      </w:r>
    </w:p>
    <w:p w14:paraId="1907768A">
      <w:pPr>
        <w:ind w:firstLine="640" w:firstLineChars="20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申报主体均需于线上提交以下4项基础材料:</w:t>
      </w:r>
    </w:p>
    <w:p w14:paraId="4E5B4261">
      <w:pPr>
        <w:ind w:left="640" w:leftChars="20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1.游戏电竞行业高质量发展的若干措施申报表</w:t>
      </w:r>
      <w:r>
        <w:rPr>
          <w:rFonts w:hint="eastAsia" w:ascii="仿宋_GB2312" w:hAnsi="仿宋_GB2312" w:cs="仿宋_GB2312"/>
          <w:b/>
          <w:bCs/>
        </w:rPr>
        <w:t>（附件1）</w:t>
      </w:r>
      <w:r>
        <w:rPr>
          <w:rFonts w:hint="eastAsia" w:ascii="仿宋_GB2312" w:hAnsi="仿宋_GB2312" w:cs="仿宋_GB2312"/>
        </w:rPr>
        <w:t>；</w:t>
      </w:r>
    </w:p>
    <w:p w14:paraId="1E0E7090">
      <w:pPr>
        <w:ind w:firstLine="640" w:firstLineChars="20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2.营业执照复印件；</w:t>
      </w:r>
    </w:p>
    <w:p w14:paraId="2B00F850">
      <w:pPr>
        <w:ind w:firstLine="640" w:firstLineChars="200"/>
      </w:pPr>
      <w:r>
        <w:rPr>
          <w:rFonts w:hint="eastAsia" w:ascii="仿宋_GB2312" w:hAnsi="仿宋_GB2312" w:cs="仿宋_GB2312"/>
          <w:szCs w:val="32"/>
        </w:rPr>
        <w:t>3.企业开户许可证复印件或基本账户信息；</w:t>
      </w:r>
    </w:p>
    <w:p w14:paraId="32AF997B">
      <w:pPr>
        <w:ind w:firstLine="640" w:firstLineChars="200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cs="仿宋_GB2312"/>
        </w:rPr>
        <w:t>4.企业2025年度完税凭证（含个税）和</w:t>
      </w:r>
      <w:r>
        <w:rPr>
          <w:rFonts w:hint="eastAsia" w:ascii="仿宋_GB2312" w:hAnsi="仿宋_GB2312" w:cs="仿宋_GB2312"/>
          <w:lang w:val="en-US" w:eastAsia="zh-CN"/>
        </w:rPr>
        <w:t>2025年度</w:t>
      </w:r>
      <w:r>
        <w:rPr>
          <w:rFonts w:hint="eastAsia" w:ascii="仿宋_GB2312" w:hAnsi="仿宋_GB2312" w:cs="仿宋_GB2312"/>
        </w:rPr>
        <w:t>经审计的财务报告</w:t>
      </w:r>
      <w:r>
        <w:rPr>
          <w:rFonts w:hint="eastAsia" w:ascii="仿宋_GB2312" w:hAnsi="仿宋_GB2312" w:cs="仿宋_GB2312"/>
          <w:lang w:val="en-US" w:eastAsia="zh-CN"/>
        </w:rPr>
        <w:t>。</w:t>
      </w:r>
    </w:p>
    <w:p w14:paraId="262A21B6">
      <w:pPr>
        <w:pStyle w:val="3"/>
        <w:bidi w:val="0"/>
        <w:rPr>
          <w:rFonts w:hint="eastAsia"/>
        </w:rPr>
      </w:pPr>
      <w:r>
        <w:rPr>
          <w:rFonts w:hint="eastAsia"/>
        </w:rPr>
        <w:t>（二）各支持条款适用材料</w:t>
      </w:r>
    </w:p>
    <w:p w14:paraId="76A8EC69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第一条 支持产业集聚发展</w:t>
      </w:r>
    </w:p>
    <w:p w14:paraId="05CC4147">
      <w:pPr>
        <w:pStyle w:val="4"/>
        <w:bidi w:val="0"/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申报条件</w:t>
      </w:r>
    </w:p>
    <w:p w14:paraId="349D47D2">
      <w:pPr>
        <w:ind w:firstLine="640" w:firstLineChars="200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cs="仿宋_GB2312"/>
        </w:rPr>
        <w:t>（1）</w:t>
      </w:r>
      <w:r>
        <w:rPr>
          <w:rFonts w:hint="eastAsia" w:ascii="仿宋_GB2312" w:hAnsi="仿宋_GB2312" w:cs="仿宋_GB2312"/>
          <w:lang w:val="en-US" w:eastAsia="zh-CN"/>
        </w:rPr>
        <w:t>申报单位应具有独立法人资格、实行独立核算的企业；近三年无重大行政处罚记录和刑事犯罪记录，未列入严重违法失信主体名单。</w:t>
      </w:r>
    </w:p>
    <w:p w14:paraId="36B951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eastAsia="仿宋_GB2312"/>
          <w:bCs/>
          <w:color w:val="000000"/>
          <w:sz w:val="32"/>
          <w:szCs w:val="18"/>
          <w:lang w:val="en-US" w:eastAsia="zh-CN"/>
        </w:rPr>
      </w:pPr>
      <w:r>
        <w:rPr>
          <w:rFonts w:hint="eastAsia" w:ascii="仿宋_GB2312" w:eastAsia="仿宋_GB2312"/>
          <w:bCs/>
          <w:color w:val="000000"/>
          <w:sz w:val="32"/>
          <w:szCs w:val="18"/>
        </w:rPr>
        <w:t>（</w:t>
      </w:r>
      <w:r>
        <w:rPr>
          <w:rFonts w:hint="eastAsia" w:ascii="仿宋_GB2312"/>
          <w:bCs/>
          <w:color w:val="000000"/>
          <w:sz w:val="32"/>
          <w:szCs w:val="18"/>
          <w:lang w:val="en-US" w:eastAsia="zh-CN"/>
        </w:rPr>
        <w:t>2</w:t>
      </w:r>
      <w:r>
        <w:rPr>
          <w:rFonts w:hint="eastAsia" w:ascii="仿宋_GB2312" w:eastAsia="仿宋_GB2312"/>
          <w:bCs/>
          <w:color w:val="000000"/>
          <w:sz w:val="32"/>
          <w:szCs w:val="18"/>
        </w:rPr>
        <w:t>）申报</w:t>
      </w:r>
      <w:r>
        <w:rPr>
          <w:rFonts w:hint="eastAsia" w:ascii="仿宋_GB2312"/>
          <w:bCs/>
          <w:color w:val="000000"/>
          <w:sz w:val="32"/>
          <w:szCs w:val="18"/>
          <w:lang w:val="en-US" w:eastAsia="zh-CN"/>
        </w:rPr>
        <w:t>单位</w:t>
      </w:r>
      <w:r>
        <w:rPr>
          <w:rFonts w:hint="eastAsia" w:ascii="仿宋_GB2312" w:eastAsia="仿宋_GB2312"/>
          <w:bCs/>
          <w:color w:val="000000"/>
          <w:sz w:val="32"/>
          <w:szCs w:val="18"/>
        </w:rPr>
        <w:t>从事职业电竞俱乐部运营，</w:t>
      </w:r>
      <w:r>
        <w:rPr>
          <w:rFonts w:hint="eastAsia" w:ascii="仿宋_GB2312"/>
          <w:bCs/>
          <w:color w:val="000000"/>
          <w:sz w:val="32"/>
          <w:szCs w:val="18"/>
          <w:lang w:val="en-US" w:eastAsia="zh-CN"/>
        </w:rPr>
        <w:t>在通州区范围内有办公场地</w:t>
      </w:r>
      <w:r>
        <w:rPr>
          <w:rFonts w:hint="eastAsia" w:ascii="仿宋_GB2312" w:eastAsia="仿宋_GB2312"/>
          <w:bCs/>
          <w:color w:val="000000"/>
          <w:sz w:val="32"/>
          <w:lang w:val="en-US" w:eastAsia="zh-CN"/>
        </w:rPr>
        <w:t>。</w:t>
      </w:r>
    </w:p>
    <w:p w14:paraId="3C39DC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 w:firstLineChars="200"/>
        <w:textAlignment w:val="auto"/>
        <w:rPr>
          <w:rStyle w:val="17"/>
          <w:rFonts w:hint="default" w:ascii="仿宋_GB2312" w:hAnsi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Style w:val="17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（</w:t>
      </w:r>
      <w:r>
        <w:rPr>
          <w:rStyle w:val="17"/>
          <w:rFonts w:hint="eastAsia" w:ascii="仿宋_GB2312" w:hAnsi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Style w:val="17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）申报</w:t>
      </w:r>
      <w:r>
        <w:rPr>
          <w:rStyle w:val="17"/>
          <w:rFonts w:hint="eastAsia" w:ascii="仿宋_GB2312" w:hAnsi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单位</w:t>
      </w:r>
      <w:r>
        <w:rPr>
          <w:rStyle w:val="17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在202</w:t>
      </w:r>
      <w:r>
        <w:rPr>
          <w:rStyle w:val="17"/>
          <w:rFonts w:hint="eastAsia" w:ascii="仿宋_GB2312" w:hAnsi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Style w:val="17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年1月1日至202</w:t>
      </w:r>
      <w:r>
        <w:rPr>
          <w:rStyle w:val="17"/>
          <w:rFonts w:hint="eastAsia" w:ascii="仿宋_GB2312" w:hAnsi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Style w:val="17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年12月31日期间参加相关国际、全国职业电竞赛事</w:t>
      </w:r>
      <w:r>
        <w:rPr>
          <w:rStyle w:val="17"/>
          <w:rFonts w:hint="eastAsia" w:ascii="仿宋_GB2312" w:hAnsi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。</w:t>
      </w:r>
    </w:p>
    <w:p w14:paraId="63317E00">
      <w:pPr>
        <w:pStyle w:val="6"/>
        <w:ind w:firstLine="640" w:firstLineChars="200"/>
        <w:rPr>
          <w:rFonts w:hint="default"/>
          <w:lang w:val="en-US" w:eastAsia="zh-CN"/>
        </w:rPr>
      </w:pPr>
      <w:r>
        <w:rPr>
          <w:rStyle w:val="17"/>
          <w:rFonts w:hint="eastAsia" w:ascii="仿宋_GB2312" w:hAnsi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（4）申报单位参加的赛事总奖励金额在300万元以上，参赛次数不少于20场次，或在参赛进入相关决赛。</w:t>
      </w:r>
    </w:p>
    <w:p w14:paraId="78F87625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2.该条款申报材料</w:t>
      </w:r>
    </w:p>
    <w:p w14:paraId="06111FBE">
      <w:pPr>
        <w:pStyle w:val="7"/>
        <w:ind w:firstLine="643"/>
        <w:rPr>
          <w:rFonts w:ascii="仿宋_GB2312" w:hAnsi="仿宋_GB2312" w:cs="仿宋_GB2312"/>
          <w:bCs w:val="0"/>
          <w:szCs w:val="32"/>
        </w:rPr>
      </w:pPr>
      <w:r>
        <w:rPr>
          <w:rFonts w:hint="eastAsia" w:ascii="仿宋_GB2312" w:hAnsi="仿宋_GB2312" w:cs="仿宋_GB2312"/>
          <w:bCs w:val="0"/>
          <w:szCs w:val="32"/>
          <w:lang w:eastAsia="zh-CN"/>
        </w:rPr>
        <w:t>（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1</w:t>
      </w:r>
      <w:r>
        <w:rPr>
          <w:rFonts w:hint="eastAsia" w:ascii="仿宋_GB2312" w:hAnsi="仿宋_GB2312" w:cs="仿宋_GB2312"/>
          <w:bCs w:val="0"/>
          <w:szCs w:val="32"/>
          <w:lang w:eastAsia="zh-CN"/>
        </w:rPr>
        <w:t>）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申报单位电竞俱乐部运营</w:t>
      </w:r>
      <w:r>
        <w:rPr>
          <w:rFonts w:hint="eastAsia" w:ascii="仿宋_GB2312" w:hAnsi="仿宋_GB2312" w:cs="仿宋_GB2312"/>
          <w:lang w:val="en-US" w:eastAsia="zh-CN"/>
        </w:rPr>
        <w:t>情况报告，包括不限于单位简介、俱乐部发展及团队情况、俱乐部参赛情况、俱乐部未来3年发展规划等。</w:t>
      </w:r>
    </w:p>
    <w:p w14:paraId="60AAAE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/>
          <w:bCs/>
          <w:color w:val="000000"/>
          <w:sz w:val="32"/>
          <w:szCs w:val="18"/>
          <w:highlight w:val="none"/>
          <w:lang w:val="en-US" w:eastAsia="zh-CN"/>
        </w:rPr>
      </w:pPr>
      <w:r>
        <w:rPr>
          <w:rFonts w:hint="eastAsia" w:ascii="仿宋_GB2312" w:hAnsi="仿宋_GB2312" w:cs="仿宋_GB2312"/>
          <w:bCs w:val="0"/>
          <w:lang w:eastAsia="zh-CN"/>
        </w:rPr>
        <w:t>（</w:t>
      </w:r>
      <w:r>
        <w:rPr>
          <w:rFonts w:hint="eastAsia" w:ascii="仿宋_GB2312" w:hAnsi="仿宋_GB2312" w:cs="仿宋_GB2312"/>
          <w:bCs w:val="0"/>
          <w:lang w:val="en-US" w:eastAsia="zh-CN"/>
        </w:rPr>
        <w:t>2</w:t>
      </w:r>
      <w:r>
        <w:rPr>
          <w:rFonts w:hint="eastAsia" w:ascii="仿宋_GB2312" w:hAnsi="仿宋_GB2312" w:cs="仿宋_GB2312"/>
          <w:bCs w:val="0"/>
          <w:lang w:eastAsia="zh-CN"/>
        </w:rPr>
        <w:t>）</w:t>
      </w:r>
      <w:r>
        <w:rPr>
          <w:rFonts w:hint="eastAsia" w:ascii="仿宋_GB2312" w:eastAsia="仿宋_GB2312"/>
          <w:bCs/>
          <w:color w:val="000000"/>
          <w:sz w:val="32"/>
          <w:szCs w:val="18"/>
          <w:highlight w:val="none"/>
          <w:lang w:val="en-US" w:eastAsia="zh-CN"/>
        </w:rPr>
        <w:t>申报</w:t>
      </w:r>
      <w:r>
        <w:rPr>
          <w:rFonts w:hint="eastAsia" w:ascii="仿宋_GB2312"/>
          <w:bCs/>
          <w:color w:val="000000"/>
          <w:sz w:val="32"/>
          <w:szCs w:val="18"/>
          <w:highlight w:val="none"/>
          <w:lang w:val="en-US" w:eastAsia="zh-CN"/>
        </w:rPr>
        <w:t>单位2025年度参赛情况明细表（见附件2）。</w:t>
      </w:r>
    </w:p>
    <w:p w14:paraId="3EEBE1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/>
          <w:bCs/>
          <w:color w:val="000000"/>
          <w:sz w:val="32"/>
          <w:szCs w:val="18"/>
          <w:highlight w:val="none"/>
          <w:lang w:val="en-US" w:eastAsia="zh-CN"/>
        </w:rPr>
        <w:t>（3）申报单位参赛情况</w:t>
      </w:r>
      <w:r>
        <w:rPr>
          <w:rFonts w:hint="eastAsia" w:ascii="仿宋_GB2312" w:eastAsia="仿宋_GB2312"/>
          <w:bCs/>
          <w:color w:val="000000"/>
          <w:sz w:val="32"/>
          <w:szCs w:val="18"/>
          <w:highlight w:val="none"/>
          <w:lang w:val="en-US" w:eastAsia="zh-CN"/>
        </w:rPr>
        <w:t>及</w:t>
      </w:r>
      <w:r>
        <w:rPr>
          <w:rFonts w:hint="eastAsia" w:ascii="仿宋_GB2312"/>
          <w:bCs/>
          <w:color w:val="000000"/>
          <w:sz w:val="32"/>
          <w:szCs w:val="18"/>
          <w:highlight w:val="none"/>
          <w:lang w:val="en-US" w:eastAsia="zh-CN"/>
        </w:rPr>
        <w:t>进入决赛</w:t>
      </w:r>
      <w:r>
        <w:rPr>
          <w:rFonts w:hint="eastAsia" w:ascii="仿宋_GB2312" w:eastAsia="仿宋_GB2312"/>
          <w:bCs/>
          <w:color w:val="000000"/>
          <w:sz w:val="32"/>
          <w:szCs w:val="18"/>
          <w:highlight w:val="none"/>
          <w:lang w:val="en-US" w:eastAsia="zh-CN"/>
        </w:rPr>
        <w:t>情况证明材料，包括但不限于</w:t>
      </w:r>
      <w:r>
        <w:rPr>
          <w:rFonts w:hint="eastAsia" w:ascii="仿宋_GB2312"/>
          <w:bCs/>
          <w:color w:val="000000"/>
          <w:sz w:val="32"/>
          <w:szCs w:val="18"/>
          <w:highlight w:val="none"/>
          <w:lang w:val="en-US" w:eastAsia="zh-CN"/>
        </w:rPr>
        <w:t>赛事介绍（含奖金额度证明）、</w:t>
      </w:r>
      <w:r>
        <w:rPr>
          <w:rFonts w:hint="eastAsia" w:ascii="仿宋_GB2312" w:eastAsia="仿宋_GB2312"/>
          <w:bCs/>
          <w:color w:val="000000"/>
          <w:sz w:val="32"/>
          <w:szCs w:val="18"/>
          <w:highlight w:val="none"/>
        </w:rPr>
        <w:t>报名回执、缴费记录、</w:t>
      </w:r>
      <w:r>
        <w:rPr>
          <w:rFonts w:hint="eastAsia" w:ascii="仿宋_GB2312"/>
          <w:bCs/>
          <w:color w:val="000000"/>
          <w:sz w:val="32"/>
          <w:szCs w:val="18"/>
          <w:highlight w:val="none"/>
          <w:lang w:val="en-US" w:eastAsia="zh-CN"/>
        </w:rPr>
        <w:t>参赛记录、</w:t>
      </w:r>
      <w:r>
        <w:rPr>
          <w:rFonts w:hint="eastAsia" w:ascii="仿宋_GB2312" w:eastAsia="仿宋_GB2312"/>
          <w:bCs/>
          <w:color w:val="000000"/>
          <w:sz w:val="32"/>
          <w:szCs w:val="18"/>
          <w:highlight w:val="none"/>
        </w:rPr>
        <w:t>赛事活动宣传材料等</w:t>
      </w:r>
      <w:r>
        <w:rPr>
          <w:rFonts w:hint="eastAsia" w:ascii="仿宋_GB2312"/>
          <w:bCs/>
          <w:color w:val="000000"/>
          <w:sz w:val="32"/>
          <w:szCs w:val="18"/>
          <w:highlight w:val="none"/>
          <w:lang w:eastAsia="zh-CN"/>
        </w:rPr>
        <w:t>。</w:t>
      </w:r>
    </w:p>
    <w:p w14:paraId="2179CBB9">
      <w:pPr>
        <w:pStyle w:val="7"/>
        <w:ind w:firstLine="643"/>
        <w:rPr>
          <w:rFonts w:hint="eastAsia" w:ascii="仿宋_GB2312" w:hAnsi="仿宋_GB2312" w:cs="仿宋_GB2312"/>
          <w:bCs w:val="0"/>
          <w:szCs w:val="32"/>
          <w:lang w:val="en-US" w:eastAsia="zh-CN"/>
        </w:rPr>
      </w:pPr>
      <w:r>
        <w:rPr>
          <w:rFonts w:hint="eastAsia" w:ascii="仿宋_GB2312" w:hAnsi="仿宋_GB2312" w:cs="仿宋_GB2312"/>
          <w:lang w:eastAsia="zh-CN"/>
        </w:rPr>
        <w:t>（</w:t>
      </w:r>
      <w:r>
        <w:rPr>
          <w:rFonts w:hint="eastAsia" w:ascii="仿宋_GB2312" w:hAnsi="仿宋_GB2312" w:cs="仿宋_GB2312"/>
          <w:lang w:val="en-US" w:eastAsia="zh-CN"/>
        </w:rPr>
        <w:t>4</w:t>
      </w:r>
      <w:r>
        <w:rPr>
          <w:rFonts w:hint="eastAsia" w:ascii="仿宋_GB2312" w:hAnsi="仿宋_GB2312" w:cs="仿宋_GB2312"/>
          <w:lang w:eastAsia="zh-CN"/>
        </w:rPr>
        <w:t>）</w:t>
      </w:r>
      <w:r>
        <w:rPr>
          <w:rFonts w:hint="eastAsia" w:ascii="仿宋_GB2312" w:hAnsi="仿宋_GB2312" w:cs="仿宋_GB2312"/>
          <w:lang w:val="en-US" w:eastAsia="zh-CN"/>
        </w:rPr>
        <w:t>申报单位经营场地情况，</w:t>
      </w:r>
      <w:r>
        <w:rPr>
          <w:rFonts w:hint="eastAsia" w:ascii="仿宋_GB2312" w:hAnsi="仿宋_GB2312" w:cs="仿宋_GB2312"/>
          <w:kern w:val="2"/>
          <w:sz w:val="32"/>
          <w:szCs w:val="24"/>
          <w:lang w:val="en-US" w:eastAsia="zh-CN" w:bidi="ar-SA"/>
        </w:rPr>
        <w:t>包括不限于提供房产证或者房租租赁证明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。</w:t>
      </w:r>
    </w:p>
    <w:p w14:paraId="4B496645">
      <w:pPr>
        <w:rPr>
          <w:rFonts w:hint="eastAsia"/>
          <w:lang w:val="en-US" w:eastAsia="zh-CN"/>
        </w:rPr>
      </w:pPr>
    </w:p>
    <w:p w14:paraId="6C9E2C6D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第二条 支持创作精品游戏</w:t>
      </w:r>
    </w:p>
    <w:p w14:paraId="32E7D9A3">
      <w:pPr>
        <w:pStyle w:val="4"/>
        <w:bidi w:val="0"/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申报条件</w:t>
      </w:r>
    </w:p>
    <w:p w14:paraId="2684008B">
      <w:pPr>
        <w:ind w:firstLine="640" w:firstLineChars="200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cs="仿宋_GB2312"/>
        </w:rPr>
        <w:t>（1）</w:t>
      </w:r>
      <w:r>
        <w:rPr>
          <w:rFonts w:hint="eastAsia" w:ascii="仿宋_GB2312" w:hAnsi="仿宋_GB2312" w:cs="仿宋_GB2312"/>
          <w:lang w:val="en-US" w:eastAsia="zh-CN"/>
        </w:rPr>
        <w:t>申报单位应具有独立法人资格、实行独立核算的企业；近三年无重大行政处罚记录和刑事犯罪记录，未列入严重违法失信主体名单。</w:t>
      </w:r>
    </w:p>
    <w:p w14:paraId="743F5CB4">
      <w:pPr>
        <w:ind w:firstLine="640" w:firstLineChars="200"/>
        <w:rPr>
          <w:rFonts w:hint="default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（2）</w:t>
      </w:r>
      <w:r>
        <w:rPr>
          <w:rFonts w:hint="default" w:ascii="仿宋_GB2312" w:hAnsi="仿宋_GB2312" w:cs="仿宋_GB2312"/>
          <w:lang w:val="en-US" w:eastAsia="zh-CN"/>
        </w:rPr>
        <w:t>申报</w:t>
      </w:r>
      <w:r>
        <w:rPr>
          <w:rFonts w:hint="eastAsia" w:ascii="仿宋_GB2312" w:hAnsi="仿宋_GB2312" w:cs="仿宋_GB2312"/>
          <w:lang w:val="en-US" w:eastAsia="zh-CN"/>
        </w:rPr>
        <w:t>单位</w:t>
      </w:r>
      <w:r>
        <w:rPr>
          <w:rFonts w:hint="default" w:ascii="仿宋_GB2312" w:hAnsi="仿宋_GB2312" w:cs="仿宋_GB2312"/>
          <w:lang w:val="en-US" w:eastAsia="zh-CN"/>
        </w:rPr>
        <w:t>游戏作品产权清晰，拥有或已申请原创知识产权，且申报</w:t>
      </w:r>
      <w:r>
        <w:rPr>
          <w:rFonts w:hint="eastAsia" w:ascii="仿宋_GB2312" w:hAnsi="仿宋_GB2312" w:cs="仿宋_GB2312"/>
          <w:lang w:val="en-US" w:eastAsia="zh-CN"/>
        </w:rPr>
        <w:t>单位</w:t>
      </w:r>
      <w:r>
        <w:rPr>
          <w:rFonts w:hint="default" w:ascii="仿宋_GB2312" w:hAnsi="仿宋_GB2312" w:cs="仿宋_GB2312"/>
          <w:lang w:val="en-US" w:eastAsia="zh-CN"/>
        </w:rPr>
        <w:t>为作品登记所有人，如作品涉及多个登记所有人，须由第一所有人牵头申报。</w:t>
      </w:r>
    </w:p>
    <w:p w14:paraId="4231E4BE">
      <w:pPr>
        <w:ind w:firstLine="640" w:firstLineChars="200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（3）</w:t>
      </w:r>
      <w:r>
        <w:rPr>
          <w:rFonts w:hint="default" w:ascii="仿宋_GB2312" w:hAnsi="仿宋_GB2312" w:cs="仿宋_GB2312"/>
          <w:lang w:val="en-US" w:eastAsia="zh-CN"/>
        </w:rPr>
        <w:t>申报</w:t>
      </w:r>
      <w:r>
        <w:rPr>
          <w:rFonts w:hint="eastAsia" w:ascii="仿宋_GB2312" w:hAnsi="仿宋_GB2312" w:cs="仿宋_GB2312"/>
          <w:lang w:val="en-US" w:eastAsia="zh-CN"/>
        </w:rPr>
        <w:t>单位游戏内容弘扬正能量、价值导向正确</w:t>
      </w:r>
    </w:p>
    <w:p w14:paraId="75152665">
      <w:pPr>
        <w:ind w:firstLine="640" w:firstLineChars="200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（4）</w:t>
      </w:r>
      <w:r>
        <w:rPr>
          <w:rFonts w:hint="default" w:ascii="仿宋_GB2312" w:hAnsi="仿宋_GB2312" w:cs="仿宋_GB2312"/>
          <w:lang w:val="en-US" w:eastAsia="zh-CN"/>
        </w:rPr>
        <w:t>申报</w:t>
      </w:r>
      <w:r>
        <w:rPr>
          <w:rFonts w:hint="eastAsia" w:ascii="仿宋_GB2312" w:hAnsi="仿宋_GB2312" w:cs="仿宋_GB2312"/>
          <w:lang w:val="en-US" w:eastAsia="zh-CN"/>
        </w:rPr>
        <w:t>单位游戏作品</w:t>
      </w:r>
      <w:r>
        <w:rPr>
          <w:rFonts w:hint="default" w:ascii="仿宋_GB2312" w:hAnsi="仿宋_GB2312" w:cs="仿宋_GB2312"/>
          <w:lang w:val="en-US" w:eastAsia="zh-CN"/>
        </w:rPr>
        <w:t>获得主管部门批准版号并上线运营</w:t>
      </w:r>
      <w:r>
        <w:rPr>
          <w:rFonts w:hint="eastAsia" w:ascii="仿宋_GB2312" w:hAnsi="仿宋_GB2312" w:cs="仿宋_GB2312"/>
          <w:lang w:val="en-US" w:eastAsia="zh-CN"/>
        </w:rPr>
        <w:t>。</w:t>
      </w:r>
    </w:p>
    <w:p w14:paraId="11ED31AD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2.该条款申报材料</w:t>
      </w:r>
    </w:p>
    <w:p w14:paraId="6B0473EF">
      <w:pPr>
        <w:pStyle w:val="7"/>
        <w:ind w:firstLine="643"/>
        <w:rPr>
          <w:rFonts w:ascii="仿宋_GB2312" w:hAnsi="仿宋_GB2312" w:cs="仿宋_GB2312"/>
          <w:bCs w:val="0"/>
          <w:szCs w:val="32"/>
        </w:rPr>
      </w:pPr>
      <w:r>
        <w:rPr>
          <w:rFonts w:hint="eastAsia" w:ascii="仿宋_GB2312" w:hAnsi="仿宋_GB2312" w:cs="仿宋_GB2312"/>
          <w:bCs w:val="0"/>
          <w:szCs w:val="32"/>
          <w:lang w:eastAsia="zh-CN"/>
        </w:rPr>
        <w:t>（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1</w:t>
      </w:r>
      <w:r>
        <w:rPr>
          <w:rFonts w:hint="eastAsia" w:ascii="仿宋_GB2312" w:hAnsi="仿宋_GB2312" w:cs="仿宋_GB2312"/>
          <w:bCs w:val="0"/>
          <w:szCs w:val="32"/>
          <w:lang w:eastAsia="zh-CN"/>
        </w:rPr>
        <w:t>）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申报单位精品游戏创作</w:t>
      </w:r>
      <w:r>
        <w:rPr>
          <w:rFonts w:hint="eastAsia" w:ascii="仿宋_GB2312" w:hAnsi="仿宋_GB2312" w:cs="仿宋_GB2312"/>
          <w:lang w:val="en-US" w:eastAsia="zh-CN"/>
        </w:rPr>
        <w:t>情况报告，包括不限于单位简介、精品游戏创作情况、精品游戏市场投放情况、</w:t>
      </w:r>
      <w:r>
        <w:rPr>
          <w:rFonts w:hint="eastAsia" w:ascii="仿宋_GB2312" w:eastAsia="仿宋_GB2312"/>
          <w:bCs/>
          <w:color w:val="000000"/>
          <w:sz w:val="32"/>
          <w:szCs w:val="18"/>
          <w:lang w:val="en-US" w:eastAsia="zh-CN"/>
        </w:rPr>
        <w:t>其他相关资质荣誉或赛事应用情况</w:t>
      </w:r>
      <w:r>
        <w:rPr>
          <w:rFonts w:hint="eastAsia" w:ascii="仿宋_GB2312"/>
          <w:bCs/>
          <w:color w:val="000000"/>
          <w:sz w:val="32"/>
          <w:szCs w:val="18"/>
          <w:lang w:val="en-US" w:eastAsia="zh-CN"/>
        </w:rPr>
        <w:t>、</w:t>
      </w:r>
      <w:r>
        <w:rPr>
          <w:rFonts w:hint="eastAsia" w:ascii="仿宋_GB2312" w:hAnsi="仿宋_GB2312" w:cs="仿宋_GB2312"/>
          <w:lang w:val="en-US" w:eastAsia="zh-CN"/>
        </w:rPr>
        <w:t>未来3年发展规划等。</w:t>
      </w:r>
    </w:p>
    <w:p w14:paraId="4E5055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（2）申报单位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精品游戏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产权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证明材料，需提供</w:t>
      </w:r>
      <w:r>
        <w:rPr>
          <w:rStyle w:val="17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获得国家主管部门批准版号</w:t>
      </w:r>
      <w:r>
        <w:rPr>
          <w:rFonts w:hint="eastAsia" w:ascii="仿宋_GB2312" w:eastAsia="仿宋_GB2312"/>
          <w:bCs/>
          <w:color w:val="000000"/>
          <w:sz w:val="32"/>
          <w:szCs w:val="18"/>
          <w:lang w:val="en-US" w:eastAsia="zh-CN"/>
        </w:rPr>
        <w:t>证明、知识产权证明、国内外上线运营证明等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786C38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/>
          <w:bCs/>
          <w:color w:val="000000"/>
          <w:sz w:val="32"/>
          <w:szCs w:val="18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（3）申报单位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精品游戏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2025年度投放使用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证明材料，需提供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游戏国内外主流游戏销售平台下载量和下载排名情况证明、或入选国际、全国性综合体育赛事证明</w:t>
      </w:r>
      <w:r>
        <w:rPr>
          <w:rFonts w:hint="eastAsia" w:ascii="仿宋_GB2312" w:eastAsia="仿宋_GB2312"/>
          <w:bCs/>
          <w:color w:val="000000"/>
          <w:sz w:val="32"/>
          <w:szCs w:val="18"/>
          <w:lang w:val="en-US" w:eastAsia="zh-CN"/>
        </w:rPr>
        <w:t>等</w:t>
      </w:r>
      <w:r>
        <w:rPr>
          <w:rFonts w:hint="eastAsia" w:ascii="仿宋_GB2312"/>
          <w:bCs/>
          <w:color w:val="000000"/>
          <w:sz w:val="32"/>
          <w:szCs w:val="18"/>
          <w:lang w:val="en-US" w:eastAsia="zh-CN"/>
        </w:rPr>
        <w:t>。</w:t>
      </w:r>
    </w:p>
    <w:p w14:paraId="4F948783">
      <w:pPr>
        <w:spacing w:line="560" w:lineRule="exact"/>
        <w:ind w:firstLine="640" w:firstLineChars="200"/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（4）申报单位提供其他相关精品游戏证明材料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53D27CB8">
      <w:pPr>
        <w:pStyle w:val="4"/>
        <w:bidi w:val="0"/>
        <w:rPr>
          <w:rFonts w:hint="eastAsia"/>
          <w:lang w:val="en-US" w:eastAsia="zh-CN"/>
        </w:rPr>
      </w:pPr>
      <w:bookmarkStart w:id="0" w:name="_Hlk177114563"/>
      <w:r>
        <w:rPr>
          <w:rFonts w:hint="eastAsia"/>
          <w:lang w:val="en-US" w:eastAsia="zh-CN"/>
        </w:rPr>
        <w:t xml:space="preserve">第三条 </w:t>
      </w:r>
      <w:r>
        <w:rPr>
          <w:rFonts w:hint="default"/>
          <w:lang w:val="en-US" w:eastAsia="zh-CN"/>
        </w:rPr>
        <w:t>支持举办电竞赛事</w:t>
      </w:r>
    </w:p>
    <w:p w14:paraId="1D1163F5">
      <w:pPr>
        <w:pStyle w:val="4"/>
        <w:bidi w:val="0"/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申报条件</w:t>
      </w:r>
    </w:p>
    <w:p w14:paraId="75063C33">
      <w:pPr>
        <w:ind w:firstLine="640" w:firstLineChars="200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cs="仿宋_GB2312"/>
        </w:rPr>
        <w:t>（1）</w:t>
      </w:r>
      <w:r>
        <w:rPr>
          <w:rFonts w:hint="eastAsia" w:ascii="仿宋_GB2312" w:hAnsi="仿宋_GB2312" w:cs="仿宋_GB2312"/>
          <w:lang w:val="en-US" w:eastAsia="zh-CN"/>
        </w:rPr>
        <w:t>申报单位应具有独立法人资格、实行独立核算的企业；近三年无重大行政处罚记录和刑事犯罪记录，未列入严重违法失信主体名单。</w:t>
      </w:r>
    </w:p>
    <w:p w14:paraId="149E0F9F">
      <w:pPr>
        <w:wordWrap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cs="仿宋_GB2312"/>
        </w:rPr>
        <w:t>（</w:t>
      </w:r>
      <w:r>
        <w:rPr>
          <w:rFonts w:hint="eastAsia" w:ascii="仿宋_GB2312" w:hAnsi="仿宋_GB2312" w:cs="仿宋_GB2312"/>
          <w:lang w:val="en-US" w:eastAsia="zh-CN"/>
        </w:rPr>
        <w:t>2</w:t>
      </w:r>
      <w:r>
        <w:rPr>
          <w:rFonts w:hint="eastAsia" w:ascii="仿宋_GB2312" w:hAnsi="仿宋_GB2312" w:cs="仿宋_GB2312"/>
        </w:rPr>
        <w:t>）</w:t>
      </w:r>
      <w:r>
        <w:rPr>
          <w:rFonts w:hint="eastAsia" w:ascii="仿宋_GB2312" w:hAnsi="仿宋_GB2312" w:cs="仿宋_GB2312"/>
          <w:lang w:val="en-US" w:eastAsia="zh-CN"/>
        </w:rPr>
        <w:t>申报单位在通州区范围内举办电竞赛事，且在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度已按期完成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2087FD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eastAsia="仿宋_GB2312"/>
          <w:bCs/>
          <w:color w:val="auto"/>
          <w:sz w:val="32"/>
          <w:szCs w:val="18"/>
          <w:lang w:eastAsia="zh-CN"/>
        </w:rPr>
      </w:pPr>
      <w:r>
        <w:rPr>
          <w:rFonts w:hint="eastAsia" w:ascii="仿宋_GB2312" w:eastAsia="仿宋_GB2312"/>
          <w:bCs/>
          <w:color w:val="auto"/>
          <w:sz w:val="32"/>
          <w:szCs w:val="18"/>
          <w:lang w:val="en-US" w:eastAsia="zh-CN"/>
        </w:rPr>
        <w:t>（</w:t>
      </w:r>
      <w:r>
        <w:rPr>
          <w:rFonts w:hint="eastAsia" w:ascii="仿宋_GB2312"/>
          <w:bCs/>
          <w:color w:val="auto"/>
          <w:sz w:val="32"/>
          <w:szCs w:val="18"/>
          <w:lang w:val="en-US" w:eastAsia="zh-CN"/>
        </w:rPr>
        <w:t>3</w:t>
      </w:r>
      <w:r>
        <w:rPr>
          <w:rFonts w:hint="eastAsia" w:ascii="仿宋_GB2312" w:eastAsia="仿宋_GB2312"/>
          <w:bCs/>
          <w:color w:val="auto"/>
          <w:sz w:val="32"/>
          <w:szCs w:val="18"/>
          <w:lang w:val="en-US" w:eastAsia="zh-CN"/>
        </w:rPr>
        <w:t>）</w:t>
      </w:r>
      <w:r>
        <w:rPr>
          <w:rFonts w:hint="eastAsia" w:ascii="仿宋_GB2312" w:eastAsia="仿宋_GB2312"/>
          <w:bCs/>
          <w:color w:val="auto"/>
          <w:sz w:val="32"/>
          <w:szCs w:val="18"/>
        </w:rPr>
        <w:t>国际职业电竞赛事是指由2个以上国家（地区）的职业电竞俱乐部参与、总奖金额1000万元以上的联赛、杯赛赛事；全国职业电竞赛事是指由2个以上国内不同地区注册的职业电竞俱乐部参与、总奖金额300万元以上的联赛、杯赛赛事。其中联赛的支持范围，包括在</w:t>
      </w:r>
      <w:r>
        <w:rPr>
          <w:rFonts w:hint="eastAsia" w:ascii="仿宋_GB2312"/>
          <w:bCs/>
          <w:color w:val="auto"/>
          <w:sz w:val="32"/>
          <w:szCs w:val="18"/>
          <w:lang w:val="en-US" w:eastAsia="zh-CN"/>
        </w:rPr>
        <w:t>通州区</w:t>
      </w:r>
      <w:r>
        <w:rPr>
          <w:rFonts w:hint="eastAsia" w:ascii="仿宋_GB2312" w:eastAsia="仿宋_GB2312"/>
          <w:bCs/>
          <w:color w:val="auto"/>
          <w:sz w:val="32"/>
          <w:szCs w:val="18"/>
        </w:rPr>
        <w:t>举办的季赛、决赛、季后赛赛事</w:t>
      </w:r>
      <w:r>
        <w:rPr>
          <w:rFonts w:hint="eastAsia" w:ascii="仿宋_GB2312" w:eastAsia="仿宋_GB2312"/>
          <w:bCs/>
          <w:color w:val="auto"/>
          <w:sz w:val="32"/>
          <w:szCs w:val="18"/>
          <w:lang w:eastAsia="zh-CN"/>
        </w:rPr>
        <w:t>。</w:t>
      </w:r>
    </w:p>
    <w:p w14:paraId="2E9E6AA3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2.该条款申报材料</w:t>
      </w:r>
    </w:p>
    <w:p w14:paraId="321A4D7E">
      <w:pPr>
        <w:pStyle w:val="7"/>
        <w:ind w:firstLine="643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bCs w:val="0"/>
          <w:szCs w:val="32"/>
          <w:lang w:eastAsia="zh-CN"/>
        </w:rPr>
        <w:t>（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1</w:t>
      </w:r>
      <w:r>
        <w:rPr>
          <w:rFonts w:hint="eastAsia" w:ascii="仿宋_GB2312" w:hAnsi="仿宋_GB2312" w:cs="仿宋_GB2312"/>
          <w:bCs w:val="0"/>
          <w:szCs w:val="32"/>
          <w:lang w:eastAsia="zh-CN"/>
        </w:rPr>
        <w:t>）</w:t>
      </w:r>
      <w:r>
        <w:rPr>
          <w:rFonts w:hint="eastAsia" w:ascii="仿宋_GB2312" w:hAnsi="仿宋_GB2312" w:cs="仿宋_GB2312"/>
          <w:bCs w:val="0"/>
          <w:szCs w:val="32"/>
          <w:lang w:val="en-US" w:eastAsia="zh-CN"/>
        </w:rPr>
        <w:t>申报单位举办电竞赛事活动方案</w:t>
      </w:r>
      <w:r>
        <w:rPr>
          <w:rFonts w:hint="eastAsia" w:ascii="仿宋_GB2312" w:hAnsi="仿宋_GB2312" w:cs="仿宋_GB2312"/>
          <w:lang w:val="en-US" w:eastAsia="zh-CN"/>
        </w:rPr>
        <w:t>。</w:t>
      </w:r>
    </w:p>
    <w:p w14:paraId="6EB1C9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</w:pP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（2）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申报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举办电竞赛事相关证明材料，包括不限于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媒体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预热宣传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活动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照片、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参赛团队证明、赛事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签到表、推广宣传等材料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。</w:t>
      </w:r>
    </w:p>
    <w:p w14:paraId="6690F3AD">
      <w:pPr>
        <w:pStyle w:val="7"/>
        <w:ind w:firstLine="643"/>
        <w:rPr>
          <w:rFonts w:hint="default" w:ascii="仿宋_GB2312" w:hAnsi="仿宋_GB2312" w:cs="仿宋_GB2312"/>
          <w:bCs w:val="0"/>
          <w:szCs w:val="32"/>
          <w:lang w:val="en-US" w:eastAsia="zh-CN"/>
        </w:rPr>
      </w:pPr>
      <w:r>
        <w:rPr>
          <w:rFonts w:hint="eastAsia" w:ascii="仿宋_GB2312" w:hAnsi="仿宋_GB2312" w:cs="仿宋_GB2312"/>
          <w:bCs w:val="0"/>
          <w:lang w:eastAsia="zh-CN"/>
        </w:rPr>
        <w:t>（</w:t>
      </w:r>
      <w:r>
        <w:rPr>
          <w:rFonts w:hint="eastAsia" w:ascii="仿宋_GB2312" w:hAnsi="仿宋_GB2312" w:cs="仿宋_GB2312"/>
          <w:bCs w:val="0"/>
          <w:lang w:val="en-US" w:eastAsia="zh-CN"/>
        </w:rPr>
        <w:t>3</w:t>
      </w:r>
      <w:r>
        <w:rPr>
          <w:rFonts w:hint="eastAsia" w:ascii="仿宋_GB2312" w:hAnsi="仿宋_GB2312" w:cs="仿宋_GB2312"/>
          <w:bCs w:val="0"/>
          <w:lang w:eastAsia="zh-CN"/>
        </w:rPr>
        <w:t>）</w:t>
      </w:r>
      <w:r>
        <w:rPr>
          <w:rFonts w:hint="eastAsia" w:ascii="仿宋_GB2312" w:hAnsi="仿宋_GB2312" w:cs="仿宋_GB2312"/>
          <w:bCs w:val="0"/>
          <w:lang w:val="en-US" w:eastAsia="zh-CN"/>
        </w:rPr>
        <w:t>申报单位</w:t>
      </w:r>
      <w:r>
        <w:rPr>
          <w:rFonts w:hint="eastAsia" w:ascii="仿宋_GB2312" w:hAnsi="仿宋_GB2312" w:cs="仿宋_GB2312"/>
          <w:bCs/>
          <w:sz w:val="32"/>
          <w:szCs w:val="32"/>
          <w:lang w:val="en-US" w:eastAsia="zh-CN"/>
        </w:rPr>
        <w:t>赛事2025年支出专项审计报告。</w:t>
      </w:r>
    </w:p>
    <w:p w14:paraId="548EE1B9">
      <w:pPr>
        <w:pStyle w:val="4"/>
        <w:bidi w:val="0"/>
        <w:rPr>
          <w:rFonts w:hint="eastAsia"/>
          <w:lang w:val="en-US" w:eastAsia="zh-CN"/>
        </w:rPr>
      </w:pPr>
      <w:bookmarkStart w:id="1" w:name="_Toc32347"/>
      <w:r>
        <w:rPr>
          <w:rFonts w:hint="eastAsia"/>
          <w:lang w:val="en-US" w:eastAsia="zh-CN"/>
        </w:rPr>
        <w:t>第四条 支持</w:t>
      </w:r>
      <w:bookmarkEnd w:id="1"/>
      <w:r>
        <w:rPr>
          <w:rFonts w:hint="eastAsia"/>
          <w:lang w:val="en-US" w:eastAsia="zh-CN"/>
        </w:rPr>
        <w:t>电竞场馆运营</w:t>
      </w:r>
    </w:p>
    <w:p w14:paraId="006B088C">
      <w:pPr>
        <w:pStyle w:val="4"/>
        <w:bidi w:val="0"/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申报条件</w:t>
      </w:r>
    </w:p>
    <w:p w14:paraId="0006E752">
      <w:pPr>
        <w:ind w:firstLine="640" w:firstLineChars="200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cs="仿宋_GB2312"/>
        </w:rPr>
        <w:t>（1）</w:t>
      </w:r>
      <w:r>
        <w:rPr>
          <w:rFonts w:hint="eastAsia" w:ascii="仿宋_GB2312" w:hAnsi="仿宋_GB2312" w:cs="仿宋_GB2312"/>
          <w:lang w:val="en-US" w:eastAsia="zh-CN"/>
        </w:rPr>
        <w:t>申报单位应具有独立法人资格、实行独立核算的企业；近三年无重大行政处罚记录和刑事犯罪记录，未列入严重违法失信主体名单。</w:t>
      </w:r>
    </w:p>
    <w:p w14:paraId="20CF7E90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申报单位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电竞场馆应在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通州区</w:t>
      </w:r>
      <w:r>
        <w:rPr>
          <w:rFonts w:hint="eastAsia" w:ascii="仿宋_GB2312" w:hAnsi="仿宋_GB2312" w:eastAsia="仿宋_GB2312" w:cs="仿宋_GB2312"/>
          <w:sz w:val="32"/>
          <w:szCs w:val="32"/>
        </w:rPr>
        <w:t>范围内，具备合法审批手续，满足承接专业电竞赛事的基础条件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0E77216F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申报单位电竞</w:t>
      </w:r>
      <w:r>
        <w:rPr>
          <w:rFonts w:hint="eastAsia" w:ascii="仿宋_GB2312" w:hAnsi="仿宋_GB2312" w:eastAsia="仿宋_GB2312" w:cs="仿宋_GB2312"/>
          <w:sz w:val="32"/>
          <w:szCs w:val="32"/>
        </w:rPr>
        <w:t>场馆产权清晰、无司法纠纷，申报</w:t>
      </w:r>
      <w:r>
        <w:rPr>
          <w:rFonts w:eastAsia="仿宋_GB2312"/>
          <w:sz w:val="32"/>
          <w:szCs w:val="32"/>
        </w:rPr>
        <w:t>主体应为场馆的</w:t>
      </w:r>
      <w:r>
        <w:rPr>
          <w:rFonts w:hint="eastAsia"/>
          <w:sz w:val="32"/>
          <w:szCs w:val="32"/>
          <w:lang w:val="en-US" w:eastAsia="zh-CN"/>
        </w:rPr>
        <w:t>产权单位</w:t>
      </w:r>
      <w:r>
        <w:rPr>
          <w:rFonts w:eastAsia="仿宋_GB2312"/>
          <w:sz w:val="32"/>
          <w:szCs w:val="32"/>
        </w:rPr>
        <w:t>或</w:t>
      </w:r>
      <w:r>
        <w:rPr>
          <w:rFonts w:hint="eastAsia"/>
          <w:sz w:val="32"/>
          <w:szCs w:val="32"/>
          <w:lang w:val="en-US" w:eastAsia="zh-CN"/>
        </w:rPr>
        <w:t>运营单位</w:t>
      </w:r>
      <w:r>
        <w:rPr>
          <w:rFonts w:hint="eastAsia" w:eastAsia="仿宋_GB2312"/>
          <w:sz w:val="32"/>
          <w:szCs w:val="32"/>
        </w:rPr>
        <w:t>，二者不得就同一项目重复申报。</w:t>
      </w:r>
    </w:p>
    <w:p w14:paraId="51C37AFA">
      <w:pPr>
        <w:spacing w:line="560" w:lineRule="exact"/>
        <w:ind w:firstLine="640" w:firstLineChars="200"/>
        <w:jc w:val="left"/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（4）申报单位电竞场馆上年度承办单场观众数量超过500人次（含）的职业电竞赛事、活动达50场次以上。</w:t>
      </w:r>
    </w:p>
    <w:p w14:paraId="2FFD89AC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2.该条款申报材料</w:t>
      </w:r>
    </w:p>
    <w:p w14:paraId="0E0C343A"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申报单位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电竞场馆运营方案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包括单位简介、场馆建设情况、场馆功能情况、场馆使用情况、场馆未来规划等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 w14:paraId="2D85400C">
      <w:pPr>
        <w:spacing w:line="560" w:lineRule="exact"/>
        <w:ind w:firstLine="640" w:firstLineChars="200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申报单位电竞场馆合规证明，包括不限于场地证明、审批证明等。</w:t>
      </w:r>
    </w:p>
    <w:p w14:paraId="6F62C6D2">
      <w:pPr>
        <w:spacing w:line="560" w:lineRule="exact"/>
        <w:ind w:firstLine="640" w:firstLineChars="200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（3）申报单位电竞场馆2025年度承办电竞赛事明细表（见附件3）。</w:t>
      </w:r>
    </w:p>
    <w:p w14:paraId="49034BA6">
      <w:pPr>
        <w:spacing w:line="560" w:lineRule="exact"/>
        <w:ind w:firstLine="640" w:firstLineChars="200"/>
        <w:rPr>
          <w:rFonts w:hint="default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（4）申报单位电竞场馆承办赛事证明材料，包括不限于赛事承接协议、赛事使用记录、赛事举办宣传材料、赛事参与人数证明、赛事举办照片等。</w:t>
      </w:r>
    </w:p>
    <w:p w14:paraId="36633EC0">
      <w:pPr>
        <w:rPr>
          <w:rFonts w:hint="eastAsia"/>
        </w:rPr>
      </w:pPr>
      <w:r>
        <w:rPr>
          <w:rFonts w:hint="eastAsia"/>
        </w:rPr>
        <w:br w:type="page"/>
      </w:r>
    </w:p>
    <w:p w14:paraId="4DFA6BA4">
      <w:pPr>
        <w:pStyle w:val="2"/>
        <w:bidi w:val="0"/>
        <w:ind w:left="0" w:leftChars="0" w:firstLine="0" w:firstLineChars="0"/>
        <w:rPr>
          <w:rFonts w:hint="eastAsia"/>
        </w:rPr>
      </w:pPr>
      <w:r>
        <w:rPr>
          <w:rFonts w:hint="eastAsia"/>
        </w:rPr>
        <w:t>附件1</w:t>
      </w:r>
    </w:p>
    <w:p w14:paraId="41E4301B">
      <w:pPr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游戏电竞行业高质量发展的若干措施申报表</w:t>
      </w:r>
    </w:p>
    <w:p w14:paraId="758ED5E5">
      <w:pPr>
        <w:tabs>
          <w:tab w:val="left" w:pos="2150"/>
          <w:tab w:val="left" w:pos="3059"/>
          <w:tab w:val="left" w:pos="3969"/>
        </w:tabs>
        <w:spacing w:before="61"/>
        <w:ind w:left="120" w:right="320"/>
        <w:jc w:val="right"/>
        <w:rPr>
          <w:rFonts w:ascii="仿宋_GB2312" w:hAnsi="仿宋_GB2312" w:cs="仿宋_GB2312"/>
          <w:kern w:val="0"/>
          <w:sz w:val="24"/>
        </w:rPr>
      </w:pPr>
      <w:r>
        <w:rPr>
          <w:rFonts w:ascii="仿宋_GB2312" w:hAnsi="仿宋_GB2312" w:cs="仿宋_GB2312"/>
          <w:spacing w:val="-2"/>
          <w:kern w:val="0"/>
          <w:sz w:val="24"/>
        </w:rPr>
        <w:t>填报时间：</w:t>
      </w:r>
      <w:r>
        <w:rPr>
          <w:rFonts w:ascii="仿宋_GB2312" w:hAnsi="仿宋_GB2312" w:cs="仿宋_GB2312"/>
          <w:spacing w:val="-2"/>
          <w:kern w:val="0"/>
          <w:sz w:val="24"/>
        </w:rPr>
        <w:tab/>
      </w:r>
      <w:r>
        <w:rPr>
          <w:rFonts w:ascii="仿宋_GB2312" w:hAnsi="仿宋_GB2312" w:cs="仿宋_GB2312"/>
          <w:kern w:val="0"/>
          <w:sz w:val="24"/>
        </w:rPr>
        <w:t>年</w:t>
      </w:r>
      <w:r>
        <w:rPr>
          <w:rFonts w:ascii="仿宋_GB2312" w:hAnsi="仿宋_GB2312" w:cs="仿宋_GB2312"/>
          <w:kern w:val="0"/>
          <w:sz w:val="24"/>
        </w:rPr>
        <w:tab/>
      </w:r>
      <w:r>
        <w:rPr>
          <w:rFonts w:ascii="仿宋_GB2312" w:hAnsi="仿宋_GB2312" w:cs="仿宋_GB2312"/>
          <w:kern w:val="0"/>
          <w:sz w:val="24"/>
        </w:rPr>
        <w:t>月</w:t>
      </w:r>
      <w:r>
        <w:rPr>
          <w:rFonts w:ascii="仿宋_GB2312" w:hAnsi="仿宋_GB2312" w:cs="仿宋_GB2312"/>
          <w:kern w:val="0"/>
          <w:sz w:val="24"/>
        </w:rPr>
        <w:tab/>
      </w:r>
      <w:r>
        <w:rPr>
          <w:rFonts w:ascii="仿宋_GB2312" w:hAnsi="仿宋_GB2312" w:cs="仿宋_GB2312"/>
          <w:kern w:val="0"/>
          <w:sz w:val="24"/>
        </w:rPr>
        <w:t>日</w:t>
      </w:r>
    </w:p>
    <w:tbl>
      <w:tblPr>
        <w:tblStyle w:val="14"/>
        <w:tblW w:w="98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6"/>
        <w:gridCol w:w="1745"/>
        <w:gridCol w:w="2203"/>
        <w:gridCol w:w="83"/>
        <w:gridCol w:w="2125"/>
        <w:gridCol w:w="161"/>
        <w:gridCol w:w="2288"/>
      </w:tblGrid>
      <w:tr w14:paraId="3655F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1" w:type="dxa"/>
            <w:gridSpan w:val="2"/>
            <w:vAlign w:val="center"/>
          </w:tcPr>
          <w:p w14:paraId="03B09D58">
            <w:pPr>
              <w:spacing w:line="240" w:lineRule="auto"/>
              <w:jc w:val="center"/>
              <w:rPr>
                <w:rFonts w:ascii="仿宋_GB2312" w:hAnsi="Times New Roman"/>
                <w:sz w:val="24"/>
              </w:rPr>
            </w:pPr>
            <w:r>
              <w:rPr>
                <w:rFonts w:hint="eastAsia" w:ascii="仿宋_GB2312" w:hAnsi="Times New Roman"/>
                <w:sz w:val="24"/>
              </w:rPr>
              <w:t>申请单位名称</w:t>
            </w:r>
          </w:p>
        </w:tc>
        <w:tc>
          <w:tcPr>
            <w:tcW w:w="6860" w:type="dxa"/>
            <w:gridSpan w:val="5"/>
            <w:vAlign w:val="center"/>
          </w:tcPr>
          <w:p w14:paraId="2990E2B5">
            <w:pPr>
              <w:pStyle w:val="11"/>
              <w:ind w:left="0" w:leftChars="0"/>
              <w:jc w:val="right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color w:val="808080" w:themeColor="background1" w:themeShade="80"/>
                <w:sz w:val="24"/>
                <w:szCs w:val="24"/>
              </w:rPr>
              <w:t>（纸质版于此处加盖公章）</w:t>
            </w:r>
          </w:p>
        </w:tc>
      </w:tr>
      <w:tr w14:paraId="7859D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1" w:type="dxa"/>
            <w:gridSpan w:val="2"/>
            <w:vAlign w:val="center"/>
          </w:tcPr>
          <w:p w14:paraId="1A7A9699">
            <w:pPr>
              <w:spacing w:line="240" w:lineRule="auto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hAnsi="Times New Roman"/>
                <w:sz w:val="24"/>
              </w:rPr>
              <w:t>统一社会信用代码</w:t>
            </w:r>
          </w:p>
        </w:tc>
        <w:tc>
          <w:tcPr>
            <w:tcW w:w="6860" w:type="dxa"/>
            <w:gridSpan w:val="5"/>
            <w:vAlign w:val="center"/>
          </w:tcPr>
          <w:p w14:paraId="6BF02F77">
            <w:pPr>
              <w:pStyle w:val="11"/>
              <w:ind w:left="5120"/>
              <w:rPr>
                <w:rFonts w:ascii="仿宋_GB2312"/>
                <w:sz w:val="24"/>
                <w:szCs w:val="24"/>
              </w:rPr>
            </w:pPr>
          </w:p>
        </w:tc>
      </w:tr>
      <w:tr w14:paraId="471E3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1" w:type="dxa"/>
            <w:gridSpan w:val="2"/>
            <w:vAlign w:val="center"/>
          </w:tcPr>
          <w:p w14:paraId="29B898C8">
            <w:pPr>
              <w:spacing w:line="240" w:lineRule="auto"/>
              <w:jc w:val="center"/>
              <w:rPr>
                <w:rFonts w:ascii="仿宋_GB2312" w:hAnsi="Times New Roman"/>
                <w:sz w:val="24"/>
              </w:rPr>
            </w:pPr>
            <w:r>
              <w:rPr>
                <w:rFonts w:hint="eastAsia" w:ascii="仿宋_GB2312" w:hAnsi="Times New Roman"/>
                <w:sz w:val="24"/>
              </w:rPr>
              <w:t>注册地址</w:t>
            </w:r>
          </w:p>
        </w:tc>
        <w:tc>
          <w:tcPr>
            <w:tcW w:w="6860" w:type="dxa"/>
            <w:gridSpan w:val="5"/>
            <w:vAlign w:val="center"/>
          </w:tcPr>
          <w:p w14:paraId="29CA0B3F">
            <w:pPr>
              <w:pStyle w:val="11"/>
              <w:ind w:left="0" w:leftChars="0"/>
              <w:rPr>
                <w:rFonts w:ascii="仿宋_GB2312"/>
                <w:sz w:val="24"/>
                <w:szCs w:val="24"/>
              </w:rPr>
            </w:pPr>
          </w:p>
        </w:tc>
      </w:tr>
      <w:tr w14:paraId="45AE1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1" w:type="dxa"/>
            <w:gridSpan w:val="2"/>
            <w:vAlign w:val="center"/>
          </w:tcPr>
          <w:p w14:paraId="2C624ED2">
            <w:pPr>
              <w:spacing w:line="240" w:lineRule="auto"/>
              <w:jc w:val="center"/>
              <w:rPr>
                <w:rFonts w:hint="default" w:ascii="仿宋_GB2312" w:hAnsi="Times New Roman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Times New Roman"/>
                <w:sz w:val="24"/>
                <w:lang w:val="en-US" w:eastAsia="zh-CN"/>
              </w:rPr>
              <w:t>办公地址</w:t>
            </w:r>
          </w:p>
        </w:tc>
        <w:tc>
          <w:tcPr>
            <w:tcW w:w="6860" w:type="dxa"/>
            <w:gridSpan w:val="5"/>
            <w:vAlign w:val="center"/>
          </w:tcPr>
          <w:p w14:paraId="57B7D9A3">
            <w:pPr>
              <w:pStyle w:val="11"/>
              <w:ind w:left="0" w:leftChars="0"/>
              <w:rPr>
                <w:rFonts w:ascii="仿宋_GB2312"/>
                <w:sz w:val="24"/>
                <w:szCs w:val="24"/>
              </w:rPr>
            </w:pPr>
          </w:p>
        </w:tc>
      </w:tr>
      <w:tr w14:paraId="5D1E2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1" w:type="dxa"/>
            <w:gridSpan w:val="2"/>
            <w:vAlign w:val="center"/>
          </w:tcPr>
          <w:p w14:paraId="169D9FE0">
            <w:pPr>
              <w:spacing w:line="240" w:lineRule="auto"/>
              <w:jc w:val="center"/>
              <w:rPr>
                <w:rFonts w:hint="default" w:ascii="仿宋_GB2312" w:hAnsi="Times New Roman"/>
                <w:sz w:val="24"/>
                <w:lang w:val="en-US" w:eastAsia="zh-CN"/>
              </w:rPr>
            </w:pPr>
            <w:r>
              <w:rPr>
                <w:rFonts w:hint="eastAsia" w:ascii="仿宋_GB2312" w:hAnsi="Times New Roman"/>
                <w:sz w:val="24"/>
                <w:lang w:val="en-US" w:eastAsia="zh-CN"/>
              </w:rPr>
              <w:t>注册资本</w:t>
            </w:r>
          </w:p>
        </w:tc>
        <w:tc>
          <w:tcPr>
            <w:tcW w:w="2286" w:type="dxa"/>
            <w:gridSpan w:val="2"/>
            <w:vAlign w:val="center"/>
          </w:tcPr>
          <w:p w14:paraId="7AA2A28B">
            <w:pPr>
              <w:pStyle w:val="11"/>
              <w:ind w:left="0" w:leftChars="0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286" w:type="dxa"/>
            <w:gridSpan w:val="2"/>
            <w:vAlign w:val="center"/>
          </w:tcPr>
          <w:p w14:paraId="3A9CF638">
            <w:pPr>
              <w:pStyle w:val="11"/>
              <w:ind w:left="0" w:leftChars="0"/>
              <w:jc w:val="center"/>
              <w:rPr>
                <w:rFonts w:hint="default" w:ascii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>公司人数</w:t>
            </w:r>
          </w:p>
        </w:tc>
        <w:tc>
          <w:tcPr>
            <w:tcW w:w="2288" w:type="dxa"/>
            <w:vAlign w:val="center"/>
          </w:tcPr>
          <w:p w14:paraId="68AA4E0E">
            <w:pPr>
              <w:pStyle w:val="11"/>
              <w:ind w:left="0" w:leftChars="0"/>
              <w:rPr>
                <w:rFonts w:ascii="仿宋_GB2312"/>
                <w:sz w:val="24"/>
                <w:szCs w:val="24"/>
              </w:rPr>
            </w:pPr>
          </w:p>
        </w:tc>
      </w:tr>
      <w:tr w14:paraId="2372B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1" w:type="dxa"/>
            <w:gridSpan w:val="2"/>
            <w:vAlign w:val="center"/>
          </w:tcPr>
          <w:p w14:paraId="4155F4E4">
            <w:pPr>
              <w:spacing w:line="240" w:lineRule="auto"/>
              <w:jc w:val="center"/>
              <w:rPr>
                <w:rFonts w:hint="default" w:ascii="仿宋_GB2312" w:hAnsi="Times New Roman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Times New Roman"/>
                <w:sz w:val="24"/>
                <w:lang w:val="en-US" w:eastAsia="zh-CN"/>
              </w:rPr>
              <w:t>产业类别</w:t>
            </w:r>
          </w:p>
        </w:tc>
        <w:tc>
          <w:tcPr>
            <w:tcW w:w="2286" w:type="dxa"/>
            <w:gridSpan w:val="2"/>
            <w:vAlign w:val="center"/>
          </w:tcPr>
          <w:p w14:paraId="68817167">
            <w:pPr>
              <w:pStyle w:val="11"/>
              <w:ind w:left="0" w:leftChars="0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286" w:type="dxa"/>
            <w:gridSpan w:val="2"/>
            <w:vAlign w:val="center"/>
          </w:tcPr>
          <w:p w14:paraId="2129BA5A">
            <w:pPr>
              <w:pStyle w:val="11"/>
              <w:ind w:left="0" w:leftChars="0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>行业代码</w:t>
            </w:r>
          </w:p>
        </w:tc>
        <w:tc>
          <w:tcPr>
            <w:tcW w:w="2288" w:type="dxa"/>
            <w:vAlign w:val="center"/>
          </w:tcPr>
          <w:p w14:paraId="6C752C89">
            <w:pPr>
              <w:pStyle w:val="11"/>
              <w:ind w:left="0" w:leftChars="0"/>
              <w:rPr>
                <w:rFonts w:ascii="仿宋_GB2312"/>
                <w:sz w:val="24"/>
                <w:szCs w:val="24"/>
              </w:rPr>
            </w:pPr>
          </w:p>
        </w:tc>
      </w:tr>
      <w:tr w14:paraId="5FDFC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1" w:type="dxa"/>
            <w:gridSpan w:val="2"/>
            <w:vAlign w:val="center"/>
          </w:tcPr>
          <w:p w14:paraId="6DB7B07E">
            <w:pPr>
              <w:spacing w:line="240" w:lineRule="auto"/>
              <w:jc w:val="center"/>
              <w:rPr>
                <w:rFonts w:ascii="仿宋_GB2312" w:hAnsi="Times New Roman"/>
                <w:sz w:val="24"/>
              </w:rPr>
            </w:pPr>
            <w:r>
              <w:rPr>
                <w:rFonts w:hint="eastAsia" w:ascii="仿宋_GB2312" w:hAnsi="Times New Roman"/>
                <w:sz w:val="24"/>
              </w:rPr>
              <w:t>工商注册日期</w:t>
            </w:r>
          </w:p>
        </w:tc>
        <w:tc>
          <w:tcPr>
            <w:tcW w:w="2286" w:type="dxa"/>
            <w:gridSpan w:val="2"/>
            <w:vAlign w:val="center"/>
          </w:tcPr>
          <w:p w14:paraId="3AFACA1C">
            <w:pPr>
              <w:pStyle w:val="11"/>
              <w:ind w:left="0" w:leftChars="0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286" w:type="dxa"/>
            <w:gridSpan w:val="2"/>
            <w:vAlign w:val="center"/>
          </w:tcPr>
          <w:p w14:paraId="42286312">
            <w:pPr>
              <w:pStyle w:val="11"/>
              <w:ind w:left="0" w:leftChars="0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税务登记日期</w:t>
            </w:r>
          </w:p>
        </w:tc>
        <w:tc>
          <w:tcPr>
            <w:tcW w:w="2288" w:type="dxa"/>
            <w:vAlign w:val="center"/>
          </w:tcPr>
          <w:p w14:paraId="226D8DA5">
            <w:pPr>
              <w:pStyle w:val="11"/>
              <w:ind w:left="0" w:leftChars="0"/>
              <w:rPr>
                <w:rFonts w:ascii="仿宋_GB2312"/>
                <w:sz w:val="24"/>
                <w:szCs w:val="24"/>
              </w:rPr>
            </w:pPr>
          </w:p>
        </w:tc>
      </w:tr>
      <w:tr w14:paraId="772A0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81" w:type="dxa"/>
            <w:gridSpan w:val="2"/>
            <w:vAlign w:val="center"/>
          </w:tcPr>
          <w:p w14:paraId="25DCFC0F">
            <w:pPr>
              <w:spacing w:line="240" w:lineRule="auto"/>
              <w:jc w:val="center"/>
              <w:rPr>
                <w:rFonts w:ascii="仿宋_GB2312" w:hAnsi="Times New Roman"/>
                <w:sz w:val="24"/>
              </w:rPr>
            </w:pPr>
            <w:r>
              <w:rPr>
                <w:rFonts w:hint="eastAsia" w:ascii="仿宋_GB2312" w:hAnsi="Times New Roman"/>
                <w:sz w:val="24"/>
              </w:rPr>
              <w:t>申报条款（选择本次申报的所有条款）</w:t>
            </w:r>
          </w:p>
        </w:tc>
        <w:tc>
          <w:tcPr>
            <w:tcW w:w="6860" w:type="dxa"/>
            <w:gridSpan w:val="5"/>
            <w:vAlign w:val="center"/>
          </w:tcPr>
          <w:p w14:paraId="7FCDCB2D">
            <w:pPr>
              <w:spacing w:line="240" w:lineRule="auto"/>
              <w:jc w:val="left"/>
              <w:rPr>
                <w:rFonts w:hint="eastAsia" w:ascii="仿宋_GB2312" w:hAnsi="Times New Roman"/>
                <w:sz w:val="24"/>
              </w:rPr>
            </w:pPr>
            <w:r>
              <w:rPr>
                <w:rFonts w:hint="eastAsia" w:ascii="仿宋_GB2312" w:hAnsi="Times New Roman"/>
                <w:sz w:val="24"/>
              </w:rPr>
              <w:t>□第</w:t>
            </w:r>
            <w:r>
              <w:rPr>
                <w:rFonts w:hint="eastAsia" w:ascii="仿宋_GB2312" w:hAnsi="Times New Roman"/>
                <w:sz w:val="24"/>
                <w:lang w:val="en-US" w:eastAsia="zh-CN"/>
              </w:rPr>
              <w:t>一</w:t>
            </w:r>
            <w:r>
              <w:rPr>
                <w:rFonts w:hint="eastAsia" w:ascii="仿宋_GB2312" w:hAnsi="Times New Roman"/>
                <w:sz w:val="24"/>
              </w:rPr>
              <w:t>条 支持产业集聚发展</w:t>
            </w:r>
          </w:p>
          <w:p w14:paraId="36D6CC93">
            <w:pPr>
              <w:spacing w:line="240" w:lineRule="auto"/>
              <w:jc w:val="left"/>
              <w:rPr>
                <w:rFonts w:hint="eastAsia" w:ascii="仿宋_GB2312" w:hAnsi="Times New Roman"/>
                <w:sz w:val="24"/>
              </w:rPr>
            </w:pPr>
            <w:r>
              <w:rPr>
                <w:rFonts w:hint="eastAsia" w:ascii="仿宋_GB2312" w:hAnsi="Times New Roman"/>
                <w:sz w:val="24"/>
              </w:rPr>
              <w:t>□第</w:t>
            </w:r>
            <w:r>
              <w:rPr>
                <w:rFonts w:hint="eastAsia" w:ascii="仿宋_GB2312" w:hAnsi="Times New Roman"/>
                <w:sz w:val="24"/>
                <w:lang w:val="en-US" w:eastAsia="zh-CN"/>
              </w:rPr>
              <w:t>二</w:t>
            </w:r>
            <w:r>
              <w:rPr>
                <w:rFonts w:hint="eastAsia" w:ascii="仿宋_GB2312" w:hAnsi="Times New Roman"/>
                <w:sz w:val="24"/>
              </w:rPr>
              <w:t>条 支持创作精品游戏</w:t>
            </w:r>
          </w:p>
          <w:p w14:paraId="2826A023">
            <w:pPr>
              <w:spacing w:line="240" w:lineRule="auto"/>
              <w:jc w:val="left"/>
              <w:rPr>
                <w:rFonts w:hint="eastAsia" w:ascii="仿宋_GB2312" w:hAnsi="Times New Roman"/>
                <w:sz w:val="24"/>
              </w:rPr>
            </w:pPr>
            <w:r>
              <w:rPr>
                <w:rFonts w:hint="eastAsia" w:ascii="仿宋_GB2312" w:hAnsi="Times New Roman"/>
                <w:sz w:val="24"/>
              </w:rPr>
              <w:t>□第</w:t>
            </w:r>
            <w:r>
              <w:rPr>
                <w:rFonts w:hint="eastAsia" w:ascii="仿宋_GB2312" w:hAnsi="Times New Roman"/>
                <w:sz w:val="24"/>
                <w:lang w:val="en-US" w:eastAsia="zh-CN"/>
              </w:rPr>
              <w:t>三</w:t>
            </w:r>
            <w:r>
              <w:rPr>
                <w:rFonts w:hint="eastAsia" w:ascii="仿宋_GB2312" w:hAnsi="Times New Roman"/>
                <w:sz w:val="24"/>
              </w:rPr>
              <w:t>条 支持</w:t>
            </w:r>
            <w:r>
              <w:rPr>
                <w:rFonts w:hint="eastAsia" w:ascii="仿宋_GB2312" w:hAnsi="Times New Roman"/>
                <w:sz w:val="24"/>
                <w:lang w:val="en-US" w:eastAsia="zh-CN"/>
              </w:rPr>
              <w:t>举办电竞赛事</w:t>
            </w:r>
            <w:r>
              <w:rPr>
                <w:rFonts w:hint="eastAsia" w:ascii="仿宋_GB2312" w:hAnsi="Times New Roman"/>
                <w:sz w:val="24"/>
              </w:rPr>
              <w:t xml:space="preserve">    </w:t>
            </w:r>
          </w:p>
          <w:p w14:paraId="309C4C5B">
            <w:pPr>
              <w:spacing w:line="240" w:lineRule="auto"/>
              <w:jc w:val="left"/>
              <w:rPr>
                <w:rFonts w:hint="default" w:ascii="仿宋_GB2312" w:hAnsi="Times New Roman"/>
                <w:sz w:val="24"/>
                <w:lang w:val="en-US"/>
              </w:rPr>
            </w:pPr>
            <w:r>
              <w:rPr>
                <w:rFonts w:hint="eastAsia" w:ascii="仿宋_GB2312" w:hAnsi="Times New Roman"/>
                <w:sz w:val="24"/>
              </w:rPr>
              <w:t>□</w:t>
            </w:r>
            <w:r>
              <w:rPr>
                <w:rFonts w:hint="eastAsia" w:ascii="仿宋_GB2312" w:hAnsi="Times New Roman"/>
                <w:sz w:val="24"/>
                <w:lang w:val="en-US" w:eastAsia="zh-CN"/>
              </w:rPr>
              <w:t>第四条 支持电竞场馆运营</w:t>
            </w:r>
          </w:p>
        </w:tc>
      </w:tr>
      <w:tr w14:paraId="12775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1" w:type="dxa"/>
            <w:gridSpan w:val="2"/>
            <w:vAlign w:val="center"/>
          </w:tcPr>
          <w:p w14:paraId="22861E33">
            <w:pPr>
              <w:spacing w:line="240" w:lineRule="auto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hAnsi="Times New Roman"/>
                <w:sz w:val="24"/>
                <w:szCs w:val="20"/>
              </w:rPr>
              <w:t>企业开户银行</w:t>
            </w:r>
          </w:p>
        </w:tc>
        <w:tc>
          <w:tcPr>
            <w:tcW w:w="2203" w:type="dxa"/>
            <w:vAlign w:val="center"/>
          </w:tcPr>
          <w:p w14:paraId="0E413FF4">
            <w:pPr>
              <w:spacing w:line="240" w:lineRule="auto"/>
              <w:rPr>
                <w:rFonts w:ascii="仿宋_GB2312"/>
                <w:sz w:val="24"/>
              </w:rPr>
            </w:pPr>
          </w:p>
        </w:tc>
        <w:tc>
          <w:tcPr>
            <w:tcW w:w="2208" w:type="dxa"/>
            <w:gridSpan w:val="2"/>
            <w:vAlign w:val="center"/>
          </w:tcPr>
          <w:p w14:paraId="783F3AAB">
            <w:pPr>
              <w:spacing w:line="240" w:lineRule="auto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hAnsi="Times New Roman"/>
                <w:sz w:val="24"/>
                <w:szCs w:val="20"/>
              </w:rPr>
              <w:t>企业银行账号</w:t>
            </w:r>
          </w:p>
        </w:tc>
        <w:tc>
          <w:tcPr>
            <w:tcW w:w="2449" w:type="dxa"/>
            <w:gridSpan w:val="2"/>
            <w:vAlign w:val="center"/>
          </w:tcPr>
          <w:p w14:paraId="2CBAB9D1">
            <w:pPr>
              <w:spacing w:line="240" w:lineRule="auto"/>
              <w:rPr>
                <w:rFonts w:ascii="仿宋_GB2312"/>
                <w:sz w:val="24"/>
              </w:rPr>
            </w:pPr>
          </w:p>
        </w:tc>
      </w:tr>
      <w:tr w14:paraId="24068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1" w:type="dxa"/>
            <w:gridSpan w:val="2"/>
            <w:vAlign w:val="center"/>
          </w:tcPr>
          <w:p w14:paraId="63FCB7AD">
            <w:pPr>
              <w:spacing w:line="240" w:lineRule="auto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hAnsi="Times New Roman"/>
                <w:sz w:val="24"/>
                <w:szCs w:val="20"/>
              </w:rPr>
              <w:t>联系人</w:t>
            </w:r>
          </w:p>
        </w:tc>
        <w:tc>
          <w:tcPr>
            <w:tcW w:w="2203" w:type="dxa"/>
            <w:vAlign w:val="center"/>
          </w:tcPr>
          <w:p w14:paraId="711F6354">
            <w:pPr>
              <w:spacing w:line="240" w:lineRule="auto"/>
              <w:rPr>
                <w:rFonts w:ascii="仿宋_GB2312"/>
                <w:sz w:val="24"/>
              </w:rPr>
            </w:pPr>
          </w:p>
        </w:tc>
        <w:tc>
          <w:tcPr>
            <w:tcW w:w="2208" w:type="dxa"/>
            <w:gridSpan w:val="2"/>
            <w:vAlign w:val="center"/>
          </w:tcPr>
          <w:p w14:paraId="5C32748A">
            <w:pPr>
              <w:spacing w:line="240" w:lineRule="auto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hAnsi="Times New Roman"/>
                <w:sz w:val="24"/>
                <w:szCs w:val="20"/>
              </w:rPr>
              <w:t>联系电话</w:t>
            </w:r>
          </w:p>
        </w:tc>
        <w:tc>
          <w:tcPr>
            <w:tcW w:w="2449" w:type="dxa"/>
            <w:gridSpan w:val="2"/>
            <w:vAlign w:val="center"/>
          </w:tcPr>
          <w:p w14:paraId="16ADC90C">
            <w:pPr>
              <w:spacing w:line="240" w:lineRule="auto"/>
              <w:rPr>
                <w:rFonts w:ascii="仿宋_GB2312"/>
                <w:sz w:val="24"/>
              </w:rPr>
            </w:pPr>
          </w:p>
        </w:tc>
      </w:tr>
      <w:tr w14:paraId="6F833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36" w:type="dxa"/>
            <w:vMerge w:val="restart"/>
            <w:vAlign w:val="center"/>
          </w:tcPr>
          <w:p w14:paraId="2AA6E5F5">
            <w:pPr>
              <w:spacing w:line="240" w:lineRule="auto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hAnsi="Times New Roman"/>
                <w:sz w:val="24"/>
                <w:szCs w:val="20"/>
              </w:rPr>
              <w:t>近三年相关指标</w:t>
            </w:r>
          </w:p>
        </w:tc>
        <w:tc>
          <w:tcPr>
            <w:tcW w:w="1745" w:type="dxa"/>
            <w:vAlign w:val="center"/>
          </w:tcPr>
          <w:p w14:paraId="5FD0AE23">
            <w:pPr>
              <w:spacing w:line="240" w:lineRule="auto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203" w:type="dxa"/>
            <w:vAlign w:val="center"/>
          </w:tcPr>
          <w:p w14:paraId="63B54F27">
            <w:pPr>
              <w:spacing w:line="240" w:lineRule="auto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hAnsi="Times New Roman"/>
                <w:sz w:val="24"/>
                <w:szCs w:val="20"/>
              </w:rPr>
              <w:t>2023年</w:t>
            </w:r>
          </w:p>
        </w:tc>
        <w:tc>
          <w:tcPr>
            <w:tcW w:w="2208" w:type="dxa"/>
            <w:gridSpan w:val="2"/>
            <w:vAlign w:val="center"/>
          </w:tcPr>
          <w:p w14:paraId="3DAA6E39">
            <w:pPr>
              <w:spacing w:line="240" w:lineRule="auto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hAnsi="Times New Roman"/>
                <w:sz w:val="24"/>
                <w:szCs w:val="20"/>
              </w:rPr>
              <w:t>2024年</w:t>
            </w:r>
          </w:p>
        </w:tc>
        <w:tc>
          <w:tcPr>
            <w:tcW w:w="2449" w:type="dxa"/>
            <w:gridSpan w:val="2"/>
            <w:vAlign w:val="center"/>
          </w:tcPr>
          <w:p w14:paraId="4E535F7E">
            <w:pPr>
              <w:spacing w:line="240" w:lineRule="auto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hAnsi="Times New Roman"/>
                <w:sz w:val="24"/>
                <w:szCs w:val="20"/>
              </w:rPr>
              <w:t>2025年</w:t>
            </w:r>
          </w:p>
        </w:tc>
      </w:tr>
      <w:tr w14:paraId="12633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36" w:type="dxa"/>
            <w:vMerge w:val="continue"/>
            <w:vAlign w:val="center"/>
          </w:tcPr>
          <w:p w14:paraId="17BB4D95">
            <w:pPr>
              <w:spacing w:line="240" w:lineRule="auto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745" w:type="dxa"/>
            <w:vAlign w:val="center"/>
          </w:tcPr>
          <w:p w14:paraId="079C0DCC">
            <w:pPr>
              <w:spacing w:line="240" w:lineRule="auto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hAnsi="Times New Roman"/>
                <w:sz w:val="24"/>
                <w:szCs w:val="20"/>
              </w:rPr>
              <w:t>营业收入</w:t>
            </w:r>
          </w:p>
        </w:tc>
        <w:tc>
          <w:tcPr>
            <w:tcW w:w="2203" w:type="dxa"/>
            <w:vAlign w:val="center"/>
          </w:tcPr>
          <w:p w14:paraId="08C9F539">
            <w:pPr>
              <w:spacing w:line="240" w:lineRule="auto"/>
              <w:jc w:val="right"/>
              <w:rPr>
                <w:rFonts w:ascii="仿宋_GB2312"/>
                <w:sz w:val="24"/>
              </w:rPr>
            </w:pPr>
          </w:p>
        </w:tc>
        <w:tc>
          <w:tcPr>
            <w:tcW w:w="2208" w:type="dxa"/>
            <w:gridSpan w:val="2"/>
            <w:vAlign w:val="center"/>
          </w:tcPr>
          <w:p w14:paraId="46D14254">
            <w:pPr>
              <w:spacing w:line="240" w:lineRule="auto"/>
              <w:jc w:val="right"/>
              <w:rPr>
                <w:rFonts w:ascii="仿宋_GB2312"/>
                <w:sz w:val="24"/>
              </w:rPr>
            </w:pPr>
          </w:p>
        </w:tc>
        <w:tc>
          <w:tcPr>
            <w:tcW w:w="2449" w:type="dxa"/>
            <w:gridSpan w:val="2"/>
            <w:vAlign w:val="center"/>
          </w:tcPr>
          <w:p w14:paraId="64EA7A50">
            <w:pPr>
              <w:spacing w:line="240" w:lineRule="auto"/>
              <w:jc w:val="right"/>
              <w:rPr>
                <w:rFonts w:ascii="仿宋_GB2312"/>
                <w:sz w:val="24"/>
              </w:rPr>
            </w:pPr>
          </w:p>
        </w:tc>
      </w:tr>
      <w:tr w14:paraId="2C87D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36" w:type="dxa"/>
            <w:vMerge w:val="continue"/>
            <w:vAlign w:val="center"/>
          </w:tcPr>
          <w:p w14:paraId="03E2580A">
            <w:pPr>
              <w:spacing w:line="240" w:lineRule="auto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745" w:type="dxa"/>
            <w:vAlign w:val="center"/>
          </w:tcPr>
          <w:p w14:paraId="1D582292">
            <w:pPr>
              <w:spacing w:line="240" w:lineRule="auto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hAnsi="Times New Roman"/>
                <w:sz w:val="24"/>
                <w:szCs w:val="20"/>
              </w:rPr>
              <w:t>主营业务收入</w:t>
            </w:r>
          </w:p>
        </w:tc>
        <w:tc>
          <w:tcPr>
            <w:tcW w:w="2203" w:type="dxa"/>
            <w:vAlign w:val="center"/>
          </w:tcPr>
          <w:p w14:paraId="5932F196">
            <w:pPr>
              <w:spacing w:line="240" w:lineRule="auto"/>
              <w:jc w:val="right"/>
              <w:rPr>
                <w:rFonts w:ascii="仿宋_GB2312"/>
                <w:sz w:val="24"/>
              </w:rPr>
            </w:pPr>
          </w:p>
        </w:tc>
        <w:tc>
          <w:tcPr>
            <w:tcW w:w="2208" w:type="dxa"/>
            <w:gridSpan w:val="2"/>
            <w:vAlign w:val="center"/>
          </w:tcPr>
          <w:p w14:paraId="126AEA53">
            <w:pPr>
              <w:spacing w:line="240" w:lineRule="auto"/>
              <w:jc w:val="right"/>
              <w:rPr>
                <w:rFonts w:ascii="仿宋_GB2312"/>
                <w:sz w:val="24"/>
              </w:rPr>
            </w:pPr>
          </w:p>
        </w:tc>
        <w:tc>
          <w:tcPr>
            <w:tcW w:w="2449" w:type="dxa"/>
            <w:gridSpan w:val="2"/>
            <w:vAlign w:val="center"/>
          </w:tcPr>
          <w:p w14:paraId="2AAC3C09">
            <w:pPr>
              <w:spacing w:line="240" w:lineRule="auto"/>
              <w:jc w:val="right"/>
              <w:rPr>
                <w:rFonts w:ascii="仿宋_GB2312"/>
                <w:sz w:val="24"/>
              </w:rPr>
            </w:pPr>
          </w:p>
        </w:tc>
      </w:tr>
      <w:tr w14:paraId="41C73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36" w:type="dxa"/>
            <w:vMerge w:val="continue"/>
            <w:vAlign w:val="center"/>
          </w:tcPr>
          <w:p w14:paraId="7322A297">
            <w:pPr>
              <w:spacing w:line="240" w:lineRule="auto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745" w:type="dxa"/>
            <w:vAlign w:val="center"/>
          </w:tcPr>
          <w:p w14:paraId="12C46C60">
            <w:pPr>
              <w:spacing w:line="240" w:lineRule="auto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hAnsi="Times New Roman"/>
                <w:sz w:val="24"/>
                <w:szCs w:val="20"/>
              </w:rPr>
              <w:t>净利润</w:t>
            </w:r>
          </w:p>
        </w:tc>
        <w:tc>
          <w:tcPr>
            <w:tcW w:w="2203" w:type="dxa"/>
            <w:vAlign w:val="center"/>
          </w:tcPr>
          <w:p w14:paraId="147E598C">
            <w:pPr>
              <w:spacing w:line="240" w:lineRule="auto"/>
              <w:jc w:val="right"/>
              <w:rPr>
                <w:rFonts w:ascii="仿宋_GB2312"/>
                <w:sz w:val="24"/>
              </w:rPr>
            </w:pPr>
          </w:p>
        </w:tc>
        <w:tc>
          <w:tcPr>
            <w:tcW w:w="2208" w:type="dxa"/>
            <w:gridSpan w:val="2"/>
            <w:vAlign w:val="center"/>
          </w:tcPr>
          <w:p w14:paraId="4E3E0BF4">
            <w:pPr>
              <w:spacing w:line="240" w:lineRule="auto"/>
              <w:jc w:val="right"/>
              <w:rPr>
                <w:rFonts w:ascii="仿宋_GB2312"/>
                <w:sz w:val="24"/>
              </w:rPr>
            </w:pPr>
          </w:p>
        </w:tc>
        <w:tc>
          <w:tcPr>
            <w:tcW w:w="2449" w:type="dxa"/>
            <w:gridSpan w:val="2"/>
            <w:vAlign w:val="center"/>
          </w:tcPr>
          <w:p w14:paraId="3D5D5D0B">
            <w:pPr>
              <w:spacing w:line="240" w:lineRule="auto"/>
              <w:jc w:val="right"/>
              <w:rPr>
                <w:rFonts w:ascii="仿宋_GB2312"/>
                <w:sz w:val="24"/>
              </w:rPr>
            </w:pPr>
          </w:p>
        </w:tc>
      </w:tr>
      <w:tr w14:paraId="779C4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6" w:hRule="atLeast"/>
          <w:jc w:val="center"/>
        </w:trPr>
        <w:tc>
          <w:tcPr>
            <w:tcW w:w="2981" w:type="dxa"/>
            <w:gridSpan w:val="2"/>
            <w:vAlign w:val="center"/>
          </w:tcPr>
          <w:p w14:paraId="1328839A">
            <w:pPr>
              <w:spacing w:line="240" w:lineRule="auto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申请承诺</w:t>
            </w:r>
          </w:p>
        </w:tc>
        <w:tc>
          <w:tcPr>
            <w:tcW w:w="6860" w:type="dxa"/>
            <w:gridSpan w:val="5"/>
            <w:vAlign w:val="center"/>
          </w:tcPr>
          <w:p w14:paraId="144D6159">
            <w:pPr>
              <w:spacing w:line="240" w:lineRule="auto"/>
              <w:ind w:firstLine="480" w:firstLineChars="200"/>
              <w:jc w:val="left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我单位承诺对全部申报材料的合法性、真实性、完整性和有效性负全部责任，对申报资格和申报条件的符合性负责，配合区财政局及其他有关政府部门对资金使用情况的监督和检查。如违反上述承诺，自愿退还全部支持资金，同意有关部门录入相关企业征信体系，放弃今后政策支持申报资格并承担由此引起的一切法律责任。在享受政策支持期间，若出现安全事故、环保问题或存在严重违反国家法律法规的行为，自愿放弃当年政策支持。</w:t>
            </w:r>
          </w:p>
        </w:tc>
      </w:tr>
      <w:tr w14:paraId="7A7CA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981" w:type="dxa"/>
            <w:gridSpan w:val="2"/>
            <w:vAlign w:val="center"/>
          </w:tcPr>
          <w:p w14:paraId="40978D68">
            <w:pPr>
              <w:spacing w:line="240" w:lineRule="auto"/>
              <w:jc w:val="center"/>
              <w:rPr>
                <w:rFonts w:ascii="仿宋_GB2312" w:hAnsi="Times New Roman"/>
                <w:sz w:val="24"/>
                <w:szCs w:val="20"/>
              </w:rPr>
            </w:pPr>
            <w:r>
              <w:rPr>
                <w:rFonts w:hint="eastAsia" w:ascii="仿宋_GB2312"/>
                <w:sz w:val="24"/>
              </w:rPr>
              <w:t>企业法定代表人签字</w:t>
            </w:r>
          </w:p>
        </w:tc>
        <w:tc>
          <w:tcPr>
            <w:tcW w:w="6860" w:type="dxa"/>
            <w:gridSpan w:val="5"/>
            <w:vAlign w:val="center"/>
          </w:tcPr>
          <w:p w14:paraId="1118AB9F">
            <w:pPr>
              <w:spacing w:line="240" w:lineRule="auto"/>
              <w:jc w:val="right"/>
              <w:rPr>
                <w:rFonts w:ascii="仿宋_GB2312"/>
                <w:sz w:val="24"/>
              </w:rPr>
            </w:pPr>
          </w:p>
        </w:tc>
      </w:tr>
      <w:bookmarkEnd w:id="0"/>
    </w:tbl>
    <w:p w14:paraId="1B4FE058">
      <w:pPr>
        <w:autoSpaceDE w:val="0"/>
        <w:autoSpaceDN w:val="0"/>
        <w:contextualSpacing/>
        <w:sectPr>
          <w:footerReference r:id="rId5" w:type="default"/>
          <w:pgSz w:w="11906" w:h="16838"/>
          <w:pgMar w:top="1134" w:right="1800" w:bottom="850" w:left="1800" w:header="851" w:footer="992" w:gutter="0"/>
          <w:cols w:space="425" w:num="1"/>
          <w:docGrid w:type="lines" w:linePitch="312" w:charSpace="0"/>
        </w:sectPr>
      </w:pPr>
    </w:p>
    <w:p w14:paraId="412297BD">
      <w:pPr>
        <w:pStyle w:val="2"/>
        <w:bidi w:val="0"/>
        <w:ind w:left="0" w:leftChars="0" w:firstLine="0" w:firstLineChars="0"/>
        <w:rPr>
          <w:rFonts w:hint="eastAsia" w:eastAsia="黑体"/>
          <w:lang w:val="en-US" w:eastAsia="zh-CN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2</w:t>
      </w:r>
    </w:p>
    <w:p w14:paraId="50F96EDF">
      <w:pPr>
        <w:pStyle w:val="7"/>
        <w:ind w:firstLine="0" w:firstLineChars="0"/>
        <w:jc w:val="center"/>
        <w:rPr>
          <w:rFonts w:hint="eastAsia" w:ascii="仿宋_GB2312" w:hAnsi="仿宋_GB2312" w:cs="仿宋_GB2312"/>
          <w:bCs w:val="0"/>
          <w:lang w:val="en-US" w:eastAsia="zh-CN"/>
        </w:rPr>
      </w:pPr>
      <w:r>
        <w:rPr>
          <w:rFonts w:hint="eastAsia" w:ascii="仿宋_GB2312" w:hAnsi="仿宋_GB2312" w:cs="仿宋_GB2312"/>
          <w:bCs w:val="0"/>
          <w:lang w:val="en-US" w:eastAsia="zh-CN"/>
        </w:rPr>
        <w:t>电竞俱乐部2025年度参赛情况明细表</w:t>
      </w:r>
    </w:p>
    <w:tbl>
      <w:tblPr>
        <w:tblStyle w:val="15"/>
        <w:tblW w:w="104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"/>
        <w:gridCol w:w="1407"/>
        <w:gridCol w:w="1450"/>
        <w:gridCol w:w="1341"/>
        <w:gridCol w:w="1625"/>
        <w:gridCol w:w="1400"/>
        <w:gridCol w:w="1417"/>
        <w:gridCol w:w="824"/>
      </w:tblGrid>
      <w:tr w14:paraId="05614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5" w:type="dxa"/>
          </w:tcPr>
          <w:p w14:paraId="190DE591">
            <w:pPr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  <w:t>序号</w:t>
            </w:r>
          </w:p>
        </w:tc>
        <w:tc>
          <w:tcPr>
            <w:tcW w:w="1407" w:type="dxa"/>
          </w:tcPr>
          <w:p w14:paraId="091301EC">
            <w:pPr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  <w:t>参赛日期</w:t>
            </w:r>
          </w:p>
        </w:tc>
        <w:tc>
          <w:tcPr>
            <w:tcW w:w="1450" w:type="dxa"/>
          </w:tcPr>
          <w:p w14:paraId="1EE2A449">
            <w:pPr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  <w:t>参赛赛事名称</w:t>
            </w:r>
          </w:p>
        </w:tc>
        <w:tc>
          <w:tcPr>
            <w:tcW w:w="1341" w:type="dxa"/>
          </w:tcPr>
          <w:p w14:paraId="2D0BE49F">
            <w:pPr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  <w:t>参赛类别</w:t>
            </w:r>
          </w:p>
        </w:tc>
        <w:tc>
          <w:tcPr>
            <w:tcW w:w="1625" w:type="dxa"/>
          </w:tcPr>
          <w:p w14:paraId="0F44E33A">
            <w:pPr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  <w:t>赛事奖金</w:t>
            </w:r>
          </w:p>
        </w:tc>
        <w:tc>
          <w:tcPr>
            <w:tcW w:w="1400" w:type="dxa"/>
          </w:tcPr>
          <w:p w14:paraId="0CEA521E">
            <w:pPr>
              <w:jc w:val="both"/>
              <w:rPr>
                <w:rFonts w:hint="default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  <w:t>赛事类别</w:t>
            </w:r>
          </w:p>
        </w:tc>
        <w:tc>
          <w:tcPr>
            <w:tcW w:w="1417" w:type="dxa"/>
          </w:tcPr>
          <w:p w14:paraId="5340EEAC">
            <w:pPr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  <w:t>赛事成绩</w:t>
            </w:r>
          </w:p>
        </w:tc>
        <w:tc>
          <w:tcPr>
            <w:tcW w:w="824" w:type="dxa"/>
          </w:tcPr>
          <w:p w14:paraId="1CBC58DC">
            <w:pPr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  <w:t>备注</w:t>
            </w:r>
          </w:p>
        </w:tc>
      </w:tr>
      <w:tr w14:paraId="06BFE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5" w:type="dxa"/>
          </w:tcPr>
          <w:p w14:paraId="196724BA">
            <w:pPr>
              <w:jc w:val="center"/>
              <w:rPr>
                <w:rFonts w:hint="default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407" w:type="dxa"/>
          </w:tcPr>
          <w:p w14:paraId="6423411C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50" w:type="dxa"/>
          </w:tcPr>
          <w:p w14:paraId="05644056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341" w:type="dxa"/>
          </w:tcPr>
          <w:p w14:paraId="7E2E42F5">
            <w:pPr>
              <w:jc w:val="center"/>
              <w:rPr>
                <w:rFonts w:hint="default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  <w:t>入围</w:t>
            </w:r>
          </w:p>
        </w:tc>
        <w:tc>
          <w:tcPr>
            <w:tcW w:w="1625" w:type="dxa"/>
          </w:tcPr>
          <w:p w14:paraId="1055FC49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00" w:type="dxa"/>
          </w:tcPr>
          <w:p w14:paraId="496582A4">
            <w:pPr>
              <w:jc w:val="center"/>
              <w:rPr>
                <w:rFonts w:hint="default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  <w:t>国内</w:t>
            </w:r>
          </w:p>
        </w:tc>
        <w:tc>
          <w:tcPr>
            <w:tcW w:w="1417" w:type="dxa"/>
          </w:tcPr>
          <w:p w14:paraId="36F659F1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6416C45A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</w:tr>
      <w:tr w14:paraId="67E0E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5" w:type="dxa"/>
          </w:tcPr>
          <w:p w14:paraId="715A5F83">
            <w:pPr>
              <w:jc w:val="center"/>
              <w:rPr>
                <w:rFonts w:hint="default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1407" w:type="dxa"/>
          </w:tcPr>
          <w:p w14:paraId="17A95CD4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50" w:type="dxa"/>
          </w:tcPr>
          <w:p w14:paraId="4E6C8A0A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341" w:type="dxa"/>
          </w:tcPr>
          <w:p w14:paraId="0700BCE0">
            <w:pPr>
              <w:jc w:val="center"/>
              <w:rPr>
                <w:rFonts w:hint="default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  <w:t>小组赛</w:t>
            </w:r>
          </w:p>
        </w:tc>
        <w:tc>
          <w:tcPr>
            <w:tcW w:w="1625" w:type="dxa"/>
          </w:tcPr>
          <w:p w14:paraId="11E418F1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00" w:type="dxa"/>
          </w:tcPr>
          <w:p w14:paraId="4ADD8B2B">
            <w:pPr>
              <w:jc w:val="center"/>
              <w:rPr>
                <w:rFonts w:hint="default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  <w:t>国际</w:t>
            </w:r>
          </w:p>
        </w:tc>
        <w:tc>
          <w:tcPr>
            <w:tcW w:w="1417" w:type="dxa"/>
          </w:tcPr>
          <w:p w14:paraId="537ABD7C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0D16C054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</w:tr>
      <w:tr w14:paraId="77166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5" w:type="dxa"/>
          </w:tcPr>
          <w:p w14:paraId="40B8FCE9">
            <w:pPr>
              <w:jc w:val="center"/>
              <w:rPr>
                <w:rFonts w:hint="default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1407" w:type="dxa"/>
          </w:tcPr>
          <w:p w14:paraId="58BB8724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50" w:type="dxa"/>
          </w:tcPr>
          <w:p w14:paraId="6232A499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341" w:type="dxa"/>
          </w:tcPr>
          <w:p w14:paraId="3C200007">
            <w:pPr>
              <w:jc w:val="center"/>
              <w:rPr>
                <w:rFonts w:hint="default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  <w:t>初赛</w:t>
            </w:r>
          </w:p>
        </w:tc>
        <w:tc>
          <w:tcPr>
            <w:tcW w:w="1625" w:type="dxa"/>
          </w:tcPr>
          <w:p w14:paraId="30B9C73F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00" w:type="dxa"/>
          </w:tcPr>
          <w:p w14:paraId="0A254BC1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17" w:type="dxa"/>
          </w:tcPr>
          <w:p w14:paraId="49E0745C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55220E55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</w:tr>
      <w:tr w14:paraId="18A86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5" w:type="dxa"/>
          </w:tcPr>
          <w:p w14:paraId="150C849C">
            <w:pPr>
              <w:jc w:val="center"/>
              <w:rPr>
                <w:rFonts w:hint="default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  <w:t>4</w:t>
            </w:r>
          </w:p>
        </w:tc>
        <w:tc>
          <w:tcPr>
            <w:tcW w:w="1407" w:type="dxa"/>
          </w:tcPr>
          <w:p w14:paraId="3BF1E2E6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50" w:type="dxa"/>
          </w:tcPr>
          <w:p w14:paraId="68FB3D23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341" w:type="dxa"/>
          </w:tcPr>
          <w:p w14:paraId="04C13C1A">
            <w:pPr>
              <w:jc w:val="center"/>
              <w:rPr>
                <w:rFonts w:hint="default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  <w:t>半决赛</w:t>
            </w:r>
          </w:p>
        </w:tc>
        <w:tc>
          <w:tcPr>
            <w:tcW w:w="1625" w:type="dxa"/>
          </w:tcPr>
          <w:p w14:paraId="1B5DA25D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00" w:type="dxa"/>
          </w:tcPr>
          <w:p w14:paraId="3FF4827A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17" w:type="dxa"/>
          </w:tcPr>
          <w:p w14:paraId="736A61F7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64898EE0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</w:tr>
      <w:tr w14:paraId="4A144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5" w:type="dxa"/>
          </w:tcPr>
          <w:p w14:paraId="5A0E6DD3">
            <w:pPr>
              <w:jc w:val="center"/>
              <w:rPr>
                <w:rFonts w:hint="default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  <w:t>5</w:t>
            </w:r>
          </w:p>
        </w:tc>
        <w:tc>
          <w:tcPr>
            <w:tcW w:w="1407" w:type="dxa"/>
          </w:tcPr>
          <w:p w14:paraId="39F179A9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50" w:type="dxa"/>
          </w:tcPr>
          <w:p w14:paraId="397265B6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341" w:type="dxa"/>
          </w:tcPr>
          <w:p w14:paraId="3502A3A1">
            <w:pPr>
              <w:jc w:val="center"/>
              <w:rPr>
                <w:rFonts w:hint="default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  <w:t>决赛</w:t>
            </w:r>
          </w:p>
        </w:tc>
        <w:tc>
          <w:tcPr>
            <w:tcW w:w="1625" w:type="dxa"/>
          </w:tcPr>
          <w:p w14:paraId="28263502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00" w:type="dxa"/>
          </w:tcPr>
          <w:p w14:paraId="3F577BFC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17" w:type="dxa"/>
          </w:tcPr>
          <w:p w14:paraId="2C56D8CD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59F36046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</w:tr>
    </w:tbl>
    <w:p w14:paraId="531840B3">
      <w:pPr>
        <w:rPr>
          <w:rFonts w:hint="eastAsia" w:ascii="仿宋_GB2312" w:hAnsi="仿宋_GB2312" w:cs="仿宋_GB2312"/>
          <w:bCs w:val="0"/>
          <w:lang w:val="en-US" w:eastAsia="zh-CN"/>
        </w:rPr>
      </w:pPr>
    </w:p>
    <w:p w14:paraId="6289FCCD">
      <w:pPr>
        <w:pStyle w:val="13"/>
        <w:rPr>
          <w:rFonts w:hint="eastAsia" w:ascii="仿宋_GB2312" w:hAnsi="仿宋_GB2312" w:cs="仿宋_GB2312"/>
          <w:bCs w:val="0"/>
          <w:lang w:val="en-US" w:eastAsia="zh-CN"/>
        </w:rPr>
      </w:pPr>
    </w:p>
    <w:p w14:paraId="7912C142">
      <w:pPr>
        <w:rPr>
          <w:rFonts w:hint="eastAsia" w:ascii="仿宋_GB2312" w:hAnsi="仿宋_GB2312" w:cs="仿宋_GB2312"/>
          <w:bCs w:val="0"/>
          <w:lang w:val="en-US" w:eastAsia="zh-CN"/>
        </w:rPr>
      </w:pPr>
    </w:p>
    <w:p w14:paraId="5A510AE1">
      <w:pPr>
        <w:pStyle w:val="13"/>
        <w:rPr>
          <w:rFonts w:hint="eastAsia" w:ascii="仿宋_GB2312" w:hAnsi="仿宋_GB2312" w:cs="仿宋_GB2312"/>
          <w:bCs w:val="0"/>
          <w:lang w:val="en-US" w:eastAsia="zh-CN"/>
        </w:rPr>
      </w:pPr>
    </w:p>
    <w:p w14:paraId="2D1CEFA5">
      <w:pPr>
        <w:rPr>
          <w:rFonts w:hint="eastAsia" w:ascii="仿宋_GB2312" w:hAnsi="仿宋_GB2312" w:cs="仿宋_GB2312"/>
          <w:bCs w:val="0"/>
          <w:lang w:val="en-US" w:eastAsia="zh-CN"/>
        </w:rPr>
      </w:pPr>
    </w:p>
    <w:p w14:paraId="38935E71">
      <w:pPr>
        <w:pStyle w:val="13"/>
        <w:rPr>
          <w:rFonts w:hint="eastAsia" w:ascii="仿宋_GB2312" w:hAnsi="仿宋_GB2312" w:cs="仿宋_GB2312"/>
          <w:bCs w:val="0"/>
          <w:lang w:val="en-US" w:eastAsia="zh-CN"/>
        </w:rPr>
      </w:pPr>
    </w:p>
    <w:p w14:paraId="4311A2D1">
      <w:pPr>
        <w:rPr>
          <w:rFonts w:hint="eastAsia" w:ascii="仿宋_GB2312" w:hAnsi="仿宋_GB2312" w:cs="仿宋_GB2312"/>
          <w:bCs w:val="0"/>
          <w:lang w:val="en-US" w:eastAsia="zh-CN"/>
        </w:rPr>
      </w:pPr>
    </w:p>
    <w:p w14:paraId="5AAB917A">
      <w:pPr>
        <w:pStyle w:val="13"/>
        <w:rPr>
          <w:rFonts w:hint="eastAsia" w:ascii="仿宋_GB2312" w:hAnsi="仿宋_GB2312" w:cs="仿宋_GB2312"/>
          <w:bCs w:val="0"/>
          <w:lang w:val="en-US" w:eastAsia="zh-CN"/>
        </w:rPr>
      </w:pPr>
    </w:p>
    <w:p w14:paraId="4C4234BC">
      <w:pPr>
        <w:rPr>
          <w:rFonts w:hint="eastAsia" w:ascii="仿宋_GB2312" w:hAnsi="仿宋_GB2312" w:cs="仿宋_GB2312"/>
          <w:bCs w:val="0"/>
          <w:lang w:val="en-US" w:eastAsia="zh-CN"/>
        </w:rPr>
      </w:pPr>
    </w:p>
    <w:p w14:paraId="73BF3B3B">
      <w:pPr>
        <w:pStyle w:val="13"/>
        <w:rPr>
          <w:rFonts w:hint="eastAsia" w:ascii="仿宋_GB2312" w:hAnsi="仿宋_GB2312" w:cs="仿宋_GB2312"/>
          <w:bCs w:val="0"/>
          <w:lang w:val="en-US" w:eastAsia="zh-CN"/>
        </w:rPr>
      </w:pPr>
    </w:p>
    <w:p w14:paraId="6F80A6D3">
      <w:pPr>
        <w:rPr>
          <w:rFonts w:hint="eastAsia" w:ascii="仿宋_GB2312" w:hAnsi="仿宋_GB2312" w:cs="仿宋_GB2312"/>
          <w:bCs w:val="0"/>
          <w:lang w:val="en-US" w:eastAsia="zh-CN"/>
        </w:rPr>
      </w:pPr>
    </w:p>
    <w:p w14:paraId="65B2B031">
      <w:pPr>
        <w:pStyle w:val="13"/>
        <w:rPr>
          <w:rFonts w:hint="eastAsia" w:ascii="仿宋_GB2312" w:hAnsi="仿宋_GB2312" w:cs="仿宋_GB2312"/>
          <w:bCs w:val="0"/>
          <w:lang w:val="en-US" w:eastAsia="zh-CN"/>
        </w:rPr>
      </w:pPr>
    </w:p>
    <w:p w14:paraId="6A517B48">
      <w:pPr>
        <w:pStyle w:val="2"/>
        <w:bidi w:val="0"/>
        <w:ind w:left="0" w:leftChars="0" w:firstLine="0" w:firstLineChars="0"/>
        <w:rPr>
          <w:rFonts w:hint="eastAsia" w:eastAsia="黑体"/>
          <w:lang w:val="en-US" w:eastAsia="zh-CN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3</w:t>
      </w:r>
    </w:p>
    <w:p w14:paraId="64F54CF1">
      <w:pPr>
        <w:pStyle w:val="7"/>
        <w:ind w:firstLine="0" w:firstLineChars="0"/>
        <w:jc w:val="center"/>
        <w:rPr>
          <w:rFonts w:hint="eastAsia" w:ascii="仿宋_GB2312" w:hAnsi="仿宋_GB2312" w:cs="仿宋_GB2312"/>
          <w:bCs w:val="0"/>
          <w:lang w:val="en-US" w:eastAsia="zh-CN"/>
        </w:rPr>
      </w:pPr>
      <w:r>
        <w:rPr>
          <w:rFonts w:hint="eastAsia" w:ascii="仿宋_GB2312" w:hAnsi="仿宋_GB2312" w:cs="仿宋_GB2312"/>
          <w:bCs w:val="0"/>
          <w:lang w:val="en-US" w:eastAsia="zh-CN"/>
        </w:rPr>
        <w:t>电竞场馆2025年度承办电竞赛事明细表</w:t>
      </w:r>
    </w:p>
    <w:tbl>
      <w:tblPr>
        <w:tblStyle w:val="15"/>
        <w:tblW w:w="80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"/>
        <w:gridCol w:w="1407"/>
        <w:gridCol w:w="1450"/>
        <w:gridCol w:w="2018"/>
        <w:gridCol w:w="1417"/>
        <w:gridCol w:w="824"/>
      </w:tblGrid>
      <w:tr w14:paraId="6082C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5" w:type="dxa"/>
          </w:tcPr>
          <w:p w14:paraId="6B133EF9">
            <w:pPr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  <w:t>序号</w:t>
            </w:r>
          </w:p>
        </w:tc>
        <w:tc>
          <w:tcPr>
            <w:tcW w:w="1407" w:type="dxa"/>
          </w:tcPr>
          <w:p w14:paraId="250E5562">
            <w:pPr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  <w:t>承接日期</w:t>
            </w:r>
          </w:p>
        </w:tc>
        <w:tc>
          <w:tcPr>
            <w:tcW w:w="1450" w:type="dxa"/>
          </w:tcPr>
          <w:p w14:paraId="643B7382">
            <w:pPr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  <w:t>承接赛事名称</w:t>
            </w:r>
          </w:p>
        </w:tc>
        <w:tc>
          <w:tcPr>
            <w:tcW w:w="2018" w:type="dxa"/>
          </w:tcPr>
          <w:p w14:paraId="0C9B9946">
            <w:pPr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  <w:t>赛事级别</w:t>
            </w:r>
          </w:p>
        </w:tc>
        <w:tc>
          <w:tcPr>
            <w:tcW w:w="1417" w:type="dxa"/>
          </w:tcPr>
          <w:p w14:paraId="2D22BF7B">
            <w:pPr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  <w:t>单场观众人数</w:t>
            </w:r>
          </w:p>
        </w:tc>
        <w:tc>
          <w:tcPr>
            <w:tcW w:w="824" w:type="dxa"/>
          </w:tcPr>
          <w:p w14:paraId="5DDFA410">
            <w:pPr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2"/>
                <w:vertAlign w:val="baseline"/>
                <w:lang w:val="en-US" w:eastAsia="zh-CN"/>
              </w:rPr>
              <w:t>备注</w:t>
            </w:r>
          </w:p>
        </w:tc>
      </w:tr>
      <w:tr w14:paraId="6B20A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5" w:type="dxa"/>
          </w:tcPr>
          <w:p w14:paraId="4B85F82B">
            <w:pPr>
              <w:jc w:val="center"/>
              <w:rPr>
                <w:rFonts w:hint="default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407" w:type="dxa"/>
          </w:tcPr>
          <w:p w14:paraId="69DC916F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50" w:type="dxa"/>
          </w:tcPr>
          <w:p w14:paraId="703EA2D2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018" w:type="dxa"/>
          </w:tcPr>
          <w:p w14:paraId="0301BA5C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17" w:type="dxa"/>
          </w:tcPr>
          <w:p w14:paraId="71E30F12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73EFA20F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</w:tr>
      <w:tr w14:paraId="1B10C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5" w:type="dxa"/>
          </w:tcPr>
          <w:p w14:paraId="1E779900">
            <w:pPr>
              <w:jc w:val="center"/>
              <w:rPr>
                <w:rFonts w:hint="default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1407" w:type="dxa"/>
          </w:tcPr>
          <w:p w14:paraId="3132AADC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50" w:type="dxa"/>
          </w:tcPr>
          <w:p w14:paraId="4D2A9596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018" w:type="dxa"/>
          </w:tcPr>
          <w:p w14:paraId="675A41F2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17" w:type="dxa"/>
          </w:tcPr>
          <w:p w14:paraId="75A56EEF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15A0B2C1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</w:tr>
      <w:tr w14:paraId="51783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5" w:type="dxa"/>
          </w:tcPr>
          <w:p w14:paraId="6BCDC90B">
            <w:pPr>
              <w:jc w:val="center"/>
              <w:rPr>
                <w:rFonts w:hint="default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1407" w:type="dxa"/>
          </w:tcPr>
          <w:p w14:paraId="4DF15EFC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50" w:type="dxa"/>
          </w:tcPr>
          <w:p w14:paraId="53831C66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018" w:type="dxa"/>
          </w:tcPr>
          <w:p w14:paraId="7B35A7E0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17" w:type="dxa"/>
          </w:tcPr>
          <w:p w14:paraId="4311C4D7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7C02F18A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</w:tr>
      <w:tr w14:paraId="663BE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5" w:type="dxa"/>
          </w:tcPr>
          <w:p w14:paraId="48AE35D8">
            <w:pPr>
              <w:jc w:val="center"/>
              <w:rPr>
                <w:rFonts w:hint="default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  <w:t>4</w:t>
            </w:r>
          </w:p>
        </w:tc>
        <w:tc>
          <w:tcPr>
            <w:tcW w:w="1407" w:type="dxa"/>
          </w:tcPr>
          <w:p w14:paraId="305A52FD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50" w:type="dxa"/>
          </w:tcPr>
          <w:p w14:paraId="1A9FB73C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018" w:type="dxa"/>
          </w:tcPr>
          <w:p w14:paraId="4247BE73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17" w:type="dxa"/>
          </w:tcPr>
          <w:p w14:paraId="62DD14AA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637813C0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</w:tr>
      <w:tr w14:paraId="50181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5" w:type="dxa"/>
          </w:tcPr>
          <w:p w14:paraId="7EC8D73F">
            <w:pPr>
              <w:jc w:val="center"/>
              <w:rPr>
                <w:rFonts w:hint="default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  <w:t>5</w:t>
            </w:r>
          </w:p>
        </w:tc>
        <w:tc>
          <w:tcPr>
            <w:tcW w:w="1407" w:type="dxa"/>
          </w:tcPr>
          <w:p w14:paraId="4DD605FA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50" w:type="dxa"/>
          </w:tcPr>
          <w:p w14:paraId="7911E433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018" w:type="dxa"/>
          </w:tcPr>
          <w:p w14:paraId="594206B1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17" w:type="dxa"/>
          </w:tcPr>
          <w:p w14:paraId="6C7F60CC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46211AB4">
            <w:pPr>
              <w:jc w:val="center"/>
              <w:rPr>
                <w:rFonts w:hint="eastAsia" w:ascii="仿宋_GB2312" w:hAnsi="仿宋_GB2312" w:cs="仿宋_GB2312"/>
                <w:bCs w:val="0"/>
                <w:sz w:val="28"/>
                <w:szCs w:val="22"/>
                <w:vertAlign w:val="baseline"/>
                <w:lang w:val="en-US" w:eastAsia="zh-CN"/>
              </w:rPr>
            </w:pPr>
          </w:p>
        </w:tc>
      </w:tr>
    </w:tbl>
    <w:p w14:paraId="6F520271">
      <w:pPr>
        <w:rPr>
          <w:rFonts w:hint="eastAsia" w:ascii="仿宋_GB2312" w:hAnsi="仿宋_GB2312" w:cs="仿宋_GB2312"/>
          <w:bCs w:val="0"/>
          <w:lang w:val="en-US" w:eastAsia="zh-CN"/>
        </w:rPr>
      </w:pPr>
    </w:p>
    <w:p w14:paraId="2A8E9E89">
      <w:pPr>
        <w:pStyle w:val="13"/>
        <w:rPr>
          <w:rFonts w:hint="eastAsia" w:ascii="仿宋_GB2312" w:hAnsi="仿宋_GB2312" w:cs="仿宋_GB2312"/>
          <w:bCs w:val="0"/>
          <w:lang w:val="en-US" w:eastAsia="zh-CN"/>
        </w:rPr>
      </w:pPr>
    </w:p>
    <w:p w14:paraId="16CECDA5">
      <w:pPr>
        <w:rPr>
          <w:rFonts w:hint="eastAsia" w:ascii="仿宋_GB2312" w:hAnsi="仿宋_GB2312" w:cs="仿宋_GB2312"/>
          <w:bCs w:val="0"/>
          <w:lang w:val="en-US" w:eastAsia="zh-CN"/>
        </w:rPr>
      </w:pPr>
    </w:p>
    <w:p w14:paraId="207F1095">
      <w:pPr>
        <w:pStyle w:val="13"/>
        <w:rPr>
          <w:rFonts w:hint="eastAsia" w:ascii="仿宋_GB2312" w:hAnsi="仿宋_GB2312" w:cs="仿宋_GB2312"/>
          <w:bCs w:val="0"/>
          <w:lang w:val="en-US" w:eastAsia="zh-CN"/>
        </w:rPr>
      </w:pPr>
    </w:p>
    <w:p w14:paraId="09AE44D0">
      <w:pPr>
        <w:rPr>
          <w:rFonts w:hint="eastAsia"/>
        </w:rPr>
        <w:sectPr>
          <w:footerReference r:id="rId6" w:type="default"/>
          <w:pgSz w:w="11906" w:h="16838"/>
          <w:pgMar w:top="2098" w:right="1474" w:bottom="1984" w:left="1587" w:header="720" w:footer="720" w:gutter="0"/>
          <w:pgNumType w:fmt="numberInDash"/>
          <w:cols w:space="720" w:num="1"/>
          <w:docGrid w:type="lines" w:linePitch="312" w:charSpace="0"/>
        </w:sectPr>
      </w:pPr>
    </w:p>
    <w:p w14:paraId="26E15465">
      <w:pPr>
        <w:pStyle w:val="2"/>
        <w:bidi w:val="0"/>
        <w:ind w:left="0" w:leftChars="0" w:firstLine="0" w:firstLineChars="0"/>
        <w:rPr>
          <w:rFonts w:hint="eastAsia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 xml:space="preserve"> 用章材料模板</w:t>
      </w:r>
    </w:p>
    <w:p w14:paraId="2D6F6868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26051CB9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2D2BAEDD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7FE01CF6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53C410E9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23C9AB1D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0D4E9938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7EEC7B7B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《关于北京城市副中心促进游戏电竞行业</w:t>
      </w:r>
    </w:p>
    <w:p w14:paraId="31E27D5F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高质量发展的若干措施》申报材料</w:t>
      </w:r>
    </w:p>
    <w:p w14:paraId="58F0698C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1A0DF701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0F159FC7">
      <w:pPr>
        <w:pStyle w:val="13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5698C897">
      <w:pPr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1447941A">
      <w:pPr>
        <w:pStyle w:val="13"/>
      </w:pPr>
    </w:p>
    <w:p w14:paraId="55907D77">
      <w:pPr>
        <w:ind w:left="0" w:leftChars="0" w:firstLine="1920" w:firstLineChars="600"/>
        <w:jc w:val="left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申报条款：</w:t>
      </w:r>
    </w:p>
    <w:p w14:paraId="3E83DACD">
      <w:pPr>
        <w:ind w:left="0" w:leftChars="0" w:firstLine="1920" w:firstLineChars="600"/>
        <w:jc w:val="left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申报单位：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xxxxxxxxxxxxxx公司</w:t>
      </w:r>
    </w:p>
    <w:p w14:paraId="1A91EEED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6E75E58C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3BF42B2A"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2026年X月</w:t>
      </w:r>
    </w:p>
    <w:p w14:paraId="2128B51D">
      <w:pPr>
        <w:adjustRightInd/>
        <w:snapToGrid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z w:val="44"/>
          <w:szCs w:val="44"/>
        </w:rPr>
        <w:br w:type="page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材料目录</w:t>
      </w:r>
    </w:p>
    <w:p w14:paraId="31B8DE9F">
      <w:pPr>
        <w:adjustRightInd/>
        <w:snapToGrid/>
        <w:jc w:val="left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一、基础材料</w:t>
      </w:r>
    </w:p>
    <w:p w14:paraId="2B37E27E">
      <w:pPr>
        <w:adjustRightInd/>
        <w:snapToGrid/>
        <w:jc w:val="left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1.</w:t>
      </w:r>
      <w:r>
        <w:rPr>
          <w:rFonts w:hint="eastAsia" w:ascii="宋体" w:hAnsi="宋体" w:cs="宋体"/>
          <w:szCs w:val="32"/>
          <w:lang w:val="en-US" w:eastAsia="zh-CN"/>
        </w:rPr>
        <w:t>游戏电竞行业高质量发展的若干措施申报表（附件1）</w:t>
      </w:r>
      <w:r>
        <w:rPr>
          <w:rFonts w:hint="eastAsia" w:ascii="宋体" w:hAnsi="宋体" w:cs="宋体"/>
          <w:szCs w:val="32"/>
        </w:rPr>
        <w:t>；</w:t>
      </w:r>
    </w:p>
    <w:p w14:paraId="17475CEE">
      <w:pPr>
        <w:adjustRightInd/>
        <w:snapToGrid/>
        <w:jc w:val="left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2.营业执照复印件；</w:t>
      </w:r>
    </w:p>
    <w:p w14:paraId="5B41E8C4">
      <w:pPr>
        <w:adjustRightInd/>
        <w:snapToGrid/>
        <w:jc w:val="left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3.企业开户许可证复印件或基本账户信息；</w:t>
      </w:r>
    </w:p>
    <w:p w14:paraId="1DA3724E">
      <w:pPr>
        <w:adjustRightInd/>
        <w:snapToGrid/>
        <w:jc w:val="left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4.企业2025年度完税凭证（含个税）和</w:t>
      </w:r>
      <w:r>
        <w:rPr>
          <w:rFonts w:hint="eastAsia" w:ascii="宋体" w:hAnsi="宋体" w:cs="宋体"/>
          <w:szCs w:val="32"/>
          <w:lang w:val="en-US" w:eastAsia="zh-CN"/>
        </w:rPr>
        <w:t>2025年度</w:t>
      </w:r>
      <w:r>
        <w:rPr>
          <w:rFonts w:hint="eastAsia" w:ascii="宋体" w:hAnsi="宋体" w:cs="宋体"/>
          <w:szCs w:val="32"/>
        </w:rPr>
        <w:t>经审计的财务报告。</w:t>
      </w:r>
    </w:p>
    <w:p w14:paraId="100CE1D7">
      <w:pPr>
        <w:adjustRightInd/>
        <w:snapToGrid/>
        <w:jc w:val="left"/>
        <w:rPr>
          <w:rFonts w:ascii="黑体" w:hAnsi="黑体" w:eastAsia="黑体" w:cs="黑体"/>
          <w:i/>
          <w:iCs/>
          <w:color w:val="7E7E7E"/>
          <w:sz w:val="24"/>
        </w:rPr>
      </w:pPr>
      <w:r>
        <w:rPr>
          <w:rFonts w:hint="eastAsia" w:ascii="黑体" w:hAnsi="黑体" w:eastAsia="黑体" w:cs="黑体"/>
          <w:szCs w:val="32"/>
        </w:rPr>
        <w:t>二、各条款适用材料</w:t>
      </w:r>
      <w:r>
        <w:rPr>
          <w:rFonts w:hint="eastAsia" w:ascii="黑体" w:hAnsi="黑体" w:eastAsia="黑体" w:cs="黑体"/>
          <w:i/>
          <w:iCs/>
          <w:color w:val="7E7E7E"/>
          <w:sz w:val="24"/>
        </w:rPr>
        <w:t>（根据实际申报情况编写，非申报条款请于目录中删除）</w:t>
      </w:r>
    </w:p>
    <w:p w14:paraId="66FE22DF">
      <w:pPr>
        <w:numPr>
          <w:ilvl w:val="0"/>
          <w:numId w:val="1"/>
        </w:numPr>
        <w:adjustRightInd/>
        <w:snapToGrid/>
        <w:ind w:firstLine="0"/>
        <w:jc w:val="left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第</w:t>
      </w:r>
      <w:r>
        <w:rPr>
          <w:rFonts w:hint="eastAsia" w:ascii="宋体" w:hAnsi="宋体" w:cs="宋体"/>
          <w:szCs w:val="32"/>
          <w:lang w:val="en-US" w:eastAsia="zh-CN"/>
        </w:rPr>
        <w:t>一</w:t>
      </w:r>
      <w:r>
        <w:rPr>
          <w:rFonts w:hint="eastAsia" w:ascii="宋体" w:hAnsi="宋体" w:cs="宋体"/>
          <w:szCs w:val="32"/>
        </w:rPr>
        <w:t>条 支持产业集聚发展</w:t>
      </w:r>
      <w:r>
        <w:rPr>
          <w:rFonts w:hint="eastAsia" w:ascii="宋体" w:hAnsi="宋体" w:cs="宋体"/>
          <w:szCs w:val="32"/>
          <w:lang w:val="en-US" w:eastAsia="zh-CN"/>
        </w:rPr>
        <w:t>申报材料</w:t>
      </w:r>
    </w:p>
    <w:p w14:paraId="4EA99D9F">
      <w:pPr>
        <w:numPr>
          <w:ilvl w:val="0"/>
          <w:numId w:val="1"/>
        </w:numPr>
        <w:adjustRightInd/>
        <w:snapToGrid/>
        <w:ind w:firstLine="0"/>
        <w:jc w:val="left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第</w:t>
      </w:r>
      <w:r>
        <w:rPr>
          <w:rFonts w:hint="eastAsia" w:ascii="宋体" w:hAnsi="宋体" w:cs="宋体"/>
          <w:szCs w:val="32"/>
          <w:lang w:val="en-US" w:eastAsia="zh-CN"/>
        </w:rPr>
        <w:t>二</w:t>
      </w:r>
      <w:r>
        <w:rPr>
          <w:rFonts w:hint="eastAsia" w:ascii="宋体" w:hAnsi="宋体" w:cs="宋体"/>
          <w:szCs w:val="32"/>
        </w:rPr>
        <w:t>条 支持创作精品游戏</w:t>
      </w:r>
      <w:r>
        <w:rPr>
          <w:rFonts w:hint="eastAsia" w:ascii="宋体" w:hAnsi="宋体" w:cs="宋体"/>
          <w:szCs w:val="32"/>
          <w:lang w:val="en-US" w:eastAsia="zh-CN"/>
        </w:rPr>
        <w:t>申报材料</w:t>
      </w:r>
    </w:p>
    <w:p w14:paraId="2C79868E">
      <w:pPr>
        <w:numPr>
          <w:ilvl w:val="0"/>
          <w:numId w:val="1"/>
        </w:numPr>
        <w:adjustRightInd/>
        <w:snapToGrid/>
        <w:ind w:firstLine="0"/>
        <w:jc w:val="left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第</w:t>
      </w:r>
      <w:r>
        <w:rPr>
          <w:rFonts w:hint="eastAsia" w:ascii="宋体" w:hAnsi="宋体" w:cs="宋体"/>
          <w:szCs w:val="32"/>
          <w:lang w:val="en-US" w:eastAsia="zh-CN"/>
        </w:rPr>
        <w:t>三</w:t>
      </w:r>
      <w:r>
        <w:rPr>
          <w:rFonts w:hint="eastAsia" w:ascii="宋体" w:hAnsi="宋体" w:cs="宋体"/>
          <w:szCs w:val="32"/>
        </w:rPr>
        <w:t>条 支持</w:t>
      </w:r>
      <w:r>
        <w:rPr>
          <w:rFonts w:hint="eastAsia" w:ascii="宋体" w:hAnsi="宋体" w:cs="宋体"/>
          <w:szCs w:val="32"/>
          <w:lang w:val="en-US" w:eastAsia="zh-CN"/>
        </w:rPr>
        <w:t>举办电竞赛事申报材料</w:t>
      </w:r>
      <w:r>
        <w:rPr>
          <w:rFonts w:hint="eastAsia" w:ascii="宋体" w:hAnsi="宋体" w:cs="宋体"/>
          <w:szCs w:val="32"/>
        </w:rPr>
        <w:t xml:space="preserve">   </w:t>
      </w:r>
    </w:p>
    <w:p w14:paraId="5828B075">
      <w:pPr>
        <w:numPr>
          <w:ilvl w:val="0"/>
          <w:numId w:val="1"/>
        </w:numPr>
        <w:adjustRightInd/>
        <w:snapToGrid/>
        <w:ind w:firstLine="0"/>
        <w:jc w:val="left"/>
        <w:rPr>
          <w:rFonts w:hint="eastAsia" w:ascii="宋体" w:hAnsi="宋体" w:cs="宋体"/>
          <w:szCs w:val="32"/>
          <w:lang w:val="en-US" w:eastAsia="zh-CN"/>
        </w:rPr>
      </w:pPr>
      <w:r>
        <w:rPr>
          <w:rFonts w:hint="eastAsia" w:ascii="宋体" w:hAnsi="宋体" w:cs="宋体"/>
          <w:szCs w:val="32"/>
          <w:lang w:val="en-US" w:eastAsia="zh-CN"/>
        </w:rPr>
        <w:t>第四条 支持电竞场馆运营申报材料</w:t>
      </w:r>
    </w:p>
    <w:p w14:paraId="73A5DEF2">
      <w:pPr>
        <w:numPr>
          <w:ilvl w:val="0"/>
          <w:numId w:val="0"/>
        </w:numPr>
        <w:adjustRightInd/>
        <w:snapToGrid/>
        <w:ind w:leftChars="0"/>
        <w:jc w:val="left"/>
      </w:pPr>
    </w:p>
    <w:sectPr>
      <w:pgSz w:w="11906" w:h="16838"/>
      <w:pgMar w:top="2098" w:right="1474" w:bottom="1984" w:left="1587" w:header="720" w:footer="720" w:gutter="0"/>
      <w:pgNumType w:fmt="numberInDash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A2BFF71-408E-4F58-A97F-3694B2B66E1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518C860C-99BD-409C-AC42-9FF94174F568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826206C5-87AE-47FA-A90D-19E949CF598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01446632"/>
    </w:sdtPr>
    <w:sdtEndPr>
      <w:rPr>
        <w:rFonts w:asciiTheme="minorEastAsia" w:hAnsiTheme="minorEastAsia" w:eastAsiaTheme="minorEastAsia"/>
        <w:sz w:val="28"/>
        <w:szCs w:val="28"/>
      </w:rPr>
    </w:sdtEndPr>
    <w:sdtContent>
      <w:p w14:paraId="48B7E6F9">
        <w:pPr>
          <w:pStyle w:val="9"/>
          <w:jc w:val="center"/>
          <w:rPr>
            <w:rFonts w:asciiTheme="minorEastAsia" w:hAnsiTheme="minorEastAsia" w:eastAsiaTheme="minorEastAsia"/>
            <w:sz w:val="30"/>
            <w:szCs w:val="30"/>
          </w:rPr>
        </w:pP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2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</w:p>
    </w:sdtContent>
  </w:sdt>
  <w:p w14:paraId="5224BA3E">
    <w:pPr>
      <w:pStyle w:val="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941DB5">
    <w:pPr>
      <w:pStyle w:val="9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B39967">
                          <w:pPr>
                            <w:pStyle w:val="9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7rXEMIBAACN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zuZZ&#10;ni5gRVmPgfJS/wH6nDr5kZyZda+jy1/iwyhO4h4v4qo+MZkfLRfLZUkhSbHzhXCKp+chYvqowLFs&#10;1DzS9AZRxeEe05h6TsnVPNwZa8kvKuv/cRBm9hS597HHbKV+20+Nb6E5Ep+OBl9zT3vOmf3kSde8&#10;I2cjno3tZOQaGG73iQoP/WTUEWoqRlMaGE0bldfg+X3IevqL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Ju61xD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BB39967">
                    <w:pPr>
                      <w:pStyle w:val="9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E8DA0"/>
    <w:multiLevelType w:val="singleLevel"/>
    <w:tmpl w:val="FFFE8DA0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  <w:b w:val="0"/>
        <w:bCs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HorizontalSpacing w:val="160"/>
  <w:drawingGridVerticalSpacing w:val="435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EF210F"/>
    <w:rsid w:val="000B0C77"/>
    <w:rsid w:val="00115036"/>
    <w:rsid w:val="00134E4E"/>
    <w:rsid w:val="001C5C06"/>
    <w:rsid w:val="00297AEE"/>
    <w:rsid w:val="002B40B0"/>
    <w:rsid w:val="002E5C97"/>
    <w:rsid w:val="00401953"/>
    <w:rsid w:val="004D3DA1"/>
    <w:rsid w:val="004E36D4"/>
    <w:rsid w:val="00517AA6"/>
    <w:rsid w:val="005318F7"/>
    <w:rsid w:val="00537319"/>
    <w:rsid w:val="0054740B"/>
    <w:rsid w:val="00654DB9"/>
    <w:rsid w:val="008266D5"/>
    <w:rsid w:val="0082757F"/>
    <w:rsid w:val="0085380C"/>
    <w:rsid w:val="008C7E1D"/>
    <w:rsid w:val="0092368D"/>
    <w:rsid w:val="00A51103"/>
    <w:rsid w:val="00A65B9D"/>
    <w:rsid w:val="00B20F09"/>
    <w:rsid w:val="00BF3CD4"/>
    <w:rsid w:val="00C12CEE"/>
    <w:rsid w:val="00D64586"/>
    <w:rsid w:val="00EA4A2F"/>
    <w:rsid w:val="00F65647"/>
    <w:rsid w:val="09345880"/>
    <w:rsid w:val="0AFF2CB0"/>
    <w:rsid w:val="0B4364E5"/>
    <w:rsid w:val="0B4D62CA"/>
    <w:rsid w:val="16DA0094"/>
    <w:rsid w:val="17EC1391"/>
    <w:rsid w:val="1B872037"/>
    <w:rsid w:val="1C996B45"/>
    <w:rsid w:val="1DD45BCB"/>
    <w:rsid w:val="255F2163"/>
    <w:rsid w:val="2B362929"/>
    <w:rsid w:val="2B714DB5"/>
    <w:rsid w:val="30E93052"/>
    <w:rsid w:val="333AE4FA"/>
    <w:rsid w:val="34A301BF"/>
    <w:rsid w:val="34D66C79"/>
    <w:rsid w:val="36C14D6B"/>
    <w:rsid w:val="37F549E2"/>
    <w:rsid w:val="38D41B45"/>
    <w:rsid w:val="38E73521"/>
    <w:rsid w:val="3DFFD1FC"/>
    <w:rsid w:val="3FA8270E"/>
    <w:rsid w:val="3FBE8ACC"/>
    <w:rsid w:val="3FE7A1F6"/>
    <w:rsid w:val="3FFFDE97"/>
    <w:rsid w:val="4AC37F0A"/>
    <w:rsid w:val="4B72702B"/>
    <w:rsid w:val="4BA5A14F"/>
    <w:rsid w:val="4C16153B"/>
    <w:rsid w:val="4F192FF6"/>
    <w:rsid w:val="5155204C"/>
    <w:rsid w:val="526646F3"/>
    <w:rsid w:val="53DDC686"/>
    <w:rsid w:val="561A1329"/>
    <w:rsid w:val="57EFC76B"/>
    <w:rsid w:val="58842427"/>
    <w:rsid w:val="5B5F48CD"/>
    <w:rsid w:val="5DDF818D"/>
    <w:rsid w:val="5EBFF1AA"/>
    <w:rsid w:val="5EFA17CB"/>
    <w:rsid w:val="5F1E6DD1"/>
    <w:rsid w:val="5FDF0C88"/>
    <w:rsid w:val="5FDF9EA8"/>
    <w:rsid w:val="5FFE360A"/>
    <w:rsid w:val="613F70C9"/>
    <w:rsid w:val="63BEDDDC"/>
    <w:rsid w:val="63CF4844"/>
    <w:rsid w:val="63FF2586"/>
    <w:rsid w:val="659D0F7A"/>
    <w:rsid w:val="679B17DC"/>
    <w:rsid w:val="68285A93"/>
    <w:rsid w:val="6B5CBF69"/>
    <w:rsid w:val="6BBF168B"/>
    <w:rsid w:val="6D3E2F3F"/>
    <w:rsid w:val="6E136D46"/>
    <w:rsid w:val="6E5373FE"/>
    <w:rsid w:val="72E53F2D"/>
    <w:rsid w:val="73167E98"/>
    <w:rsid w:val="759B26F9"/>
    <w:rsid w:val="765D556D"/>
    <w:rsid w:val="766719F1"/>
    <w:rsid w:val="76B24787"/>
    <w:rsid w:val="76DB84D4"/>
    <w:rsid w:val="779E1C33"/>
    <w:rsid w:val="77B2D0D7"/>
    <w:rsid w:val="785E4096"/>
    <w:rsid w:val="79790688"/>
    <w:rsid w:val="7A0837FC"/>
    <w:rsid w:val="7AF5D0A5"/>
    <w:rsid w:val="7B9F153C"/>
    <w:rsid w:val="7BDEABA2"/>
    <w:rsid w:val="7CDEA365"/>
    <w:rsid w:val="7DDFE7AC"/>
    <w:rsid w:val="7E7E57A7"/>
    <w:rsid w:val="7E7F3B47"/>
    <w:rsid w:val="7EB4D164"/>
    <w:rsid w:val="7F3E121A"/>
    <w:rsid w:val="7F7F487F"/>
    <w:rsid w:val="7F7FA018"/>
    <w:rsid w:val="7FB51CD0"/>
    <w:rsid w:val="7FB68203"/>
    <w:rsid w:val="7FBAD0D0"/>
    <w:rsid w:val="7FFF3FB0"/>
    <w:rsid w:val="7FFF7E69"/>
    <w:rsid w:val="7FFFFCEC"/>
    <w:rsid w:val="9DFBBF00"/>
    <w:rsid w:val="AA8D75CA"/>
    <w:rsid w:val="ACFF98D3"/>
    <w:rsid w:val="B71B5388"/>
    <w:rsid w:val="B7FB9A19"/>
    <w:rsid w:val="BB4F3FF5"/>
    <w:rsid w:val="BEFBCB0A"/>
    <w:rsid w:val="BFB64004"/>
    <w:rsid w:val="BFFB8169"/>
    <w:rsid w:val="BFFF5172"/>
    <w:rsid w:val="CC777D46"/>
    <w:rsid w:val="CFEC62A2"/>
    <w:rsid w:val="D6FDA92F"/>
    <w:rsid w:val="D7FCC049"/>
    <w:rsid w:val="DE7DB2EB"/>
    <w:rsid w:val="DF775F5D"/>
    <w:rsid w:val="E3A14038"/>
    <w:rsid w:val="E7BFF3AD"/>
    <w:rsid w:val="EAEA981E"/>
    <w:rsid w:val="EF6C5D8E"/>
    <w:rsid w:val="EF859FFD"/>
    <w:rsid w:val="EFAF584B"/>
    <w:rsid w:val="EFBFB430"/>
    <w:rsid w:val="EFCF3254"/>
    <w:rsid w:val="F2EE2739"/>
    <w:rsid w:val="F5DE0EE3"/>
    <w:rsid w:val="F5F4FE55"/>
    <w:rsid w:val="F7EB19ED"/>
    <w:rsid w:val="F7F5165E"/>
    <w:rsid w:val="F99E7186"/>
    <w:rsid w:val="F9FA6BA5"/>
    <w:rsid w:val="FBBF0070"/>
    <w:rsid w:val="FD57B218"/>
    <w:rsid w:val="FDBABF8D"/>
    <w:rsid w:val="FDBBC8C3"/>
    <w:rsid w:val="FDEFD43B"/>
    <w:rsid w:val="FE7D1FC5"/>
    <w:rsid w:val="FF3ED05C"/>
    <w:rsid w:val="FF7F47A8"/>
    <w:rsid w:val="FF9582C3"/>
    <w:rsid w:val="FFAD67B8"/>
    <w:rsid w:val="FFEE896F"/>
    <w:rsid w:val="FFEF210F"/>
    <w:rsid w:val="FFFDB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560" w:lineRule="exact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ind w:firstLine="640" w:firstLineChars="200"/>
      <w:outlineLvl w:val="0"/>
    </w:pPr>
    <w:rPr>
      <w:rFonts w:ascii="黑体" w:hAnsi="黑体" w:eastAsia="黑体" w:cs="黑体"/>
    </w:rPr>
  </w:style>
  <w:style w:type="paragraph" w:styleId="3">
    <w:name w:val="heading 2"/>
    <w:basedOn w:val="1"/>
    <w:next w:val="1"/>
    <w:unhideWhenUsed/>
    <w:qFormat/>
    <w:uiPriority w:val="0"/>
    <w:pPr>
      <w:ind w:firstLine="640" w:firstLineChars="200"/>
      <w:outlineLvl w:val="1"/>
    </w:pPr>
    <w:rPr>
      <w:rFonts w:ascii="楷体_GB2312" w:hAnsi="楷体_GB2312" w:eastAsia="楷体_GB2312" w:cs="楷体_GB2312"/>
    </w:rPr>
  </w:style>
  <w:style w:type="paragraph" w:styleId="4">
    <w:name w:val="heading 3"/>
    <w:basedOn w:val="1"/>
    <w:next w:val="1"/>
    <w:unhideWhenUsed/>
    <w:qFormat/>
    <w:uiPriority w:val="0"/>
    <w:pPr>
      <w:ind w:firstLine="643" w:firstLineChars="200"/>
      <w:outlineLvl w:val="2"/>
    </w:pPr>
    <w:rPr>
      <w:rFonts w:ascii="仿宋_GB2312" w:hAnsi="仿宋_GB2312" w:cs="仿宋_GB2312"/>
      <w:b/>
      <w:szCs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unhideWhenUsed/>
    <w:qFormat/>
    <w:uiPriority w:val="99"/>
    <w:pPr>
      <w:widowControl/>
      <w:spacing w:line="351" w:lineRule="atLeast"/>
      <w:ind w:firstLine="420" w:firstLineChars="200"/>
      <w:textAlignment w:val="baseline"/>
    </w:pPr>
    <w:rPr>
      <w:color w:val="000000"/>
      <w:kern w:val="0"/>
      <w:szCs w:val="20"/>
      <w:u w:color="000000"/>
    </w:rPr>
  </w:style>
  <w:style w:type="paragraph" w:styleId="6">
    <w:name w:val="Document Map"/>
    <w:basedOn w:val="1"/>
    <w:unhideWhenUsed/>
    <w:qFormat/>
    <w:uiPriority w:val="99"/>
    <w:rPr>
      <w:rFonts w:ascii="宋体"/>
      <w:sz w:val="18"/>
      <w:szCs w:val="18"/>
    </w:rPr>
  </w:style>
  <w:style w:type="paragraph" w:styleId="7">
    <w:name w:val="Body Text"/>
    <w:basedOn w:val="1"/>
    <w:next w:val="1"/>
    <w:link w:val="22"/>
    <w:qFormat/>
    <w:uiPriority w:val="99"/>
    <w:pPr>
      <w:ind w:firstLine="723" w:firstLineChars="200"/>
    </w:pPr>
    <w:rPr>
      <w:bCs/>
      <w:color w:val="000000" w:themeColor="text1"/>
      <w14:textFill>
        <w14:solidFill>
          <w14:schemeClr w14:val="tx1"/>
        </w14:solidFill>
      </w14:textFill>
    </w:rPr>
  </w:style>
  <w:style w:type="paragraph" w:styleId="8">
    <w:name w:val="Body Text Indent"/>
    <w:basedOn w:val="1"/>
    <w:qFormat/>
    <w:uiPriority w:val="0"/>
    <w:pPr>
      <w:spacing w:after="120" w:afterAutospacing="0"/>
      <w:ind w:left="0" w:leftChars="0"/>
    </w:pPr>
  </w:style>
  <w:style w:type="paragraph" w:styleId="9">
    <w:name w:val="footer"/>
    <w:basedOn w:val="1"/>
    <w:link w:val="19"/>
    <w:qFormat/>
    <w:uiPriority w:val="99"/>
    <w:pPr>
      <w:tabs>
        <w:tab w:val="center" w:pos="4153"/>
        <w:tab w:val="right" w:pos="8306"/>
      </w:tabs>
      <w:spacing w:line="240" w:lineRule="atLeast"/>
      <w:jc w:val="left"/>
    </w:pPr>
    <w:rPr>
      <w:sz w:val="18"/>
      <w:szCs w:val="18"/>
    </w:rPr>
  </w:style>
  <w:style w:type="paragraph" w:styleId="10">
    <w:name w:val="header"/>
    <w:basedOn w:val="1"/>
    <w:link w:val="18"/>
    <w:qFormat/>
    <w:uiPriority w:val="0"/>
    <w:pP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paragraph" w:styleId="11">
    <w:name w:val="index 9"/>
    <w:basedOn w:val="1"/>
    <w:next w:val="1"/>
    <w:unhideWhenUsed/>
    <w:qFormat/>
    <w:uiPriority w:val="0"/>
    <w:pPr>
      <w:adjustRightInd/>
      <w:snapToGrid/>
      <w:spacing w:line="240" w:lineRule="auto"/>
      <w:ind w:left="1600" w:leftChars="1600"/>
    </w:pPr>
    <w:rPr>
      <w:rFonts w:ascii="Times New Roman" w:hAnsi="Times New Roman"/>
      <w:szCs w:val="20"/>
    </w:rPr>
  </w:style>
  <w:style w:type="paragraph" w:styleId="1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Cs w:val="32"/>
    </w:rPr>
  </w:style>
  <w:style w:type="paragraph" w:styleId="13">
    <w:name w:val="Body Text First Indent 2"/>
    <w:basedOn w:val="8"/>
    <w:qFormat/>
    <w:uiPriority w:val="0"/>
    <w:pPr>
      <w:ind w:firstLine="420" w:firstLineChars="200"/>
    </w:p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character" w:customStyle="1" w:styleId="18">
    <w:name w:val="页眉 字符"/>
    <w:basedOn w:val="16"/>
    <w:link w:val="10"/>
    <w:qFormat/>
    <w:uiPriority w:val="0"/>
    <w:rPr>
      <w:rFonts w:ascii="Calibri" w:hAnsi="Calibri" w:eastAsia="仿宋_GB2312" w:cs="Times New Roman"/>
      <w:kern w:val="2"/>
      <w:sz w:val="18"/>
      <w:szCs w:val="18"/>
    </w:rPr>
  </w:style>
  <w:style w:type="character" w:customStyle="1" w:styleId="19">
    <w:name w:val="页脚 字符"/>
    <w:basedOn w:val="16"/>
    <w:link w:val="9"/>
    <w:qFormat/>
    <w:uiPriority w:val="99"/>
    <w:rPr>
      <w:rFonts w:ascii="Calibri" w:hAnsi="Calibri" w:eastAsia="仿宋_GB2312" w:cs="Times New Roman"/>
      <w:kern w:val="2"/>
      <w:sz w:val="18"/>
      <w:szCs w:val="18"/>
    </w:rPr>
  </w:style>
  <w:style w:type="character" w:customStyle="1" w:styleId="20">
    <w:name w:val="标题 1 字符"/>
    <w:link w:val="2"/>
    <w:qFormat/>
    <w:uiPriority w:val="9"/>
    <w:rPr>
      <w:rFonts w:ascii="黑体" w:hAnsi="黑体" w:eastAsia="黑体" w:cs="黑体"/>
      <w:kern w:val="2"/>
      <w:sz w:val="32"/>
      <w:szCs w:val="24"/>
      <w:lang w:val="en-US" w:eastAsia="zh-CN" w:bidi="ar-SA"/>
    </w:rPr>
  </w:style>
  <w:style w:type="paragraph" w:styleId="21">
    <w:name w:val="List Paragraph"/>
    <w:basedOn w:val="1"/>
    <w:unhideWhenUsed/>
    <w:qFormat/>
    <w:uiPriority w:val="99"/>
    <w:pPr>
      <w:adjustRightInd/>
      <w:snapToGrid/>
      <w:spacing w:line="240" w:lineRule="auto"/>
      <w:ind w:firstLine="420" w:firstLineChars="200"/>
    </w:pPr>
    <w:rPr>
      <w:rFonts w:ascii="Times New Roman" w:hAnsi="Times New Roman"/>
      <w:szCs w:val="20"/>
    </w:rPr>
  </w:style>
  <w:style w:type="character" w:customStyle="1" w:styleId="22">
    <w:name w:val="正文文本 字符"/>
    <w:basedOn w:val="16"/>
    <w:link w:val="7"/>
    <w:qFormat/>
    <w:uiPriority w:val="99"/>
    <w:rPr>
      <w:rFonts w:ascii="Calibri" w:hAnsi="Calibri" w:eastAsia="仿宋_GB2312" w:cs="Times New Roman"/>
      <w:bCs/>
      <w:color w:val="000000" w:themeColor="text1"/>
      <w:kern w:val="2"/>
      <w:sz w:val="32"/>
      <w:szCs w:val="24"/>
      <w14:textFill>
        <w14:solidFill>
          <w14:schemeClr w14:val="tx1"/>
        </w14:solidFill>
      </w14:textFill>
    </w:rPr>
  </w:style>
  <w:style w:type="table" w:customStyle="1" w:styleId="23">
    <w:name w:val="网格型1"/>
    <w:basedOn w:val="1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2903</Words>
  <Characters>3036</Characters>
  <Lines>28</Lines>
  <Paragraphs>7</Paragraphs>
  <TotalTime>31</TotalTime>
  <ScaleCrop>false</ScaleCrop>
  <LinksUpToDate>false</LinksUpToDate>
  <CharactersWithSpaces>3059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2026-07-02T17:13:00Z</dcterms:created>
  <dc:creator>admin</dc:creator>
  <cp:lastModifiedBy>杨天跃(2022212376)</cp:lastModifiedBy>
  <cp:lastPrinted>2026-08-31T01:37:00Z</cp:lastPrinted>
  <dcterms:modified xsi:type="dcterms:W3CDTF">2026-09-17T08:30:40Z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86448F8E7D494AD6B0AFD2BBB8CB2B5C_13</vt:lpwstr>
  </property>
  <property fmtid="{D5CDD505-2E9C-101B-9397-08002B2CF9AE}" pid="4" name="KSOTemplateDocerSaveRecord">
    <vt:lpwstr>eyJoZGlkIjoiYjkyZmNhZmMwYTRkMzdjNDc0ZDBiODA4ZTNmNjg2YzYiLCJ1c2VySWQiOiIxNTI0NDcwOTM5In0=</vt:lpwstr>
  </property>
</Properties>
</file>