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EEB1FC">
      <w:pPr>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北京市通州区园林绿化局</w:t>
      </w:r>
    </w:p>
    <w:p w14:paraId="6DB82EB2">
      <w:pPr>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行政处罚结果公示</w:t>
      </w:r>
    </w:p>
    <w:p w14:paraId="612AB6AC">
      <w:pPr>
        <w:jc w:val="center"/>
        <w:rPr>
          <w:rFonts w:hint="eastAsia" w:asciiTheme="majorEastAsia" w:hAnsiTheme="majorEastAsia" w:eastAsiaTheme="majorEastAsia" w:cstheme="majorEastAsia"/>
          <w:sz w:val="44"/>
          <w:szCs w:val="44"/>
        </w:rPr>
      </w:pP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6854"/>
      </w:tblGrid>
      <w:tr w14:paraId="35CB1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575310FA">
            <w:pPr>
              <w:jc w:val="cente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行政处罚决定书文号</w:t>
            </w:r>
          </w:p>
        </w:tc>
        <w:tc>
          <w:tcPr>
            <w:tcW w:w="6854" w:type="dxa"/>
            <w:vAlign w:val="center"/>
          </w:tcPr>
          <w:p w14:paraId="73FA42CE">
            <w:pPr>
              <w:jc w:val="center"/>
              <w:rPr>
                <w:rFonts w:hint="eastAsia" w:asciiTheme="majorEastAsia" w:hAnsiTheme="majorEastAsia" w:eastAsiaTheme="majorEastAsia" w:cstheme="majorEastAsia"/>
                <w:sz w:val="24"/>
                <w:szCs w:val="24"/>
                <w:highlight w:val="none"/>
              </w:rPr>
            </w:pPr>
          </w:p>
          <w:p w14:paraId="4AEAA3F1">
            <w:pPr>
              <w:jc w:val="cente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京通绿罚决字[202</w:t>
            </w:r>
            <w:r>
              <w:rPr>
                <w:rFonts w:hint="eastAsia" w:asciiTheme="majorEastAsia" w:hAnsiTheme="majorEastAsia" w:eastAsiaTheme="majorEastAsia" w:cstheme="majorEastAsia"/>
                <w:sz w:val="24"/>
                <w:szCs w:val="24"/>
                <w:highlight w:val="none"/>
                <w:lang w:val="en-US" w:eastAsia="zh-CN"/>
              </w:rPr>
              <w:t>5</w:t>
            </w:r>
            <w:r>
              <w:rPr>
                <w:rFonts w:hint="eastAsia" w:asciiTheme="majorEastAsia" w:hAnsiTheme="majorEastAsia" w:eastAsiaTheme="majorEastAsia" w:cstheme="majorEastAsia"/>
                <w:sz w:val="24"/>
                <w:szCs w:val="24"/>
                <w:highlight w:val="none"/>
              </w:rPr>
              <w:t>]第0</w:t>
            </w:r>
            <w:r>
              <w:rPr>
                <w:rFonts w:hint="eastAsia" w:asciiTheme="majorEastAsia" w:hAnsiTheme="majorEastAsia" w:eastAsiaTheme="majorEastAsia" w:cstheme="majorEastAsia"/>
                <w:sz w:val="24"/>
                <w:szCs w:val="24"/>
                <w:highlight w:val="none"/>
                <w:lang w:val="en-US" w:eastAsia="zh-CN"/>
              </w:rPr>
              <w:t>18</w:t>
            </w:r>
            <w:r>
              <w:rPr>
                <w:rFonts w:hint="eastAsia" w:asciiTheme="majorEastAsia" w:hAnsiTheme="majorEastAsia" w:eastAsiaTheme="majorEastAsia" w:cstheme="majorEastAsia"/>
                <w:sz w:val="24"/>
                <w:szCs w:val="24"/>
                <w:highlight w:val="none"/>
              </w:rPr>
              <w:t>号</w:t>
            </w:r>
            <w:r>
              <w:rPr>
                <w:rFonts w:hint="eastAsia" w:asciiTheme="majorEastAsia" w:hAnsiTheme="majorEastAsia" w:eastAsiaTheme="majorEastAsia" w:cstheme="majorEastAsia"/>
                <w:sz w:val="24"/>
                <w:szCs w:val="24"/>
                <w:highlight w:val="none"/>
              </w:rPr>
              <w:br w:type="textWrapping"/>
            </w:r>
          </w:p>
        </w:tc>
      </w:tr>
      <w:tr w14:paraId="1AFF2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763581D3">
            <w:pPr>
              <w:jc w:val="cente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违法行为类型</w:t>
            </w:r>
          </w:p>
        </w:tc>
        <w:tc>
          <w:tcPr>
            <w:tcW w:w="6854" w:type="dxa"/>
            <w:vAlign w:val="center"/>
          </w:tcPr>
          <w:p w14:paraId="5F1F3C18">
            <w:pPr>
              <w:jc w:val="center"/>
              <w:rPr>
                <w:rFonts w:hint="eastAsia" w:asciiTheme="majorEastAsia" w:hAnsiTheme="majorEastAsia" w:eastAsiaTheme="majorEastAsia" w:cstheme="majorEastAsia"/>
                <w:sz w:val="24"/>
                <w:szCs w:val="24"/>
                <w:highlight w:val="none"/>
                <w:lang w:eastAsia="zh-CN"/>
              </w:rPr>
            </w:pPr>
            <w:r>
              <w:rPr>
                <w:rFonts w:hint="eastAsia" w:asciiTheme="majorEastAsia" w:hAnsiTheme="majorEastAsia" w:eastAsiaTheme="majorEastAsia" w:cstheme="majorEastAsia"/>
                <w:sz w:val="24"/>
                <w:szCs w:val="24"/>
                <w:highlight w:val="none"/>
                <w:lang w:eastAsia="zh-CN"/>
              </w:rPr>
              <w:t>滥伐林木</w:t>
            </w:r>
          </w:p>
        </w:tc>
      </w:tr>
      <w:tr w14:paraId="131A9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5D348FA4">
            <w:pPr>
              <w:jc w:val="cente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处罚类别</w:t>
            </w:r>
          </w:p>
        </w:tc>
        <w:tc>
          <w:tcPr>
            <w:tcW w:w="6854" w:type="dxa"/>
            <w:vAlign w:val="center"/>
          </w:tcPr>
          <w:p w14:paraId="4A315E3B">
            <w:pPr>
              <w:jc w:val="center"/>
              <w:rPr>
                <w:rFonts w:hint="eastAsia" w:asciiTheme="majorEastAsia" w:hAnsiTheme="majorEastAsia" w:eastAsiaTheme="majorEastAsia" w:cstheme="majorEastAsia"/>
                <w:sz w:val="24"/>
                <w:szCs w:val="24"/>
                <w:highlight w:val="none"/>
                <w:lang w:eastAsia="zh-CN"/>
              </w:rPr>
            </w:pPr>
            <w:r>
              <w:rPr>
                <w:rFonts w:hint="eastAsia" w:asciiTheme="majorEastAsia" w:hAnsiTheme="majorEastAsia" w:eastAsiaTheme="majorEastAsia" w:cstheme="majorEastAsia"/>
                <w:sz w:val="24"/>
                <w:szCs w:val="24"/>
                <w:highlight w:val="none"/>
                <w:lang w:eastAsia="zh-CN"/>
              </w:rPr>
              <w:t>罚款</w:t>
            </w:r>
          </w:p>
        </w:tc>
      </w:tr>
      <w:tr w14:paraId="631D2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00989810">
            <w:pPr>
              <w:jc w:val="cente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处罚类别2</w:t>
            </w:r>
          </w:p>
        </w:tc>
        <w:tc>
          <w:tcPr>
            <w:tcW w:w="6854" w:type="dxa"/>
            <w:vAlign w:val="center"/>
          </w:tcPr>
          <w:p w14:paraId="4AE89964">
            <w:pPr>
              <w:jc w:val="center"/>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lang w:val="en-US" w:eastAsia="zh-CN"/>
              </w:rPr>
              <w:t>责令补种树木</w:t>
            </w:r>
          </w:p>
        </w:tc>
      </w:tr>
      <w:tr w14:paraId="542A8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1B8095FC">
            <w:pPr>
              <w:jc w:val="cente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违法事实</w:t>
            </w:r>
          </w:p>
        </w:tc>
        <w:tc>
          <w:tcPr>
            <w:tcW w:w="6854" w:type="dxa"/>
            <w:vAlign w:val="center"/>
          </w:tcPr>
          <w:p w14:paraId="413F8DAF">
            <w:pPr>
              <w:jc w:val="left"/>
              <w:rPr>
                <w:rFonts w:hint="eastAsia" w:asciiTheme="majorEastAsia" w:hAnsiTheme="majorEastAsia" w:eastAsiaTheme="majorEastAsia" w:cstheme="majorEastAsia"/>
                <w:sz w:val="24"/>
                <w:szCs w:val="24"/>
                <w:highlight w:val="none"/>
                <w:lang w:eastAsia="zh-CN"/>
              </w:rPr>
            </w:pPr>
            <w:r>
              <w:rPr>
                <w:rFonts w:hint="eastAsia" w:asciiTheme="majorEastAsia" w:hAnsiTheme="majorEastAsia" w:eastAsiaTheme="majorEastAsia" w:cstheme="majorEastAsia"/>
                <w:sz w:val="24"/>
                <w:szCs w:val="24"/>
                <w:highlight w:val="none"/>
              </w:rPr>
              <w:t>当事法人在2024年至2025年期间，在未办理砍伐手续的情况下，擅自砍伐由其管理和养护的通州区西集镇马捌家运河仙草乐园内的树木294株，</w:t>
            </w:r>
            <w:r>
              <w:rPr>
                <w:rFonts w:hint="eastAsia" w:asciiTheme="majorEastAsia" w:hAnsiTheme="majorEastAsia" w:eastAsiaTheme="majorEastAsia" w:cstheme="majorEastAsia"/>
                <w:sz w:val="24"/>
                <w:szCs w:val="24"/>
                <w:highlight w:val="none"/>
                <w:lang w:eastAsia="zh-CN"/>
              </w:rPr>
              <w:t>违反了《中华人民共和国森林法》第五十六条第一款的规定</w:t>
            </w:r>
            <w:r>
              <w:rPr>
                <w:rFonts w:hint="eastAsia" w:asciiTheme="majorEastAsia" w:hAnsiTheme="majorEastAsia" w:eastAsiaTheme="majorEastAsia" w:cstheme="majorEastAsia"/>
                <w:sz w:val="24"/>
                <w:szCs w:val="24"/>
                <w:highlight w:val="none"/>
              </w:rPr>
              <w:t>。</w:t>
            </w:r>
          </w:p>
        </w:tc>
      </w:tr>
      <w:tr w14:paraId="4E123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539250D9">
            <w:pPr>
              <w:jc w:val="cente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处罚依据</w:t>
            </w:r>
          </w:p>
        </w:tc>
        <w:tc>
          <w:tcPr>
            <w:tcW w:w="6854" w:type="dxa"/>
            <w:vAlign w:val="center"/>
          </w:tcPr>
          <w:p w14:paraId="5F3C6C1B">
            <w:pPr>
              <w:jc w:val="left"/>
              <w:rPr>
                <w:rFonts w:hint="eastAsia" w:asciiTheme="majorEastAsia" w:hAnsiTheme="majorEastAsia" w:eastAsiaTheme="majorEastAsia" w:cstheme="majorEastAsia"/>
                <w:sz w:val="24"/>
                <w:szCs w:val="24"/>
                <w:highlight w:val="none"/>
                <w:lang w:eastAsia="zh-CN"/>
              </w:rPr>
            </w:pPr>
            <w:r>
              <w:rPr>
                <w:rFonts w:hint="eastAsia" w:asciiTheme="majorEastAsia" w:hAnsiTheme="majorEastAsia" w:eastAsiaTheme="majorEastAsia" w:cstheme="majorEastAsia"/>
                <w:sz w:val="24"/>
                <w:szCs w:val="24"/>
                <w:highlight w:val="none"/>
              </w:rPr>
              <w:t>《中华人民共和国森林法》第七十六条第二款</w:t>
            </w:r>
            <w:r>
              <w:rPr>
                <w:rFonts w:hint="eastAsia" w:asciiTheme="majorEastAsia" w:hAnsiTheme="majorEastAsia" w:eastAsiaTheme="majorEastAsia" w:cstheme="majorEastAsia"/>
                <w:sz w:val="24"/>
                <w:szCs w:val="24"/>
                <w:highlight w:val="none"/>
                <w:lang w:eastAsia="zh-CN"/>
              </w:rPr>
              <w:t>，</w:t>
            </w:r>
            <w:r>
              <w:rPr>
                <w:rFonts w:hint="eastAsia" w:asciiTheme="majorEastAsia" w:hAnsiTheme="majorEastAsia" w:eastAsiaTheme="majorEastAsia" w:cstheme="majorEastAsia"/>
                <w:sz w:val="24"/>
                <w:szCs w:val="24"/>
                <w:highlight w:val="none"/>
              </w:rPr>
              <w:t>《北京市园林绿化行业违法行为处罚裁量基准表》C43061A030</w:t>
            </w:r>
            <w:r>
              <w:rPr>
                <w:rFonts w:hint="eastAsia" w:asciiTheme="majorEastAsia" w:hAnsiTheme="majorEastAsia" w:eastAsiaTheme="majorEastAsia" w:cstheme="majorEastAsia"/>
                <w:sz w:val="24"/>
                <w:szCs w:val="24"/>
                <w:highlight w:val="none"/>
                <w:lang w:eastAsia="zh-CN"/>
              </w:rPr>
              <w:t>项。</w:t>
            </w:r>
          </w:p>
        </w:tc>
      </w:tr>
      <w:tr w14:paraId="74825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13F19C98">
            <w:pPr>
              <w:jc w:val="cente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行政相对人名称</w:t>
            </w:r>
          </w:p>
        </w:tc>
        <w:tc>
          <w:tcPr>
            <w:tcW w:w="6854" w:type="dxa"/>
            <w:vAlign w:val="center"/>
          </w:tcPr>
          <w:p w14:paraId="6D1B6B00">
            <w:pPr>
              <w:jc w:val="center"/>
              <w:rPr>
                <w:rFonts w:hint="default" w:asciiTheme="majorEastAsia" w:hAnsiTheme="majorEastAsia" w:eastAsiaTheme="majorEastAsia" w:cstheme="majorEastAsia"/>
                <w:sz w:val="24"/>
                <w:szCs w:val="24"/>
                <w:highlight w:val="none"/>
                <w:lang w:val="en-US" w:eastAsia="zh-CN"/>
              </w:rPr>
            </w:pPr>
            <w:r>
              <w:rPr>
                <w:rFonts w:hint="eastAsia" w:ascii="宋体" w:hAnsi="宋体" w:eastAsia="宋体" w:cs="宋体"/>
                <w:kern w:val="0"/>
                <w:sz w:val="28"/>
                <w:szCs w:val="28"/>
                <w:highlight w:val="none"/>
                <w:u w:val="none"/>
                <w:lang w:val="en-US" w:eastAsia="zh-CN"/>
              </w:rPr>
              <w:t>北京通州西集集体林场</w:t>
            </w:r>
          </w:p>
        </w:tc>
      </w:tr>
      <w:tr w14:paraId="4B5E2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76709CDD">
            <w:pPr>
              <w:jc w:val="center"/>
              <w:rPr>
                <w:rFonts w:hint="eastAsia" w:asciiTheme="majorEastAsia" w:hAnsiTheme="majorEastAsia" w:eastAsiaTheme="majorEastAsia" w:cstheme="majorEastAsia"/>
                <w:sz w:val="24"/>
                <w:szCs w:val="24"/>
                <w:highlight w:val="none"/>
                <w:lang w:eastAsia="zh-CN"/>
              </w:rPr>
            </w:pPr>
            <w:r>
              <w:rPr>
                <w:rFonts w:hint="eastAsia" w:asciiTheme="majorEastAsia" w:hAnsiTheme="majorEastAsia" w:eastAsiaTheme="majorEastAsia" w:cstheme="majorEastAsia"/>
                <w:sz w:val="24"/>
                <w:szCs w:val="24"/>
                <w:highlight w:val="none"/>
                <w:lang w:eastAsia="zh-CN"/>
              </w:rPr>
              <w:t>统一社会信用代码</w:t>
            </w:r>
          </w:p>
        </w:tc>
        <w:tc>
          <w:tcPr>
            <w:tcW w:w="6854" w:type="dxa"/>
            <w:vAlign w:val="center"/>
          </w:tcPr>
          <w:p w14:paraId="02FEF019">
            <w:pPr>
              <w:jc w:val="center"/>
              <w:rPr>
                <w:rFonts w:hint="default" w:asciiTheme="majorEastAsia" w:hAnsiTheme="majorEastAsia" w:eastAsiaTheme="majorEastAsia" w:cstheme="majorEastAsia"/>
                <w:sz w:val="24"/>
                <w:szCs w:val="24"/>
                <w:highlight w:val="none"/>
                <w:lang w:val="en-US"/>
              </w:rPr>
            </w:pPr>
            <w:r>
              <w:rPr>
                <w:rFonts w:hint="eastAsia" w:ascii="宋体" w:hAnsi="宋体" w:eastAsia="宋体" w:cs="宋体"/>
                <w:sz w:val="24"/>
                <w:szCs w:val="24"/>
                <w:lang w:val="en-US" w:eastAsia="zh-CN"/>
              </w:rPr>
              <w:t>91**************70</w:t>
            </w:r>
          </w:p>
        </w:tc>
      </w:tr>
      <w:tr w14:paraId="03FB7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24564587">
            <w:pPr>
              <w:jc w:val="center"/>
              <w:rPr>
                <w:rFonts w:hint="eastAsia" w:asciiTheme="majorEastAsia" w:hAnsiTheme="majorEastAsia" w:eastAsiaTheme="majorEastAsia" w:cstheme="majorEastAsia"/>
                <w:sz w:val="24"/>
                <w:szCs w:val="24"/>
                <w:highlight w:val="none"/>
                <w:lang w:eastAsia="zh-CN"/>
              </w:rPr>
            </w:pPr>
            <w:r>
              <w:rPr>
                <w:rFonts w:hint="eastAsia" w:asciiTheme="majorEastAsia" w:hAnsiTheme="majorEastAsia" w:eastAsiaTheme="majorEastAsia" w:cstheme="majorEastAsia"/>
                <w:sz w:val="24"/>
                <w:szCs w:val="24"/>
                <w:highlight w:val="none"/>
                <w:lang w:eastAsia="zh-CN"/>
              </w:rPr>
              <w:t>法定代表人姓名</w:t>
            </w:r>
          </w:p>
        </w:tc>
        <w:tc>
          <w:tcPr>
            <w:tcW w:w="6854" w:type="dxa"/>
            <w:vAlign w:val="center"/>
          </w:tcPr>
          <w:p w14:paraId="54EC87A1">
            <w:pPr>
              <w:jc w:val="center"/>
              <w:rPr>
                <w:rFonts w:hint="eastAsia" w:asciiTheme="majorEastAsia" w:hAnsiTheme="majorEastAsia" w:eastAsiaTheme="majorEastAsia" w:cstheme="majorEastAsia"/>
                <w:sz w:val="24"/>
                <w:szCs w:val="24"/>
                <w:highlight w:val="none"/>
                <w:lang w:eastAsia="zh-CN"/>
              </w:rPr>
            </w:pPr>
            <w:r>
              <w:rPr>
                <w:rFonts w:hint="eastAsia" w:ascii="宋体" w:hAnsi="宋体" w:eastAsia="宋体" w:cs="宋体"/>
                <w:sz w:val="24"/>
                <w:szCs w:val="24"/>
                <w:lang w:val="en-US" w:eastAsia="zh-CN"/>
              </w:rPr>
              <w:t>胡**</w:t>
            </w:r>
          </w:p>
        </w:tc>
      </w:tr>
      <w:tr w14:paraId="10A51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111DDD7C">
            <w:pPr>
              <w:jc w:val="cente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处罚内容</w:t>
            </w:r>
          </w:p>
        </w:tc>
        <w:tc>
          <w:tcPr>
            <w:tcW w:w="6854" w:type="dxa"/>
            <w:vAlign w:val="center"/>
          </w:tcPr>
          <w:p w14:paraId="73EDA9B2">
            <w:pPr>
              <w:jc w:val="both"/>
              <w:rPr>
                <w:rFonts w:hint="eastAsia"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lang w:eastAsia="zh-CN"/>
              </w:rPr>
              <w:t>处以</w:t>
            </w:r>
            <w:r>
              <w:rPr>
                <w:rFonts w:hint="eastAsia" w:asciiTheme="majorEastAsia" w:hAnsiTheme="majorEastAsia" w:eastAsiaTheme="majorEastAsia" w:cstheme="majorEastAsia"/>
                <w:sz w:val="24"/>
                <w:szCs w:val="24"/>
                <w:highlight w:val="none"/>
              </w:rPr>
              <w:t>滥伐林木价值5倍的罚款，计83814.25元</w:t>
            </w:r>
            <w:r>
              <w:rPr>
                <w:rFonts w:hint="eastAsia" w:asciiTheme="majorEastAsia" w:hAnsiTheme="majorEastAsia" w:eastAsiaTheme="majorEastAsia" w:cstheme="majorEastAsia"/>
                <w:sz w:val="24"/>
                <w:szCs w:val="24"/>
                <w:highlight w:val="none"/>
                <w:lang w:eastAsia="zh-CN"/>
              </w:rPr>
              <w:t>，并</w:t>
            </w:r>
            <w:r>
              <w:rPr>
                <w:rFonts w:hint="eastAsia" w:asciiTheme="majorEastAsia" w:hAnsiTheme="majorEastAsia" w:eastAsiaTheme="majorEastAsia" w:cstheme="majorEastAsia"/>
                <w:sz w:val="24"/>
                <w:szCs w:val="24"/>
                <w:highlight w:val="none"/>
              </w:rPr>
              <w:t>责令补种</w:t>
            </w:r>
            <w:r>
              <w:rPr>
                <w:rFonts w:hint="eastAsia" w:asciiTheme="majorEastAsia" w:hAnsiTheme="majorEastAsia" w:eastAsiaTheme="majorEastAsia" w:cstheme="majorEastAsia"/>
                <w:sz w:val="24"/>
                <w:szCs w:val="24"/>
                <w:highlight w:val="none"/>
                <w:lang w:eastAsia="zh-CN"/>
              </w:rPr>
              <w:t>树木</w:t>
            </w:r>
            <w:r>
              <w:rPr>
                <w:rFonts w:hint="eastAsia" w:asciiTheme="majorEastAsia" w:hAnsiTheme="majorEastAsia" w:eastAsiaTheme="majorEastAsia" w:cstheme="majorEastAsia"/>
                <w:sz w:val="24"/>
                <w:szCs w:val="24"/>
                <w:highlight w:val="none"/>
              </w:rPr>
              <w:t>882株。</w:t>
            </w:r>
          </w:p>
        </w:tc>
      </w:tr>
      <w:tr w14:paraId="546AA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1D966752">
            <w:pPr>
              <w:jc w:val="cente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处罚金额</w:t>
            </w:r>
          </w:p>
        </w:tc>
        <w:tc>
          <w:tcPr>
            <w:tcW w:w="6854" w:type="dxa"/>
            <w:vAlign w:val="center"/>
          </w:tcPr>
          <w:p w14:paraId="3487FA84">
            <w:pPr>
              <w:jc w:val="cente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83814.25元</w:t>
            </w:r>
          </w:p>
        </w:tc>
      </w:tr>
      <w:tr w14:paraId="738D3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42333B5A">
            <w:pPr>
              <w:jc w:val="cente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没收金额</w:t>
            </w:r>
          </w:p>
        </w:tc>
        <w:tc>
          <w:tcPr>
            <w:tcW w:w="6854" w:type="dxa"/>
            <w:vAlign w:val="center"/>
          </w:tcPr>
          <w:p w14:paraId="4D1C3DB8">
            <w:pPr>
              <w:jc w:val="cente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0元</w:t>
            </w:r>
          </w:p>
        </w:tc>
      </w:tr>
      <w:tr w14:paraId="7CD34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352BBA27">
            <w:pPr>
              <w:jc w:val="cente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处罚决定日期</w:t>
            </w:r>
          </w:p>
        </w:tc>
        <w:tc>
          <w:tcPr>
            <w:tcW w:w="6854" w:type="dxa"/>
            <w:vAlign w:val="center"/>
          </w:tcPr>
          <w:p w14:paraId="4F38DBB8">
            <w:pPr>
              <w:jc w:val="cente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202</w:t>
            </w:r>
            <w:r>
              <w:rPr>
                <w:rFonts w:hint="eastAsia" w:asciiTheme="majorEastAsia" w:hAnsiTheme="majorEastAsia" w:eastAsiaTheme="majorEastAsia" w:cstheme="majorEastAsia"/>
                <w:sz w:val="24"/>
                <w:szCs w:val="24"/>
                <w:highlight w:val="none"/>
                <w:lang w:val="en-US" w:eastAsia="zh-CN"/>
              </w:rPr>
              <w:t>5</w:t>
            </w:r>
            <w:r>
              <w:rPr>
                <w:rFonts w:hint="eastAsia" w:asciiTheme="majorEastAsia" w:hAnsiTheme="majorEastAsia" w:eastAsiaTheme="majorEastAsia" w:cstheme="majorEastAsia"/>
                <w:sz w:val="24"/>
                <w:szCs w:val="24"/>
                <w:highlight w:val="none"/>
              </w:rPr>
              <w:t>年</w:t>
            </w:r>
            <w:r>
              <w:rPr>
                <w:rFonts w:hint="eastAsia" w:asciiTheme="majorEastAsia" w:hAnsiTheme="majorEastAsia" w:eastAsiaTheme="majorEastAsia" w:cstheme="majorEastAsia"/>
                <w:sz w:val="24"/>
                <w:szCs w:val="24"/>
                <w:highlight w:val="none"/>
                <w:lang w:val="en-US" w:eastAsia="zh-CN"/>
              </w:rPr>
              <w:t>12</w:t>
            </w:r>
            <w:r>
              <w:rPr>
                <w:rFonts w:hint="eastAsia" w:asciiTheme="majorEastAsia" w:hAnsiTheme="majorEastAsia" w:eastAsiaTheme="majorEastAsia" w:cstheme="majorEastAsia"/>
                <w:sz w:val="24"/>
                <w:szCs w:val="24"/>
                <w:highlight w:val="none"/>
              </w:rPr>
              <w:t>月</w:t>
            </w:r>
            <w:r>
              <w:rPr>
                <w:rFonts w:hint="eastAsia" w:asciiTheme="majorEastAsia" w:hAnsiTheme="majorEastAsia" w:eastAsiaTheme="majorEastAsia" w:cstheme="majorEastAsia"/>
                <w:sz w:val="24"/>
                <w:szCs w:val="24"/>
                <w:highlight w:val="none"/>
                <w:lang w:val="en-US" w:eastAsia="zh-CN"/>
              </w:rPr>
              <w:t>15</w:t>
            </w:r>
            <w:r>
              <w:rPr>
                <w:rFonts w:hint="eastAsia" w:asciiTheme="majorEastAsia" w:hAnsiTheme="majorEastAsia" w:eastAsiaTheme="majorEastAsia" w:cstheme="majorEastAsia"/>
                <w:sz w:val="24"/>
                <w:szCs w:val="24"/>
                <w:highlight w:val="none"/>
              </w:rPr>
              <w:t>日</w:t>
            </w:r>
          </w:p>
        </w:tc>
      </w:tr>
      <w:tr w14:paraId="1C80F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370963E1">
            <w:pPr>
              <w:jc w:val="cente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处罚有效期</w:t>
            </w:r>
          </w:p>
        </w:tc>
        <w:tc>
          <w:tcPr>
            <w:tcW w:w="6854" w:type="dxa"/>
            <w:vAlign w:val="center"/>
          </w:tcPr>
          <w:p w14:paraId="43A10BE0">
            <w:pPr>
              <w:jc w:val="cente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长期</w:t>
            </w:r>
          </w:p>
        </w:tc>
      </w:tr>
      <w:tr w14:paraId="5D3E8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21595911">
            <w:pPr>
              <w:jc w:val="cente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公示截止日期</w:t>
            </w:r>
          </w:p>
        </w:tc>
        <w:tc>
          <w:tcPr>
            <w:tcW w:w="6854" w:type="dxa"/>
            <w:vAlign w:val="center"/>
          </w:tcPr>
          <w:p w14:paraId="41C7552D">
            <w:pPr>
              <w:jc w:val="cente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202</w:t>
            </w:r>
            <w:r>
              <w:rPr>
                <w:rFonts w:hint="eastAsia" w:asciiTheme="majorEastAsia" w:hAnsiTheme="majorEastAsia" w:eastAsiaTheme="majorEastAsia" w:cstheme="majorEastAsia"/>
                <w:sz w:val="24"/>
                <w:szCs w:val="24"/>
                <w:highlight w:val="none"/>
                <w:lang w:val="en-US" w:eastAsia="zh-CN"/>
              </w:rPr>
              <w:t>6</w:t>
            </w:r>
            <w:r>
              <w:rPr>
                <w:rFonts w:hint="eastAsia" w:asciiTheme="majorEastAsia" w:hAnsiTheme="majorEastAsia" w:eastAsiaTheme="majorEastAsia" w:cstheme="majorEastAsia"/>
                <w:sz w:val="24"/>
                <w:szCs w:val="24"/>
                <w:highlight w:val="none"/>
              </w:rPr>
              <w:t>年</w:t>
            </w:r>
            <w:r>
              <w:rPr>
                <w:rFonts w:hint="eastAsia" w:asciiTheme="majorEastAsia" w:hAnsiTheme="majorEastAsia" w:eastAsiaTheme="majorEastAsia" w:cstheme="majorEastAsia"/>
                <w:sz w:val="24"/>
                <w:szCs w:val="24"/>
                <w:highlight w:val="none"/>
                <w:lang w:val="en-US" w:eastAsia="zh-CN"/>
              </w:rPr>
              <w:t>12</w:t>
            </w:r>
            <w:r>
              <w:rPr>
                <w:rFonts w:hint="eastAsia" w:asciiTheme="majorEastAsia" w:hAnsiTheme="majorEastAsia" w:eastAsiaTheme="majorEastAsia" w:cstheme="majorEastAsia"/>
                <w:sz w:val="24"/>
                <w:szCs w:val="24"/>
                <w:highlight w:val="none"/>
              </w:rPr>
              <w:t>月</w:t>
            </w:r>
            <w:r>
              <w:rPr>
                <w:rFonts w:hint="eastAsia" w:asciiTheme="majorEastAsia" w:hAnsiTheme="majorEastAsia" w:eastAsiaTheme="majorEastAsia" w:cstheme="majorEastAsia"/>
                <w:sz w:val="24"/>
                <w:szCs w:val="24"/>
                <w:highlight w:val="none"/>
                <w:lang w:val="en-US" w:eastAsia="zh-CN"/>
              </w:rPr>
              <w:t>14</w:t>
            </w:r>
            <w:bookmarkStart w:id="0" w:name="_GoBack"/>
            <w:bookmarkEnd w:id="0"/>
            <w:r>
              <w:rPr>
                <w:rFonts w:hint="eastAsia" w:asciiTheme="majorEastAsia" w:hAnsiTheme="majorEastAsia" w:eastAsiaTheme="majorEastAsia" w:cstheme="majorEastAsia"/>
                <w:sz w:val="24"/>
                <w:szCs w:val="24"/>
                <w:highlight w:val="none"/>
              </w:rPr>
              <w:t>日</w:t>
            </w:r>
          </w:p>
        </w:tc>
      </w:tr>
      <w:tr w14:paraId="2789F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20818507">
            <w:pPr>
              <w:jc w:val="cente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处罚机构</w:t>
            </w:r>
          </w:p>
        </w:tc>
        <w:tc>
          <w:tcPr>
            <w:tcW w:w="6854" w:type="dxa"/>
            <w:vAlign w:val="center"/>
          </w:tcPr>
          <w:p w14:paraId="6A1AF8CB">
            <w:pPr>
              <w:jc w:val="cente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北京市通州区园林绿化局</w:t>
            </w:r>
          </w:p>
        </w:tc>
      </w:tr>
      <w:tr w14:paraId="4CB60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7E78BA58">
            <w:pPr>
              <w:jc w:val="cente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处罚机关统一社会信用代码</w:t>
            </w:r>
          </w:p>
        </w:tc>
        <w:tc>
          <w:tcPr>
            <w:tcW w:w="6854" w:type="dxa"/>
            <w:vAlign w:val="center"/>
          </w:tcPr>
          <w:p w14:paraId="493F7A33">
            <w:pPr>
              <w:jc w:val="cente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11110112000083037L</w:t>
            </w:r>
          </w:p>
        </w:tc>
      </w:tr>
      <w:tr w14:paraId="05559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668" w:type="dxa"/>
            <w:vAlign w:val="center"/>
          </w:tcPr>
          <w:p w14:paraId="44A835CD">
            <w:pPr>
              <w:jc w:val="cente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数据来源单位</w:t>
            </w:r>
          </w:p>
        </w:tc>
        <w:tc>
          <w:tcPr>
            <w:tcW w:w="6854" w:type="dxa"/>
            <w:vAlign w:val="center"/>
          </w:tcPr>
          <w:p w14:paraId="42C266BD">
            <w:pPr>
              <w:jc w:val="cente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北京市通州区园林绿化局</w:t>
            </w:r>
          </w:p>
        </w:tc>
      </w:tr>
      <w:tr w14:paraId="36624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3FC0629B">
            <w:pPr>
              <w:jc w:val="cente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数据来源单位统一社会信用代码</w:t>
            </w:r>
          </w:p>
        </w:tc>
        <w:tc>
          <w:tcPr>
            <w:tcW w:w="6854" w:type="dxa"/>
            <w:vAlign w:val="center"/>
          </w:tcPr>
          <w:p w14:paraId="56716473">
            <w:pPr>
              <w:jc w:val="cente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11110112000083037L</w:t>
            </w:r>
          </w:p>
        </w:tc>
      </w:tr>
    </w:tbl>
    <w:p w14:paraId="693A97D4">
      <w:pPr>
        <w:jc w:val="righ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highlight w:val="none"/>
        </w:rPr>
        <w:t>备注：行政相对人为</w:t>
      </w:r>
      <w:r>
        <w:rPr>
          <w:rFonts w:hint="eastAsia" w:asciiTheme="majorEastAsia" w:hAnsiTheme="majorEastAsia" w:eastAsiaTheme="majorEastAsia" w:cstheme="majorEastAsia"/>
          <w:sz w:val="24"/>
          <w:szCs w:val="24"/>
          <w:highlight w:val="none"/>
          <w:lang w:eastAsia="zh-CN"/>
        </w:rPr>
        <w:t>法人或其他组织</w:t>
      </w:r>
      <w:r>
        <w:rPr>
          <w:rFonts w:hint="eastAsia" w:asciiTheme="majorEastAsia" w:hAnsiTheme="majorEastAsia" w:eastAsiaTheme="majorEastAsia" w:cstheme="majorEastAsia"/>
          <w:sz w:val="24"/>
          <w:szCs w:val="24"/>
          <w:highlight w:val="none"/>
        </w:rPr>
        <w:t>适用本表</w:t>
      </w:r>
    </w:p>
    <w:p w14:paraId="72E8CEA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NhZmUxN2NmYWE2ZTE1OTcyYzIwMzA1NDVmNWI0MzQifQ=="/>
    <w:docVar w:name="KSO_WPS_MARK_KEY" w:val="02aded8f-d7a1-4062-8464-66e5c27943d3"/>
  </w:docVars>
  <w:rsids>
    <w:rsidRoot w:val="00000000"/>
    <w:rsid w:val="03E80097"/>
    <w:rsid w:val="0F034FFA"/>
    <w:rsid w:val="15011746"/>
    <w:rsid w:val="17743F61"/>
    <w:rsid w:val="1C7220CA"/>
    <w:rsid w:val="1D3C45B0"/>
    <w:rsid w:val="21840EA4"/>
    <w:rsid w:val="34056568"/>
    <w:rsid w:val="3A5A29FE"/>
    <w:rsid w:val="5BE7216C"/>
    <w:rsid w:val="655978BD"/>
    <w:rsid w:val="6EDC0175"/>
    <w:rsid w:val="7EA949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396</Words>
  <Characters>498</Characters>
  <Lines>0</Lines>
  <Paragraphs>0</Paragraphs>
  <TotalTime>46</TotalTime>
  <ScaleCrop>false</ScaleCrop>
  <LinksUpToDate>false</LinksUpToDate>
  <CharactersWithSpaces>498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Office</dc:creator>
  <cp:lastModifiedBy>guo_guoguo</cp:lastModifiedBy>
  <dcterms:modified xsi:type="dcterms:W3CDTF">2026-07-03T02:18:57Z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E7CE6D034332423481783FB15B9E6F74_13</vt:lpwstr>
  </property>
  <property fmtid="{D5CDD505-2E9C-101B-9397-08002B2CF9AE}" pid="4" name="KSOTemplateDocerSaveRecord">
    <vt:lpwstr>eyJoZGlkIjoiOGM0M2VhNTA5MTJlZmIwMTg3N2ZmMWQ2ODU0OTUzYTgiLCJ1c2VySWQiOiIyMjcwNTY5NTYifQ==</vt:lpwstr>
  </property>
</Properties>
</file>