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黑体"/>
          <w:color w:val="000000"/>
          <w:sz w:val="32"/>
          <w:szCs w:val="32"/>
        </w:rPr>
      </w:pPr>
      <w:bookmarkStart w:id="1" w:name="_GoBack"/>
      <w:bookmarkEnd w:id="1"/>
      <w:r>
        <w:rPr>
          <w:rFonts w:hint="eastAsia" w:ascii="黑体" w:hAnsi="黑体" w:eastAsia="黑体" w:cs="黑体"/>
          <w:color w:val="000000"/>
          <w:sz w:val="32"/>
          <w:szCs w:val="32"/>
        </w:rPr>
        <w:t>附件1</w:t>
      </w:r>
    </w:p>
    <w:p>
      <w:pPr>
        <w:jc w:val="center"/>
        <w:rPr>
          <w:rFonts w:ascii="仿宋_GB2312" w:eastAsia="方正小标宋_GBK"/>
          <w:bCs/>
          <w:color w:val="000000"/>
          <w:sz w:val="44"/>
          <w:szCs w:val="44"/>
        </w:rPr>
      </w:pPr>
      <w:r>
        <w:rPr>
          <w:rFonts w:hint="eastAsia" w:ascii="方正小标宋_GBK" w:eastAsia="方正小标宋_GBK"/>
          <w:bCs/>
          <w:color w:val="000000"/>
          <w:sz w:val="44"/>
          <w:szCs w:val="44"/>
        </w:rPr>
        <w:t>北京市科技行政处罚裁量基准表</w:t>
      </w:r>
    </w:p>
    <w:p>
      <w:pPr>
        <w:rPr>
          <w:rFonts w:hint="eastAsia" w:ascii="黑体" w:hAnsi="黑体" w:eastAsia="黑体" w:cs="黑体"/>
          <w:bCs/>
          <w:color w:val="000000"/>
          <w:sz w:val="32"/>
          <w:szCs w:val="32"/>
        </w:rPr>
      </w:pPr>
      <w:r>
        <w:rPr>
          <w:rFonts w:hint="eastAsia" w:ascii="黑体" w:hAnsi="黑体" w:eastAsia="黑体" w:cs="黑体"/>
          <w:bCs/>
          <w:color w:val="000000"/>
          <w:sz w:val="32"/>
          <w:szCs w:val="32"/>
        </w:rPr>
        <w:t>一、实验动物领域</w:t>
      </w:r>
    </w:p>
    <w:tbl>
      <w:tblPr>
        <w:tblStyle w:val="4"/>
        <w:tblW w:w="145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50"/>
        <w:gridCol w:w="1583"/>
        <w:gridCol w:w="1267"/>
        <w:gridCol w:w="3060"/>
        <w:gridCol w:w="3623"/>
        <w:gridCol w:w="2529"/>
        <w:gridCol w:w="1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1" w:hRule="atLeast"/>
          <w:tblHeader/>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黑体" w:hAnsi="黑体" w:eastAsia="黑体" w:cs="黑体"/>
                <w:b w:val="0"/>
                <w:bCs w:val="0"/>
                <w:color w:val="000000"/>
                <w:sz w:val="24"/>
                <w:szCs w:val="32"/>
              </w:rPr>
            </w:pPr>
            <w:r>
              <w:rPr>
                <w:rFonts w:hint="eastAsia" w:ascii="黑体" w:hAnsi="黑体" w:eastAsia="黑体" w:cs="黑体"/>
                <w:b w:val="0"/>
                <w:bCs w:val="0"/>
                <w:color w:val="000000"/>
                <w:sz w:val="24"/>
                <w:szCs w:val="32"/>
              </w:rPr>
              <w:t>裁量基准编码</w:t>
            </w:r>
          </w:p>
        </w:tc>
        <w:tc>
          <w:tcPr>
            <w:tcW w:w="1583"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黑体" w:hAnsi="黑体" w:eastAsia="黑体" w:cs="黑体"/>
                <w:b w:val="0"/>
                <w:bCs w:val="0"/>
                <w:color w:val="000000"/>
                <w:sz w:val="24"/>
                <w:szCs w:val="32"/>
              </w:rPr>
            </w:pPr>
            <w:r>
              <w:rPr>
                <w:rFonts w:hint="eastAsia" w:ascii="黑体" w:hAnsi="黑体" w:eastAsia="黑体" w:cs="黑体"/>
                <w:b w:val="0"/>
                <w:bCs w:val="0"/>
                <w:color w:val="000000"/>
                <w:sz w:val="24"/>
                <w:szCs w:val="32"/>
              </w:rPr>
              <w:t>裁量档（违法行为性质）</w:t>
            </w: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黑体" w:hAnsi="黑体" w:eastAsia="黑体" w:cs="黑体"/>
                <w:b w:val="0"/>
                <w:bCs w:val="0"/>
                <w:color w:val="000000"/>
                <w:sz w:val="24"/>
                <w:szCs w:val="32"/>
              </w:rPr>
            </w:pPr>
            <w:r>
              <w:rPr>
                <w:rFonts w:hint="eastAsia" w:ascii="黑体" w:hAnsi="黑体" w:eastAsia="黑体" w:cs="黑体"/>
                <w:b w:val="0"/>
                <w:bCs w:val="0"/>
                <w:color w:val="000000"/>
                <w:sz w:val="24"/>
                <w:szCs w:val="32"/>
              </w:rPr>
              <w:t>违法行为</w:t>
            </w:r>
          </w:p>
        </w:tc>
        <w:tc>
          <w:tcPr>
            <w:tcW w:w="306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黑体" w:hAnsi="黑体" w:eastAsia="黑体" w:cs="黑体"/>
                <w:b w:val="0"/>
                <w:bCs w:val="0"/>
                <w:color w:val="000000"/>
                <w:sz w:val="24"/>
                <w:szCs w:val="32"/>
              </w:rPr>
            </w:pPr>
            <w:r>
              <w:rPr>
                <w:rFonts w:hint="eastAsia" w:ascii="黑体" w:hAnsi="黑体" w:eastAsia="黑体" w:cs="黑体"/>
                <w:b w:val="0"/>
                <w:bCs w:val="0"/>
                <w:color w:val="000000"/>
                <w:sz w:val="24"/>
                <w:szCs w:val="32"/>
              </w:rPr>
              <w:t>违法行为依据</w:t>
            </w:r>
          </w:p>
        </w:tc>
        <w:tc>
          <w:tcPr>
            <w:tcW w:w="3623"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黑体" w:hAnsi="黑体" w:eastAsia="黑体" w:cs="黑体"/>
                <w:b w:val="0"/>
                <w:bCs w:val="0"/>
                <w:color w:val="000000"/>
                <w:sz w:val="24"/>
                <w:szCs w:val="32"/>
              </w:rPr>
            </w:pPr>
            <w:r>
              <w:rPr>
                <w:rFonts w:hint="eastAsia" w:ascii="黑体" w:hAnsi="黑体" w:eastAsia="黑体" w:cs="黑体"/>
                <w:b w:val="0"/>
                <w:bCs w:val="0"/>
                <w:color w:val="000000"/>
                <w:sz w:val="24"/>
                <w:szCs w:val="32"/>
              </w:rPr>
              <w:t>处罚依据</w:t>
            </w: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黑体" w:hAnsi="黑体" w:eastAsia="黑体" w:cs="黑体"/>
                <w:b w:val="0"/>
                <w:bCs w:val="0"/>
                <w:color w:val="000000"/>
                <w:sz w:val="24"/>
                <w:szCs w:val="32"/>
              </w:rPr>
            </w:pPr>
            <w:r>
              <w:rPr>
                <w:rFonts w:hint="eastAsia" w:ascii="黑体" w:hAnsi="黑体" w:eastAsia="黑体" w:cs="黑体"/>
                <w:b w:val="0"/>
                <w:bCs w:val="0"/>
                <w:color w:val="000000"/>
                <w:sz w:val="24"/>
                <w:szCs w:val="32"/>
              </w:rPr>
              <w:t>违法情节</w:t>
            </w:r>
          </w:p>
        </w:tc>
        <w:tc>
          <w:tcPr>
            <w:tcW w:w="1394"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黑体" w:hAnsi="黑体" w:eastAsia="黑体" w:cs="黑体"/>
                <w:b w:val="0"/>
                <w:bCs w:val="0"/>
                <w:color w:val="000000"/>
                <w:sz w:val="24"/>
                <w:szCs w:val="32"/>
              </w:rPr>
            </w:pPr>
            <w:r>
              <w:rPr>
                <w:rFonts w:hint="eastAsia" w:ascii="黑体" w:hAnsi="黑体" w:eastAsia="黑体" w:cs="黑体"/>
                <w:b w:val="0"/>
                <w:bCs w:val="0"/>
                <w:color w:val="000000"/>
                <w:sz w:val="24"/>
                <w:szCs w:val="32"/>
              </w:rPr>
              <w:t>裁量阶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06"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lang w:val="en"/>
              </w:rPr>
            </w:pPr>
            <w:r>
              <w:rPr>
                <w:rFonts w:hint="eastAsia" w:ascii="仿宋_GB2312" w:hAnsi="仿宋_GB2312" w:eastAsia="仿宋_GB2312" w:cs="仿宋_GB2312"/>
                <w:sz w:val="24"/>
                <w:szCs w:val="32"/>
              </w:rPr>
              <w:t>C0202500A010</w:t>
            </w:r>
          </w:p>
        </w:tc>
        <w:tc>
          <w:tcPr>
            <w:tcW w:w="15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32"/>
              </w:rPr>
              <w:t>A（社会危害性严重）</w:t>
            </w:r>
          </w:p>
        </w:tc>
        <w:tc>
          <w:tcPr>
            <w:tcW w:w="12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未取得</w:t>
            </w:r>
            <w:r>
              <w:rPr>
                <w:rFonts w:hint="eastAsia" w:ascii="仿宋_GB2312" w:hAnsi="仿宋_GB2312" w:eastAsia="仿宋_GB2312" w:cs="仿宋_GB2312"/>
                <w:sz w:val="24"/>
                <w:szCs w:val="32"/>
              </w:rPr>
              <w:t>实验动物生产或者使用许可证</w:t>
            </w:r>
            <w:r>
              <w:rPr>
                <w:rFonts w:hint="eastAsia" w:ascii="仿宋_GB2312" w:hAnsi="仿宋_GB2312" w:eastAsia="仿宋_GB2312" w:cs="仿宋_GB2312"/>
                <w:sz w:val="24"/>
                <w:szCs w:val="24"/>
              </w:rPr>
              <w:t>从事实验动物工作</w:t>
            </w:r>
          </w:p>
        </w:tc>
        <w:tc>
          <w:tcPr>
            <w:tcW w:w="30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《北京市实验动物管理条例》第六条第三款：从事实验动物工作的单位和个人，应当取得市科学技术部门颁发的实验动物生产许可证、实验动物使用许可证。</w:t>
            </w:r>
          </w:p>
        </w:tc>
        <w:tc>
          <w:tcPr>
            <w:tcW w:w="36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五条：违反本条例第六条第三款规定，未取得实验动物生产许可证、实验动物使用许可证或者许可证已过期，从事实验动物工作的，由市科学技术部门责令停止违法行为，处五万元以上十万元以下的罚款；对责任人员由其所在单位或者上级主管部门给予处分。</w:t>
            </w:r>
          </w:p>
        </w:tc>
        <w:tc>
          <w:tcPr>
            <w:tcW w:w="2529"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32"/>
              </w:rPr>
              <w:t>实验动物生产许可证、实验动物使用许可证已过期，从事实验动物工作。</w:t>
            </w:r>
          </w:p>
        </w:tc>
        <w:tc>
          <w:tcPr>
            <w:tcW w:w="1394"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处五万元以上八万元以下罚款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72"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C0202500A020</w:t>
            </w:r>
          </w:p>
        </w:tc>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rPr>
            </w:pPr>
          </w:p>
        </w:tc>
        <w:tc>
          <w:tcPr>
            <w:tcW w:w="12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rPr>
            </w:pPr>
          </w:p>
        </w:tc>
        <w:tc>
          <w:tcPr>
            <w:tcW w:w="30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32"/>
              </w:rPr>
              <w:t>未取得实验动物生产许可证、使用许可证，从事实验动物工作。</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处八万元以上十万元以下罚款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26"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C0201200A010</w:t>
            </w:r>
          </w:p>
        </w:tc>
        <w:tc>
          <w:tcPr>
            <w:tcW w:w="1583"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A（社会危害性严重）</w:t>
            </w: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转借、转让、出租实验动物生产许可证、实验动物使用许可证</w:t>
            </w:r>
          </w:p>
        </w:tc>
        <w:tc>
          <w:tcPr>
            <w:tcW w:w="306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《北京市实验动物管理条例》第六条第四款：实验动物生产许可证、实验动物使用许可证不得转借、转让、出租。</w:t>
            </w:r>
          </w:p>
        </w:tc>
        <w:tc>
          <w:tcPr>
            <w:tcW w:w="3623"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《北京市实验动物管理条例》第三十六条：违反本条例第六条第四款、第十五条、第二十一条第一款规定的，由市科学技术部门责令停止违法行为，吊销实验动物生产许可证、实验动物使用许可证。</w:t>
            </w: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转借、转让、出租实验动物生产许可证、实验动物使用许可证。</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吊销实验动物生产许可证、实验动物使用许可证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18"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C0201300A010</w:t>
            </w:r>
          </w:p>
        </w:tc>
        <w:tc>
          <w:tcPr>
            <w:tcW w:w="1583"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A（社会危害性严重）</w:t>
            </w: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未按照实验动物生产许可证许可范围开展活动，或生产、供应不合格实验动物及相关产品</w:t>
            </w:r>
          </w:p>
        </w:tc>
        <w:tc>
          <w:tcPr>
            <w:tcW w:w="306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rPr>
            </w:pPr>
            <w:r>
              <w:rPr>
                <w:rFonts w:hint="eastAsia" w:ascii="仿宋_GB2312" w:hAnsi="仿宋_GB2312" w:eastAsia="仿宋_GB2312" w:cs="仿宋_GB2312"/>
                <w:sz w:val="24"/>
                <w:szCs w:val="32"/>
              </w:rPr>
              <w:t>《北京市实验动物管理条例》第十五条：从事实验动物保种、繁育、供应、运输、经营以及实验动物相关产品生产、供应的单位和个人，应当按照实验动物生产许可证许可范围开展活动，提供合格的实验动物及相关产品。</w:t>
            </w:r>
          </w:p>
        </w:tc>
        <w:tc>
          <w:tcPr>
            <w:tcW w:w="3623"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《北京市实验动物管理条例》第三十六条：违反本条例第六条第四款、第十五条、第二十一条第一款规定的，由市科学技术部门责令停止违法行为，吊销实验动物生产许可证、实验动物使用许可证。</w:t>
            </w: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超出许可范围生产实验动物及相关产品；生产、供应不合格实验动物及相关产品。</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吊销实验动物生产许可证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35"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C0201400A010</w:t>
            </w:r>
          </w:p>
        </w:tc>
        <w:tc>
          <w:tcPr>
            <w:tcW w:w="1583" w:type="dxa"/>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A（社会危害性严重）</w:t>
            </w:r>
          </w:p>
        </w:tc>
        <w:tc>
          <w:tcPr>
            <w:tcW w:w="1267" w:type="dxa"/>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未按照使用许可证许可范围开展活动，或使用不合格实验动物</w:t>
            </w:r>
          </w:p>
        </w:tc>
        <w:tc>
          <w:tcPr>
            <w:tcW w:w="3060" w:type="dxa"/>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rPr>
            </w:pPr>
            <w:r>
              <w:rPr>
                <w:rFonts w:hint="eastAsia" w:ascii="仿宋_GB2312" w:hAnsi="仿宋_GB2312" w:eastAsia="仿宋_GB2312" w:cs="仿宋_GB2312"/>
                <w:sz w:val="24"/>
                <w:szCs w:val="32"/>
              </w:rPr>
              <w:t>《北京市实验动物管理条例》第二十一条第一款：利用实验动物从事科研、检定、检验等活动，以及以实验动物为原料或者载体进行相关产品生产或者经营的单位和个人，应当按照实验动物使用许可证许可范围开展活动，使用合格的实验动物。</w:t>
            </w:r>
          </w:p>
        </w:tc>
        <w:tc>
          <w:tcPr>
            <w:tcW w:w="3623" w:type="dxa"/>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《北京市实验动物管理条例》第三十六条：违反本条例第六条第四款、第十五条、第二十一条第一款规定的，由市科学技术部门责令停止违法行为，吊销实验动物生产许可证、实验动物使用许可证。</w:t>
            </w:r>
          </w:p>
        </w:tc>
        <w:tc>
          <w:tcPr>
            <w:tcW w:w="2529" w:type="dxa"/>
            <w:tcBorders>
              <w:top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超出许可范围使用实验动物；使用不合格的实验动物。</w:t>
            </w:r>
          </w:p>
        </w:tc>
        <w:tc>
          <w:tcPr>
            <w:tcW w:w="1394" w:type="dxa"/>
            <w:tcBorders>
              <w:top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吊销实验动物使用许可证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39"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C0202600C010</w:t>
            </w:r>
          </w:p>
        </w:tc>
        <w:tc>
          <w:tcPr>
            <w:tcW w:w="15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32"/>
              </w:rPr>
              <w:t>C（社会危害性轻微）</w:t>
            </w:r>
          </w:p>
        </w:tc>
        <w:tc>
          <w:tcPr>
            <w:tcW w:w="12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涉及实验动物的项目未通过实验动物福利伦理委员会的审查或未接受其监督</w:t>
            </w:r>
          </w:p>
        </w:tc>
        <w:tc>
          <w:tcPr>
            <w:tcW w:w="30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《北京市实验动物管理条例》第九条第二款：涉及实验动物的项目应当通过实验动物福利伦理委员会的审查，并接受其监督。</w:t>
            </w:r>
          </w:p>
        </w:tc>
        <w:tc>
          <w:tcPr>
            <w:tcW w:w="36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北京市实验动物管理条例》第三十七条：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2529"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涉及实验动物的项目通过实验动物福利伦理委员会的审查但未接受其监督。</w:t>
            </w:r>
          </w:p>
        </w:tc>
        <w:tc>
          <w:tcPr>
            <w:tcW w:w="1394"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410"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C0202600C020</w:t>
            </w:r>
          </w:p>
        </w:tc>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rPr>
            </w:pPr>
          </w:p>
        </w:tc>
        <w:tc>
          <w:tcPr>
            <w:tcW w:w="12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rPr>
            </w:pPr>
          </w:p>
        </w:tc>
        <w:tc>
          <w:tcPr>
            <w:tcW w:w="30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p>
        </w:tc>
        <w:tc>
          <w:tcPr>
            <w:tcW w:w="252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涉及实验动物的项目未通过实验动物福利伦理委员会的审查。</w:t>
            </w:r>
          </w:p>
        </w:tc>
        <w:tc>
          <w:tcPr>
            <w:tcW w:w="1394"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暂扣实验动物生产许可证、实验动物使用许可证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37"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C0203000C010</w:t>
            </w:r>
          </w:p>
        </w:tc>
        <w:tc>
          <w:tcPr>
            <w:tcW w:w="15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32"/>
              </w:rPr>
              <w:t>C（社会危害性轻微）</w:t>
            </w:r>
          </w:p>
        </w:tc>
        <w:tc>
          <w:tcPr>
            <w:tcW w:w="12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未组织实验动物从业人员参加岗前专业培训或未组织实验动物专业技术人员参加相关继续教育</w:t>
            </w:r>
          </w:p>
        </w:tc>
        <w:tc>
          <w:tcPr>
            <w:tcW w:w="30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十条：从事实验动物工作的单位，应当组织从业人员进行专业培训。未经培训的，不得上岗。从事实验动物工作的单位，应当组织实验动物专业技术人员参加实验动物学及相关专业的继续教育。</w:t>
            </w:r>
          </w:p>
        </w:tc>
        <w:tc>
          <w:tcPr>
            <w:tcW w:w="36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七条：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rPr>
            </w:pPr>
            <w:r>
              <w:rPr>
                <w:rFonts w:hint="eastAsia" w:ascii="仿宋_GB2312" w:hAnsi="仿宋_GB2312" w:eastAsia="仿宋_GB2312" w:cs="仿宋_GB2312"/>
                <w:sz w:val="24"/>
                <w:szCs w:val="32"/>
              </w:rPr>
              <w:t>从事实验动物工作的单位中未经培训上岗的人数占从业人员总数的比例在50%（含）以下；未参加实验动物学及相关专业继续教育的人数占实验动物专业技术人员总数的比例在50%（含）以下。</w:t>
            </w:r>
          </w:p>
        </w:tc>
        <w:tc>
          <w:tcPr>
            <w:tcW w:w="1394"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874" w:hRule="atLeast"/>
          <w:jc w:val="center"/>
        </w:trPr>
        <w:tc>
          <w:tcPr>
            <w:tcW w:w="1050" w:type="dxa"/>
            <w:noWrap w:val="0"/>
            <w:vAlign w:val="center"/>
          </w:tcPr>
          <w:p>
            <w:pPr>
              <w:keepNext w:val="0"/>
              <w:keepLines w:val="0"/>
              <w:pageBreakBefore w:val="0"/>
              <w:widowControl/>
              <w:suppressAutoHyphens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C0203000C020</w:t>
            </w:r>
          </w:p>
        </w:tc>
        <w:tc>
          <w:tcPr>
            <w:tcW w:w="158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24"/>
              </w:rPr>
            </w:pPr>
          </w:p>
        </w:tc>
        <w:tc>
          <w:tcPr>
            <w:tcW w:w="1267"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24"/>
              </w:rPr>
            </w:pPr>
          </w:p>
        </w:tc>
        <w:tc>
          <w:tcPr>
            <w:tcW w:w="3060"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2529" w:type="dxa"/>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从事实验动物工作的单位中未经培训上岗的人数占从业人员总数的比例超过50%；未参加实验动物学及相关专业的继续教育的人数占实验动物专业技术人员总数的比例超过50%。</w:t>
            </w:r>
          </w:p>
        </w:tc>
        <w:tc>
          <w:tcPr>
            <w:tcW w:w="1394" w:type="dxa"/>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暂扣实验动物生产许可证、实验动物使用许可证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59"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C0200300C010</w:t>
            </w:r>
          </w:p>
        </w:tc>
        <w:tc>
          <w:tcPr>
            <w:tcW w:w="158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C（社会危害性轻微）</w:t>
            </w:r>
          </w:p>
        </w:tc>
        <w:tc>
          <w:tcPr>
            <w:tcW w:w="1267"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对实验动物从业人员防护措施不力</w:t>
            </w:r>
          </w:p>
        </w:tc>
        <w:tc>
          <w:tcPr>
            <w:tcW w:w="3060"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《北京市实验动物管理条例》第十二条：从事实验动物工作的单位，应当采取防护措施，保证从业人员的健康与安全，组织从业人员每年进行身体检查，</w:t>
            </w:r>
            <w:bookmarkStart w:id="0" w:name="OLE_LINK1"/>
            <w:r>
              <w:rPr>
                <w:rFonts w:hint="eastAsia" w:ascii="仿宋_GB2312" w:hAnsi="仿宋_GB2312" w:eastAsia="仿宋_GB2312" w:cs="仿宋_GB2312"/>
                <w:color w:val="000000"/>
                <w:sz w:val="24"/>
                <w:szCs w:val="32"/>
              </w:rPr>
              <w:t>及时调整健康状况不宜从事实验动物工作的人员</w:t>
            </w:r>
            <w:bookmarkEnd w:id="0"/>
            <w:r>
              <w:rPr>
                <w:rFonts w:hint="eastAsia" w:ascii="仿宋_GB2312" w:hAnsi="仿宋_GB2312" w:eastAsia="仿宋_GB2312" w:cs="仿宋_GB2312"/>
                <w:color w:val="000000"/>
                <w:sz w:val="24"/>
                <w:szCs w:val="32"/>
              </w:rPr>
              <w:t>。</w:t>
            </w:r>
          </w:p>
        </w:tc>
        <w:tc>
          <w:tcPr>
            <w:tcW w:w="362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七条：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2529" w:type="dxa"/>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从事实验动物工作的单位未组织从业人员每年进行身体检查。</w:t>
            </w:r>
          </w:p>
        </w:tc>
        <w:tc>
          <w:tcPr>
            <w:tcW w:w="1394"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23"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C0200300C020</w:t>
            </w:r>
          </w:p>
        </w:tc>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从事实验动物工作的单位未采取有效防护措施；未及时调整健康状况不宜从事实验动物工作的人员。</w:t>
            </w:r>
          </w:p>
        </w:tc>
        <w:tc>
          <w:tcPr>
            <w:tcW w:w="1394"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暂扣实验动物生产许可证、实验动物使用许可证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831" w:hRule="atLeast"/>
          <w:jc w:val="center"/>
        </w:trPr>
        <w:tc>
          <w:tcPr>
            <w:tcW w:w="105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C0200400C010</w:t>
            </w:r>
          </w:p>
        </w:tc>
        <w:tc>
          <w:tcPr>
            <w:tcW w:w="15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C（社会危害性轻微）</w:t>
            </w:r>
          </w:p>
        </w:tc>
        <w:tc>
          <w:tcPr>
            <w:tcW w:w="12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实验动物生产环境设施不符合相应等级实验动物标准要求</w:t>
            </w:r>
          </w:p>
        </w:tc>
        <w:tc>
          <w:tcPr>
            <w:tcW w:w="30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《北京市实验动物管理条例》第十六条第一款：实验动物生产环境设施应当符合相应等级实验动物标准要求。</w:t>
            </w:r>
          </w:p>
        </w:tc>
        <w:tc>
          <w:tcPr>
            <w:tcW w:w="36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七条：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2529"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rPr>
            </w:pPr>
            <w:r>
              <w:rPr>
                <w:rFonts w:hint="eastAsia" w:ascii="仿宋_GB2312" w:hAnsi="仿宋_GB2312" w:eastAsia="仿宋_GB2312" w:cs="仿宋_GB2312"/>
                <w:sz w:val="24"/>
                <w:szCs w:val="32"/>
              </w:rPr>
              <w:t>实验动物生产环境设施连续两周以上一个月以下环境设施检测技术指标未达到相关标准要求；无法提供温度、湿度等指标连续记录的，视为不达标。</w:t>
            </w:r>
          </w:p>
        </w:tc>
        <w:tc>
          <w:tcPr>
            <w:tcW w:w="1394"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048" w:hRule="atLeast"/>
          <w:jc w:val="center"/>
        </w:trPr>
        <w:tc>
          <w:tcPr>
            <w:tcW w:w="1050"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C0200400C020</w:t>
            </w:r>
          </w:p>
        </w:tc>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实验动物生产环境设施连续一个月以上环境设施检测技术指标未达到相关标准要求；无法提供温度、湿度等指标连续记录的，视为不达标。</w:t>
            </w:r>
          </w:p>
        </w:tc>
        <w:tc>
          <w:tcPr>
            <w:tcW w:w="1394"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暂扣实验动物生产许可证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33" w:hRule="atLeast"/>
          <w:jc w:val="center"/>
        </w:trPr>
        <w:tc>
          <w:tcPr>
            <w:tcW w:w="1050" w:type="dxa"/>
            <w:tcBorders>
              <w:top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C0202900</w:t>
            </w:r>
            <w:r>
              <w:rPr>
                <w:rFonts w:hint="eastAsia" w:ascii="仿宋_GB2312" w:hAnsi="仿宋_GB2312" w:eastAsia="仿宋_GB2312" w:cs="仿宋_GB2312"/>
                <w:sz w:val="24"/>
                <w:szCs w:val="32"/>
                <w:lang w:val="en"/>
              </w:rPr>
              <w:t>C</w:t>
            </w:r>
            <w:r>
              <w:rPr>
                <w:rFonts w:hint="eastAsia" w:ascii="仿宋_GB2312" w:hAnsi="仿宋_GB2312" w:eastAsia="仿宋_GB2312" w:cs="仿宋_GB2312"/>
                <w:sz w:val="24"/>
                <w:szCs w:val="32"/>
              </w:rPr>
              <w:t>010</w:t>
            </w:r>
          </w:p>
        </w:tc>
        <w:tc>
          <w:tcPr>
            <w:tcW w:w="158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C（社会危害性轻微）</w:t>
            </w:r>
          </w:p>
        </w:tc>
        <w:tc>
          <w:tcPr>
            <w:tcW w:w="1267"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不同等级、不同品种实验动物在同一环境中生产或使用不合格相关用品</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3060"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《北京市实验动物管理条例》第十六条第二款：不同等级、不同品种的实验动物，应当按照相应的标准，在不同的环境设施中分别管理，使用合格的饲料、笼具、垫料等用品。</w:t>
            </w:r>
          </w:p>
        </w:tc>
        <w:tc>
          <w:tcPr>
            <w:tcW w:w="362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七条：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2529"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rPr>
            </w:pPr>
            <w:r>
              <w:rPr>
                <w:rFonts w:hint="eastAsia" w:ascii="仿宋_GB2312" w:hAnsi="仿宋_GB2312" w:eastAsia="仿宋_GB2312" w:cs="仿宋_GB2312"/>
                <w:sz w:val="24"/>
                <w:szCs w:val="32"/>
              </w:rPr>
              <w:t>不同品种、相同等级的实验动物在同一生产环境设施中管理，或者使用不合格的笼具及动物福利产品。</w:t>
            </w:r>
          </w:p>
        </w:tc>
        <w:tc>
          <w:tcPr>
            <w:tcW w:w="1394"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302" w:hRule="atLeast"/>
          <w:jc w:val="center"/>
        </w:trPr>
        <w:tc>
          <w:tcPr>
            <w:tcW w:w="1050" w:type="dxa"/>
            <w:tcBorders>
              <w:top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C0202900</w:t>
            </w:r>
            <w:r>
              <w:rPr>
                <w:rFonts w:hint="eastAsia" w:ascii="仿宋_GB2312" w:hAnsi="仿宋_GB2312" w:eastAsia="仿宋_GB2312" w:cs="仿宋_GB2312"/>
                <w:sz w:val="24"/>
                <w:szCs w:val="32"/>
                <w:lang w:val="en"/>
              </w:rPr>
              <w:t>C</w:t>
            </w:r>
            <w:r>
              <w:rPr>
                <w:rFonts w:hint="eastAsia" w:ascii="仿宋_GB2312" w:hAnsi="仿宋_GB2312" w:eastAsia="仿宋_GB2312" w:cs="仿宋_GB2312"/>
                <w:sz w:val="24"/>
                <w:szCs w:val="32"/>
              </w:rPr>
              <w:t>0</w:t>
            </w:r>
            <w:r>
              <w:rPr>
                <w:rFonts w:hint="eastAsia" w:ascii="仿宋_GB2312" w:hAnsi="仿宋_GB2312" w:eastAsia="仿宋_GB2312" w:cs="仿宋_GB2312"/>
                <w:sz w:val="24"/>
                <w:szCs w:val="32"/>
                <w:lang w:val="en"/>
              </w:rPr>
              <w:t>2</w:t>
            </w:r>
            <w:r>
              <w:rPr>
                <w:rFonts w:hint="eastAsia" w:ascii="仿宋_GB2312" w:hAnsi="仿宋_GB2312" w:eastAsia="仿宋_GB2312" w:cs="仿宋_GB2312"/>
                <w:sz w:val="24"/>
                <w:szCs w:val="32"/>
              </w:rPr>
              <w:t>0</w:t>
            </w:r>
          </w:p>
        </w:tc>
        <w:tc>
          <w:tcPr>
            <w:tcW w:w="158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不同等级的实验动物在同一生产环境设施中管理，或者使用不合格饲料、垫料。</w:t>
            </w:r>
          </w:p>
        </w:tc>
        <w:tc>
          <w:tcPr>
            <w:tcW w:w="1394"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暂扣实验动物生产许可证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92" w:hRule="atLeast"/>
          <w:jc w:val="center"/>
        </w:trPr>
        <w:tc>
          <w:tcPr>
            <w:tcW w:w="1050" w:type="dxa"/>
            <w:tcBorders>
              <w:top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highlight w:val="none"/>
              </w:rPr>
            </w:pPr>
            <w:r>
              <w:rPr>
                <w:rFonts w:hint="eastAsia" w:ascii="仿宋_GB2312" w:hAnsi="仿宋_GB2312" w:eastAsia="仿宋_GB2312" w:cs="仿宋_GB2312"/>
                <w:sz w:val="24"/>
                <w:szCs w:val="32"/>
                <w:highlight w:val="none"/>
              </w:rPr>
              <w:t>C0200600C010</w:t>
            </w:r>
          </w:p>
        </w:tc>
        <w:tc>
          <w:tcPr>
            <w:tcW w:w="158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highlight w:val="none"/>
              </w:rPr>
            </w:pPr>
            <w:r>
              <w:rPr>
                <w:rFonts w:hint="eastAsia" w:ascii="仿宋_GB2312" w:hAnsi="仿宋_GB2312" w:eastAsia="仿宋_GB2312" w:cs="仿宋_GB2312"/>
                <w:sz w:val="24"/>
                <w:szCs w:val="32"/>
                <w:highlight w:val="none"/>
              </w:rPr>
              <w:t>C（社会危害性轻微）</w:t>
            </w:r>
          </w:p>
        </w:tc>
        <w:tc>
          <w:tcPr>
            <w:tcW w:w="1267"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highlight w:val="none"/>
              </w:rPr>
            </w:pPr>
            <w:r>
              <w:rPr>
                <w:rFonts w:hint="eastAsia" w:ascii="仿宋_GB2312" w:hAnsi="仿宋_GB2312" w:eastAsia="仿宋_GB2312" w:cs="仿宋_GB2312"/>
                <w:sz w:val="24"/>
                <w:szCs w:val="32"/>
                <w:highlight w:val="none"/>
              </w:rPr>
              <w:t>从事实验动物及相关产品生产的单位和个人未按规定进行质量检测或记录不全、不准</w:t>
            </w:r>
          </w:p>
        </w:tc>
        <w:tc>
          <w:tcPr>
            <w:tcW w:w="3060"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highlight w:val="none"/>
              </w:rPr>
            </w:pPr>
            <w:r>
              <w:rPr>
                <w:rFonts w:hint="eastAsia" w:ascii="仿宋_GB2312" w:hAnsi="仿宋_GB2312" w:eastAsia="仿宋_GB2312" w:cs="仿宋_GB2312"/>
                <w:color w:val="000000"/>
                <w:sz w:val="24"/>
                <w:szCs w:val="32"/>
                <w:highlight w:val="none"/>
              </w:rPr>
              <w:t>《北京市实验动物管理条例》第十八条：从事实验动物及相关产品生产的单位和个人，应当根据遗传学、寄生虫学、微生物学、营养学、病理学诊断和生产环境设施方面的标准，定期进行质量检测。各项操作过程和检测数据应当有完整、准确的记录。</w:t>
            </w:r>
          </w:p>
        </w:tc>
        <w:tc>
          <w:tcPr>
            <w:tcW w:w="362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highlight w:val="none"/>
              </w:rPr>
            </w:pPr>
            <w:r>
              <w:rPr>
                <w:rFonts w:hint="eastAsia" w:ascii="仿宋_GB2312" w:hAnsi="仿宋_GB2312" w:eastAsia="仿宋_GB2312" w:cs="仿宋_GB2312"/>
                <w:color w:val="000000"/>
                <w:sz w:val="24"/>
                <w:szCs w:val="32"/>
                <w:highlight w:val="none"/>
              </w:rPr>
              <w:t>《北京市实验动物管理条例》第三十七条：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2529"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highlight w:val="none"/>
              </w:rPr>
            </w:pPr>
            <w:r>
              <w:rPr>
                <w:rFonts w:hint="eastAsia" w:ascii="仿宋_GB2312" w:hAnsi="仿宋_GB2312" w:eastAsia="仿宋_GB2312" w:cs="仿宋_GB2312"/>
                <w:color w:val="000000"/>
                <w:sz w:val="24"/>
                <w:szCs w:val="32"/>
                <w:highlight w:val="none"/>
              </w:rPr>
              <w:t>生产的实验动物及相关产品质量检测记录不全、不准的；检测频率达不到标准规定。</w:t>
            </w:r>
          </w:p>
        </w:tc>
        <w:tc>
          <w:tcPr>
            <w:tcW w:w="1394"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4"/>
                <w:szCs w:val="32"/>
                <w:highlight w:val="none"/>
              </w:rPr>
            </w:pPr>
            <w:r>
              <w:rPr>
                <w:rFonts w:hint="eastAsia" w:ascii="仿宋_GB2312" w:hAnsi="仿宋_GB2312" w:eastAsia="仿宋_GB2312" w:cs="仿宋_GB2312"/>
                <w:color w:val="000000"/>
                <w:sz w:val="24"/>
                <w:szCs w:val="32"/>
                <w:highlight w:val="none"/>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56" w:hRule="atLeast"/>
          <w:jc w:val="center"/>
        </w:trPr>
        <w:tc>
          <w:tcPr>
            <w:tcW w:w="1050" w:type="dxa"/>
            <w:vMerge w:val="restart"/>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highlight w:val="none"/>
              </w:rPr>
            </w:pPr>
            <w:r>
              <w:rPr>
                <w:rFonts w:hint="eastAsia" w:ascii="仿宋_GB2312" w:hAnsi="仿宋_GB2312" w:eastAsia="仿宋_GB2312" w:cs="仿宋_GB2312"/>
                <w:sz w:val="24"/>
                <w:szCs w:val="32"/>
                <w:highlight w:val="none"/>
              </w:rPr>
              <w:t>C0200600C020</w:t>
            </w:r>
          </w:p>
        </w:tc>
        <w:tc>
          <w:tcPr>
            <w:tcW w:w="158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highlight w:val="none"/>
              </w:rPr>
            </w:pPr>
          </w:p>
        </w:tc>
        <w:tc>
          <w:tcPr>
            <w:tcW w:w="1267"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highlight w:val="none"/>
              </w:rPr>
            </w:pPr>
          </w:p>
        </w:tc>
        <w:tc>
          <w:tcPr>
            <w:tcW w:w="3060"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highlight w:val="none"/>
              </w:rPr>
            </w:pPr>
          </w:p>
        </w:tc>
        <w:tc>
          <w:tcPr>
            <w:tcW w:w="362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highlight w:val="none"/>
              </w:rPr>
            </w:pPr>
          </w:p>
        </w:tc>
        <w:tc>
          <w:tcPr>
            <w:tcW w:w="2529" w:type="dxa"/>
            <w:vMerge w:val="continue"/>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highlight w:val="none"/>
              </w:rPr>
            </w:pPr>
          </w:p>
        </w:tc>
        <w:tc>
          <w:tcPr>
            <w:tcW w:w="1394" w:type="dxa"/>
            <w:vMerge w:val="continue"/>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02" w:hRule="atLeast"/>
          <w:jc w:val="center"/>
        </w:trPr>
        <w:tc>
          <w:tcPr>
            <w:tcW w:w="1050"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highlight w:val="none"/>
              </w:rPr>
            </w:pPr>
          </w:p>
        </w:tc>
        <w:tc>
          <w:tcPr>
            <w:tcW w:w="158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highlight w:val="none"/>
              </w:rPr>
            </w:pPr>
          </w:p>
        </w:tc>
        <w:tc>
          <w:tcPr>
            <w:tcW w:w="1267"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highlight w:val="none"/>
              </w:rPr>
            </w:pPr>
          </w:p>
        </w:tc>
        <w:tc>
          <w:tcPr>
            <w:tcW w:w="3060"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highlight w:val="none"/>
              </w:rPr>
            </w:pPr>
          </w:p>
        </w:tc>
        <w:tc>
          <w:tcPr>
            <w:tcW w:w="362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highlight w:val="none"/>
              </w:rPr>
            </w:pPr>
          </w:p>
        </w:tc>
        <w:tc>
          <w:tcPr>
            <w:tcW w:w="2529"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highlight w:val="none"/>
              </w:rPr>
            </w:pPr>
            <w:r>
              <w:rPr>
                <w:rFonts w:hint="eastAsia" w:ascii="仿宋_GB2312" w:hAnsi="仿宋_GB2312" w:eastAsia="仿宋_GB2312" w:cs="仿宋_GB2312"/>
                <w:color w:val="000000"/>
                <w:sz w:val="24"/>
                <w:szCs w:val="32"/>
                <w:highlight w:val="none"/>
              </w:rPr>
              <w:t>生产的实验动物及相关产品未根据相关标准定期进行质量检测。</w:t>
            </w:r>
          </w:p>
        </w:tc>
        <w:tc>
          <w:tcPr>
            <w:tcW w:w="1394"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highlight w:val="none"/>
              </w:rPr>
            </w:pPr>
            <w:r>
              <w:rPr>
                <w:rFonts w:hint="eastAsia" w:ascii="仿宋_GB2312" w:hAnsi="仿宋_GB2312" w:eastAsia="仿宋_GB2312" w:cs="仿宋_GB2312"/>
                <w:color w:val="000000"/>
                <w:sz w:val="24"/>
                <w:szCs w:val="32"/>
                <w:highlight w:val="none"/>
              </w:rPr>
              <w:t>暂扣实验动物生产许可证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355" w:hRule="atLeast"/>
          <w:jc w:val="center"/>
        </w:trPr>
        <w:tc>
          <w:tcPr>
            <w:tcW w:w="1050" w:type="dxa"/>
            <w:tcBorders>
              <w:top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C0200700C010</w:t>
            </w:r>
          </w:p>
        </w:tc>
        <w:tc>
          <w:tcPr>
            <w:tcW w:w="158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C（社会危害性轻微）</w:t>
            </w:r>
          </w:p>
        </w:tc>
        <w:tc>
          <w:tcPr>
            <w:tcW w:w="1267"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从事实验动物及相关产品生产的单位和个人未按规定提供质量合格证明</w:t>
            </w:r>
          </w:p>
        </w:tc>
        <w:tc>
          <w:tcPr>
            <w:tcW w:w="3060"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十九条：从事实验动物及相关产品生产的单位和个人，供应实验动物及相关产品时，应当提供质量合格证明。合格证明应当标明实验动物或者相关产品的确切名称、等级、数量、质量检测情况、购买单位名称、使用单位名称、供应日期、许可证编号等内容，由供应单位负责人签字并加盖公章。</w:t>
            </w:r>
          </w:p>
        </w:tc>
        <w:tc>
          <w:tcPr>
            <w:tcW w:w="362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七条：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2529"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未提供或者拒绝提供实验动物及相关产品质量合格证明；代售其他单位生产的实验动物及相关产品，未提供或拒绝提供原生产单位开具的质量合格证明。</w:t>
            </w:r>
          </w:p>
        </w:tc>
        <w:tc>
          <w:tcPr>
            <w:tcW w:w="1394"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816" w:hRule="atLeast"/>
          <w:jc w:val="center"/>
        </w:trPr>
        <w:tc>
          <w:tcPr>
            <w:tcW w:w="105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C0200700C020</w:t>
            </w:r>
          </w:p>
        </w:tc>
        <w:tc>
          <w:tcPr>
            <w:tcW w:w="158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伪造、变造实验动物及相关产品质量合格证明。</w:t>
            </w:r>
          </w:p>
        </w:tc>
        <w:tc>
          <w:tcPr>
            <w:tcW w:w="1394"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暂扣实验动物生产许可证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22" w:hRule="atLeast"/>
          <w:jc w:val="center"/>
        </w:trPr>
        <w:tc>
          <w:tcPr>
            <w:tcW w:w="1050" w:type="dxa"/>
            <w:tcBorders>
              <w:top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C0200500C010</w:t>
            </w:r>
          </w:p>
        </w:tc>
        <w:tc>
          <w:tcPr>
            <w:tcW w:w="158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C（社会危害性轻微）</w:t>
            </w:r>
          </w:p>
        </w:tc>
        <w:tc>
          <w:tcPr>
            <w:tcW w:w="1267"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动物实验环境设施不符合相应等级实验动物标准要求或使用不合格相关用品</w:t>
            </w:r>
          </w:p>
        </w:tc>
        <w:tc>
          <w:tcPr>
            <w:tcW w:w="3060"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二十二条：动物实验环境设施应当符合相应等级实验动物标准要求，使用合格的饲料、笼具、垫料等用品。涉及病原微生物、放射性物质和有毒有害化学品等有特殊要求的动物实验室，除符合实验动物管理规定外，还应当符合国家关于病原微生物、放射性物质、有毒有害化学品的相关管理要求。</w:t>
            </w:r>
          </w:p>
        </w:tc>
        <w:tc>
          <w:tcPr>
            <w:tcW w:w="362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七条：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2529"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rPr>
            </w:pPr>
            <w:r>
              <w:rPr>
                <w:rFonts w:hint="eastAsia" w:ascii="仿宋_GB2312" w:hAnsi="仿宋_GB2312" w:eastAsia="仿宋_GB2312" w:cs="仿宋_GB2312"/>
                <w:sz w:val="24"/>
                <w:szCs w:val="32"/>
              </w:rPr>
              <w:t>动物实验环境设施连续两周以上一个月以下环境设施检测技术指标未达到相关标准要求，无法提供温度、湿度等指标连续记录的，视为不达标；使用不合格的笼具及动物福利产品。</w:t>
            </w:r>
          </w:p>
        </w:tc>
        <w:tc>
          <w:tcPr>
            <w:tcW w:w="1394"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475" w:hRule="atLeast"/>
          <w:jc w:val="center"/>
        </w:trPr>
        <w:tc>
          <w:tcPr>
            <w:tcW w:w="105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C0200500C020</w:t>
            </w:r>
          </w:p>
        </w:tc>
        <w:tc>
          <w:tcPr>
            <w:tcW w:w="158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动物实验环境设施连续超过一个月环境设施检测技术指标未达到相关标准要求，无法提供温度、湿度等指标连续记录的，视为不达标；使用不合格的饲料、垫料。</w:t>
            </w:r>
          </w:p>
        </w:tc>
        <w:tc>
          <w:tcPr>
            <w:tcW w:w="1394"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暂扣实验动物使用许可证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76" w:hRule="atLeast"/>
          <w:jc w:val="center"/>
        </w:trPr>
        <w:tc>
          <w:tcPr>
            <w:tcW w:w="105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C0200900C010</w:t>
            </w:r>
          </w:p>
        </w:tc>
        <w:tc>
          <w:tcPr>
            <w:tcW w:w="158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C（社会危害性轻微）</w:t>
            </w:r>
          </w:p>
        </w:tc>
        <w:tc>
          <w:tcPr>
            <w:tcW w:w="1267"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动物实验不使用相应等级标准的实验动物</w:t>
            </w:r>
          </w:p>
        </w:tc>
        <w:tc>
          <w:tcPr>
            <w:tcW w:w="3060"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《北京市实验动物管理条例》第二十三条第一款：进行动物实验应当根据实验目的，使用相应等级标准的实验动物。</w:t>
            </w:r>
          </w:p>
        </w:tc>
        <w:tc>
          <w:tcPr>
            <w:tcW w:w="36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七条：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实验使用的实验动物的等级标准与动物实验方案不符。</w:t>
            </w:r>
          </w:p>
        </w:tc>
        <w:tc>
          <w:tcPr>
            <w:tcW w:w="1394"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25"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C0200900C020</w:t>
            </w:r>
          </w:p>
        </w:tc>
        <w:tc>
          <w:tcPr>
            <w:tcW w:w="158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实验使用的实验动物未达到实验动物质量标准要求。</w:t>
            </w:r>
          </w:p>
        </w:tc>
        <w:tc>
          <w:tcPr>
            <w:tcW w:w="1394" w:type="dxa"/>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暂扣实验动物使用许可证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32"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C0201000C010</w:t>
            </w:r>
          </w:p>
        </w:tc>
        <w:tc>
          <w:tcPr>
            <w:tcW w:w="158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C（社会危害性轻微）</w:t>
            </w:r>
          </w:p>
        </w:tc>
        <w:tc>
          <w:tcPr>
            <w:tcW w:w="1267"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不同品种、不同等级和互有干扰的动物实验，在同一试验间进行</w:t>
            </w:r>
          </w:p>
        </w:tc>
        <w:tc>
          <w:tcPr>
            <w:tcW w:w="3060"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《北京市实验动物管理条例》第二十三条第二款：不同品种、不同等级和互有干扰的动物实验，不得在同一试验间进行。</w:t>
            </w:r>
          </w:p>
        </w:tc>
        <w:tc>
          <w:tcPr>
            <w:tcW w:w="36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七条：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在同一试验间内的同一实验环境，使用相同品种、相同等级的实验动物，开展互有干扰的动物实验。</w:t>
            </w:r>
          </w:p>
        </w:tc>
        <w:tc>
          <w:tcPr>
            <w:tcW w:w="1394"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98"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C0201000C020</w:t>
            </w:r>
          </w:p>
        </w:tc>
        <w:tc>
          <w:tcPr>
            <w:tcW w:w="158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trike/>
                <w:color w:val="000000"/>
                <w:sz w:val="24"/>
                <w:szCs w:val="32"/>
              </w:rPr>
            </w:pPr>
            <w:r>
              <w:rPr>
                <w:rFonts w:hint="eastAsia" w:ascii="仿宋_GB2312" w:hAnsi="仿宋_GB2312" w:eastAsia="仿宋_GB2312" w:cs="仿宋_GB2312"/>
                <w:color w:val="000000"/>
                <w:sz w:val="24"/>
                <w:szCs w:val="32"/>
              </w:rPr>
              <w:t>在同一试验间内同一实验环境下，使用不同等级的实验动物，或者使用不同品种的实验动物进行实验。</w:t>
            </w:r>
          </w:p>
        </w:tc>
        <w:tc>
          <w:tcPr>
            <w:tcW w:w="1394" w:type="dxa"/>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暂扣实验动物使用许可证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55"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C0200800C010</w:t>
            </w:r>
          </w:p>
        </w:tc>
        <w:tc>
          <w:tcPr>
            <w:tcW w:w="158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C（社会危害性轻微）</w:t>
            </w:r>
          </w:p>
        </w:tc>
        <w:tc>
          <w:tcPr>
            <w:tcW w:w="1267"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实验动物运输不符合要求</w:t>
            </w:r>
          </w:p>
        </w:tc>
        <w:tc>
          <w:tcPr>
            <w:tcW w:w="3060"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二十八条第一款、第二款：运输实验动物应当使用符合国家和本市要求的专用车辆。运输实验动物使用的笼具应当符合所运实验动物的微生物和环境质量控制标准。不同品种、品系、性别和等级的实验动物，不得在同一笼具内混合装运。</w:t>
            </w:r>
          </w:p>
        </w:tc>
        <w:tc>
          <w:tcPr>
            <w:tcW w:w="362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七条：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rPr>
            </w:pPr>
            <w:r>
              <w:rPr>
                <w:rFonts w:hint="eastAsia" w:ascii="仿宋_GB2312" w:hAnsi="仿宋_GB2312" w:eastAsia="仿宋_GB2312" w:cs="仿宋_GB2312"/>
                <w:sz w:val="24"/>
                <w:szCs w:val="32"/>
              </w:rPr>
              <w:t>运输实验动物</w:t>
            </w:r>
            <w:r>
              <w:rPr>
                <w:rFonts w:hint="eastAsia" w:ascii="仿宋_GB2312" w:hAnsi="仿宋_GB2312" w:eastAsia="仿宋_GB2312" w:cs="仿宋_GB2312"/>
                <w:sz w:val="24"/>
                <w:szCs w:val="32"/>
                <w:highlight w:val="none"/>
              </w:rPr>
              <w:t>使用</w:t>
            </w:r>
            <w:r>
              <w:rPr>
                <w:rFonts w:hint="eastAsia" w:ascii="仿宋_GB2312" w:hAnsi="仿宋_GB2312" w:eastAsia="仿宋_GB2312" w:cs="仿宋_GB2312"/>
                <w:sz w:val="24"/>
                <w:szCs w:val="32"/>
              </w:rPr>
              <w:t>符合国家和本市要求的专用车辆，但车厢温度、换气等指标未达到相关标准要求；运输实验动物使用的笼具内动物密度未达到相关标准要求；专用车辆车厢内未对实验动物笼具进行固定。</w:t>
            </w:r>
          </w:p>
        </w:tc>
        <w:tc>
          <w:tcPr>
            <w:tcW w:w="1394" w:type="dxa"/>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9"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C0200800C020</w:t>
            </w:r>
          </w:p>
        </w:tc>
        <w:tc>
          <w:tcPr>
            <w:tcW w:w="158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rPr>
            </w:pPr>
            <w:r>
              <w:rPr>
                <w:rFonts w:hint="eastAsia" w:ascii="仿宋_GB2312" w:hAnsi="仿宋_GB2312" w:eastAsia="仿宋_GB2312" w:cs="仿宋_GB2312"/>
                <w:sz w:val="24"/>
                <w:szCs w:val="32"/>
              </w:rPr>
              <w:t>运输实验动物未使用符合国家和本市要求的专用车辆；运输实验动物使用的笼具不符合所运实验动物的微生物和环境质量控制标准；不同品种、品系、性别和等级的实验动物在同一笼具内混合装运。</w:t>
            </w:r>
          </w:p>
        </w:tc>
        <w:tc>
          <w:tcPr>
            <w:tcW w:w="1394" w:type="dxa"/>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暂扣实验动物生产许可证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06"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C0202700</w:t>
            </w:r>
            <w:r>
              <w:rPr>
                <w:rFonts w:hint="eastAsia" w:ascii="仿宋_GB2312" w:hAnsi="仿宋_GB2312" w:eastAsia="仿宋_GB2312" w:cs="仿宋_GB2312"/>
                <w:sz w:val="24"/>
                <w:szCs w:val="32"/>
                <w:lang w:val="en"/>
              </w:rPr>
              <w:t>C</w:t>
            </w:r>
            <w:r>
              <w:rPr>
                <w:rFonts w:hint="eastAsia" w:ascii="仿宋_GB2312" w:hAnsi="仿宋_GB2312" w:eastAsia="仿宋_GB2312" w:cs="仿宋_GB2312"/>
                <w:sz w:val="24"/>
                <w:szCs w:val="32"/>
              </w:rPr>
              <w:t>010</w:t>
            </w:r>
          </w:p>
        </w:tc>
        <w:tc>
          <w:tcPr>
            <w:tcW w:w="15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C（社会危害性轻微）</w:t>
            </w:r>
          </w:p>
        </w:tc>
        <w:tc>
          <w:tcPr>
            <w:tcW w:w="12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实验动物进出设施安全管理不符合要求</w:t>
            </w:r>
          </w:p>
        </w:tc>
        <w:tc>
          <w:tcPr>
            <w:tcW w:w="30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二十九条第一款：从事实验动物工作的单位和个人，应当建立实验动物安全管理制度，对实验动物进出生产、实验环境设施进行登记；采取有效措施防止实验动物逃逸，防止无关动物进入生产、实验环境设施；利用信息技术等手段确保实验动物可追溯。</w:t>
            </w:r>
          </w:p>
        </w:tc>
        <w:tc>
          <w:tcPr>
            <w:tcW w:w="36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七条：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实验动物进出生产、实验环境设施未进行登记；未利用信息技术等手段进行实验动物追溯。</w:t>
            </w:r>
          </w:p>
        </w:tc>
        <w:tc>
          <w:tcPr>
            <w:tcW w:w="1394"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66"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C0202700</w:t>
            </w:r>
            <w:r>
              <w:rPr>
                <w:rFonts w:hint="eastAsia" w:ascii="仿宋_GB2312" w:hAnsi="仿宋_GB2312" w:eastAsia="仿宋_GB2312" w:cs="仿宋_GB2312"/>
                <w:sz w:val="24"/>
                <w:szCs w:val="32"/>
                <w:lang w:val="en"/>
              </w:rPr>
              <w:t>C</w:t>
            </w:r>
            <w:r>
              <w:rPr>
                <w:rFonts w:hint="eastAsia" w:ascii="仿宋_GB2312" w:hAnsi="仿宋_GB2312" w:eastAsia="仿宋_GB2312" w:cs="仿宋_GB2312"/>
                <w:sz w:val="24"/>
                <w:szCs w:val="32"/>
              </w:rPr>
              <w:t>0</w:t>
            </w:r>
            <w:r>
              <w:rPr>
                <w:rFonts w:hint="eastAsia" w:ascii="仿宋_GB2312" w:hAnsi="仿宋_GB2312" w:eastAsia="仿宋_GB2312" w:cs="仿宋_GB2312"/>
                <w:sz w:val="24"/>
                <w:szCs w:val="32"/>
                <w:lang w:val="en"/>
              </w:rPr>
              <w:t>2</w:t>
            </w:r>
            <w:r>
              <w:rPr>
                <w:rFonts w:hint="eastAsia" w:ascii="仿宋_GB2312" w:hAnsi="仿宋_GB2312" w:eastAsia="仿宋_GB2312" w:cs="仿宋_GB2312"/>
                <w:sz w:val="24"/>
                <w:szCs w:val="32"/>
              </w:rPr>
              <w:t>0</w:t>
            </w:r>
          </w:p>
        </w:tc>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未采取有效措施防止实验动物逃逸或者无关动物进入实验动物设施；未有效采取实验动物安全监控手段。</w:t>
            </w:r>
          </w:p>
        </w:tc>
        <w:tc>
          <w:tcPr>
            <w:tcW w:w="1394"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暂扣实验动物生产许可证、实验动物使用许可证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8"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C0202800</w:t>
            </w:r>
            <w:r>
              <w:rPr>
                <w:rFonts w:hint="eastAsia" w:ascii="仿宋_GB2312" w:hAnsi="仿宋_GB2312" w:eastAsia="仿宋_GB2312" w:cs="仿宋_GB2312"/>
                <w:sz w:val="24"/>
                <w:szCs w:val="32"/>
                <w:lang w:val="en"/>
              </w:rPr>
              <w:t>C</w:t>
            </w:r>
            <w:r>
              <w:rPr>
                <w:rFonts w:hint="eastAsia" w:ascii="仿宋_GB2312" w:hAnsi="仿宋_GB2312" w:eastAsia="仿宋_GB2312" w:cs="仿宋_GB2312"/>
                <w:sz w:val="24"/>
                <w:szCs w:val="32"/>
              </w:rPr>
              <w:t>010</w:t>
            </w:r>
          </w:p>
        </w:tc>
        <w:tc>
          <w:tcPr>
            <w:tcW w:w="15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C（社会危害性轻微）</w:t>
            </w:r>
          </w:p>
        </w:tc>
        <w:tc>
          <w:tcPr>
            <w:tcW w:w="12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实验动物逃逸处置不力</w:t>
            </w:r>
          </w:p>
        </w:tc>
        <w:tc>
          <w:tcPr>
            <w:tcW w:w="30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《北京市实验动物管理条例》第二十九条第二款：发现实验动物未经登记被带出生产、实验环境设施或者逃逸的，应当及时采取有效措施进行处置，并向市实验动物管理办公室报告。</w:t>
            </w:r>
          </w:p>
        </w:tc>
        <w:tc>
          <w:tcPr>
            <w:tcW w:w="36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highlight w:val="none"/>
                <w:lang w:eastAsia="zh-CN"/>
              </w:rPr>
              <w:t>《</w:t>
            </w:r>
            <w:r>
              <w:rPr>
                <w:rFonts w:hint="eastAsia" w:ascii="仿宋_GB2312" w:hAnsi="仿宋_GB2312" w:eastAsia="仿宋_GB2312" w:cs="仿宋_GB2312"/>
                <w:color w:val="000000"/>
                <w:sz w:val="24"/>
                <w:szCs w:val="32"/>
                <w:highlight w:val="none"/>
              </w:rPr>
              <w:t>北京市实验动物管理条例》</w:t>
            </w:r>
            <w:r>
              <w:rPr>
                <w:rFonts w:hint="eastAsia" w:ascii="仿宋_GB2312" w:hAnsi="仿宋_GB2312" w:eastAsia="仿宋_GB2312" w:cs="仿宋_GB2312"/>
                <w:color w:val="000000"/>
                <w:sz w:val="24"/>
                <w:szCs w:val="32"/>
              </w:rPr>
              <w:t>第三十七条：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FF0000"/>
                <w:sz w:val="24"/>
                <w:szCs w:val="32"/>
              </w:rPr>
            </w:pPr>
            <w:r>
              <w:rPr>
                <w:rFonts w:hint="eastAsia" w:ascii="仿宋_GB2312" w:hAnsi="仿宋_GB2312" w:eastAsia="仿宋_GB2312" w:cs="仿宋_GB2312"/>
                <w:color w:val="000000"/>
                <w:sz w:val="24"/>
                <w:szCs w:val="32"/>
              </w:rPr>
              <w:t>实验动物未经登记被带出生产、实验环境设施；发生动物逃逸后采取有效措施处置但未向市实验动物管理办公室报告。</w:t>
            </w:r>
          </w:p>
        </w:tc>
        <w:tc>
          <w:tcPr>
            <w:tcW w:w="1394"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62" w:hRule="atLeast"/>
          <w:jc w:val="center"/>
        </w:trPr>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C0202800</w:t>
            </w:r>
            <w:r>
              <w:rPr>
                <w:rFonts w:hint="eastAsia" w:ascii="仿宋_GB2312" w:hAnsi="仿宋_GB2312" w:eastAsia="仿宋_GB2312" w:cs="仿宋_GB2312"/>
                <w:sz w:val="24"/>
                <w:szCs w:val="32"/>
                <w:lang w:val="en"/>
              </w:rPr>
              <w:t>C</w:t>
            </w:r>
            <w:r>
              <w:rPr>
                <w:rFonts w:hint="eastAsia" w:ascii="仿宋_GB2312" w:hAnsi="仿宋_GB2312" w:eastAsia="仿宋_GB2312" w:cs="仿宋_GB2312"/>
                <w:sz w:val="24"/>
                <w:szCs w:val="32"/>
              </w:rPr>
              <w:t>0</w:t>
            </w:r>
            <w:r>
              <w:rPr>
                <w:rFonts w:hint="eastAsia" w:ascii="仿宋_GB2312" w:hAnsi="仿宋_GB2312" w:eastAsia="仿宋_GB2312" w:cs="仿宋_GB2312"/>
                <w:sz w:val="24"/>
                <w:szCs w:val="32"/>
                <w:lang w:val="en"/>
              </w:rPr>
              <w:t>2</w:t>
            </w:r>
            <w:r>
              <w:rPr>
                <w:rFonts w:hint="eastAsia" w:ascii="仿宋_GB2312" w:hAnsi="仿宋_GB2312" w:eastAsia="仿宋_GB2312" w:cs="仿宋_GB2312"/>
                <w:sz w:val="24"/>
                <w:szCs w:val="32"/>
              </w:rPr>
              <w:t>0</w:t>
            </w:r>
          </w:p>
        </w:tc>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发生动物逃逸后未采取有效措施进行处置。</w:t>
            </w:r>
          </w:p>
        </w:tc>
        <w:tc>
          <w:tcPr>
            <w:tcW w:w="1394" w:type="dxa"/>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暂扣实验动物生产许可证、实验动物使用许可证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65"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C0202400A0</w:t>
            </w:r>
            <w:r>
              <w:rPr>
                <w:rFonts w:hint="eastAsia" w:ascii="仿宋_GB2312" w:hAnsi="仿宋_GB2312" w:eastAsia="仿宋_GB2312" w:cs="仿宋_GB2312"/>
                <w:sz w:val="24"/>
                <w:szCs w:val="32"/>
                <w:lang w:val="en"/>
              </w:rPr>
              <w:t>1</w:t>
            </w:r>
            <w:r>
              <w:rPr>
                <w:rFonts w:hint="eastAsia" w:ascii="仿宋_GB2312" w:hAnsi="仿宋_GB2312" w:eastAsia="仿宋_GB2312" w:cs="仿宋_GB2312"/>
                <w:sz w:val="24"/>
                <w:szCs w:val="32"/>
              </w:rPr>
              <w:t>0</w:t>
            </w:r>
          </w:p>
        </w:tc>
        <w:tc>
          <w:tcPr>
            <w:tcW w:w="158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A（社会危害性严重）</w:t>
            </w:r>
          </w:p>
        </w:tc>
        <w:tc>
          <w:tcPr>
            <w:tcW w:w="1267"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非病原微生物实验室将使用后的实验动物流入市场</w:t>
            </w:r>
          </w:p>
        </w:tc>
        <w:tc>
          <w:tcPr>
            <w:tcW w:w="3060"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《北京市实验动物管理条例》第二十九条第三款：禁止将使用后的实验动物流入市场。</w:t>
            </w:r>
          </w:p>
        </w:tc>
        <w:tc>
          <w:tcPr>
            <w:tcW w:w="362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八条：违反本条例第二十九条第三款规定，将使用后的实验动物流入市场的，由市科学技术部门责令改正，处三万元以上五万元以下的罚款；情节严重的，吊销实验动物生产许可证、实验动物使用许可证。法律、法规另有规定的，从其规定。</w:t>
            </w:r>
          </w:p>
        </w:tc>
        <w:tc>
          <w:tcPr>
            <w:tcW w:w="2529" w:type="dxa"/>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未经过有毒有害化学品或者放射性物质实验后的实验动物流入市场。</w:t>
            </w:r>
          </w:p>
        </w:tc>
        <w:tc>
          <w:tcPr>
            <w:tcW w:w="1394" w:type="dxa"/>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处三万元以上五万元以下罚款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062"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C0202400A0</w:t>
            </w:r>
            <w:r>
              <w:rPr>
                <w:rFonts w:hint="eastAsia" w:ascii="仿宋_GB2312" w:hAnsi="仿宋_GB2312" w:eastAsia="仿宋_GB2312" w:cs="仿宋_GB2312"/>
                <w:sz w:val="24"/>
                <w:szCs w:val="32"/>
                <w:lang w:val="en"/>
              </w:rPr>
              <w:t>2</w:t>
            </w:r>
            <w:r>
              <w:rPr>
                <w:rFonts w:hint="eastAsia" w:ascii="仿宋_GB2312" w:hAnsi="仿宋_GB2312" w:eastAsia="仿宋_GB2312" w:cs="仿宋_GB2312"/>
                <w:sz w:val="24"/>
                <w:szCs w:val="32"/>
              </w:rPr>
              <w:t>0</w:t>
            </w:r>
          </w:p>
        </w:tc>
        <w:tc>
          <w:tcPr>
            <w:tcW w:w="158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经过有毒有害化学品或者放射性物质实验后的实验动物流入市场。</w:t>
            </w:r>
          </w:p>
        </w:tc>
        <w:tc>
          <w:tcPr>
            <w:tcW w:w="1394" w:type="dxa"/>
            <w:tcBorders>
              <w:top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吊销实验动物生产许可证、实验动物使用许可证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58"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trike/>
                <w:sz w:val="24"/>
                <w:szCs w:val="32"/>
              </w:rPr>
            </w:pPr>
            <w:r>
              <w:rPr>
                <w:rFonts w:hint="eastAsia" w:ascii="仿宋_GB2312" w:hAnsi="仿宋_GB2312" w:eastAsia="仿宋_GB2312" w:cs="仿宋_GB2312"/>
                <w:sz w:val="24"/>
                <w:szCs w:val="32"/>
              </w:rPr>
              <w:t>C0202300A0</w:t>
            </w:r>
            <w:r>
              <w:rPr>
                <w:rFonts w:hint="eastAsia" w:ascii="仿宋_GB2312" w:hAnsi="仿宋_GB2312" w:eastAsia="仿宋_GB2312" w:cs="仿宋_GB2312"/>
                <w:sz w:val="24"/>
                <w:szCs w:val="32"/>
                <w:lang w:val="en"/>
              </w:rPr>
              <w:t>1</w:t>
            </w:r>
            <w:r>
              <w:rPr>
                <w:rFonts w:hint="eastAsia" w:ascii="仿宋_GB2312" w:hAnsi="仿宋_GB2312" w:eastAsia="仿宋_GB2312" w:cs="仿宋_GB2312"/>
                <w:sz w:val="24"/>
                <w:szCs w:val="32"/>
              </w:rPr>
              <w:t>0</w:t>
            </w:r>
          </w:p>
        </w:tc>
        <w:tc>
          <w:tcPr>
            <w:tcW w:w="1583"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A（社会危害性严重）</w:t>
            </w:r>
          </w:p>
        </w:tc>
        <w:tc>
          <w:tcPr>
            <w:tcW w:w="1267" w:type="dxa"/>
            <w:vMerge w:val="restart"/>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病原微生物实验室将使用后的实验动物流入市场</w:t>
            </w:r>
          </w:p>
        </w:tc>
        <w:tc>
          <w:tcPr>
            <w:tcW w:w="30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中华人民共和国生物安全法》第四十七条第一款：病原微生物实验室应当采取措施，加强对实验动物的管理，防止实验动物逃逸，对使用后的实验动物按照国家规定进行无害化处理，实现实验动物可追溯。禁止将使用后的实验动物流入市场。</w:t>
            </w:r>
          </w:p>
        </w:tc>
        <w:tc>
          <w:tcPr>
            <w:tcW w:w="36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中华人民共和国生物安全法》第七十七条：违反本法规定，将使用后的实验动物流入市场的，由县级以上人民政府科学技术主管部门责令改正，没收违法所得，并处二十万元以上一百万元以下的罚款，违法所得在二十万元以上的，并处违法所得五倍以上十倍以下的罚款；情节严重的，由发证部门吊销相关许可证件。</w:t>
            </w: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trike/>
                <w:color w:val="000000"/>
                <w:sz w:val="24"/>
                <w:szCs w:val="32"/>
              </w:rPr>
            </w:pPr>
            <w:r>
              <w:rPr>
                <w:rFonts w:hint="eastAsia" w:ascii="仿宋_GB2312" w:hAnsi="仿宋_GB2312" w:eastAsia="仿宋_GB2312" w:cs="仿宋_GB2312"/>
                <w:color w:val="000000"/>
                <w:sz w:val="24"/>
                <w:szCs w:val="24"/>
              </w:rPr>
              <w:t>流入市场实验动物价值或者违法所得低于六万元。</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trike/>
                <w:color w:val="000000"/>
                <w:sz w:val="24"/>
                <w:szCs w:val="32"/>
              </w:rPr>
            </w:pPr>
            <w:r>
              <w:rPr>
                <w:rFonts w:hint="eastAsia" w:ascii="仿宋_GB2312" w:hAnsi="仿宋_GB2312" w:eastAsia="仿宋_GB2312" w:cs="仿宋_GB2312"/>
                <w:color w:val="000000"/>
                <w:sz w:val="24"/>
                <w:szCs w:val="24"/>
              </w:rPr>
              <w:t>没收违法所得，并处二十万元以上三十万元以下的罚款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2"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C0202300A0</w:t>
            </w:r>
            <w:r>
              <w:rPr>
                <w:rFonts w:hint="eastAsia" w:ascii="仿宋_GB2312" w:hAnsi="仿宋_GB2312" w:eastAsia="仿宋_GB2312" w:cs="仿宋_GB2312"/>
                <w:sz w:val="24"/>
                <w:szCs w:val="32"/>
                <w:lang w:val="en"/>
              </w:rPr>
              <w:t>2</w:t>
            </w:r>
            <w:r>
              <w:rPr>
                <w:rFonts w:hint="eastAsia" w:ascii="仿宋_GB2312" w:hAnsi="仿宋_GB2312" w:eastAsia="仿宋_GB2312" w:cs="仿宋_GB2312"/>
                <w:sz w:val="24"/>
                <w:szCs w:val="32"/>
              </w:rPr>
              <w:t>0</w:t>
            </w:r>
          </w:p>
        </w:tc>
        <w:tc>
          <w:tcPr>
            <w:tcW w:w="158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流入市场实验动物价值或者违法所得在六万元以上低于八万元。</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没收违法所得，并处三十万元以上四十元以下的罚款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33"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C0202300A030</w:t>
            </w:r>
          </w:p>
        </w:tc>
        <w:tc>
          <w:tcPr>
            <w:tcW w:w="1583"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流入市场实验动物价值或者违法所得在八万元以上低于十万元。</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没收违法所得，并处四十万元以上五十万元以下的罚款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2"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C0202300A040</w:t>
            </w:r>
          </w:p>
        </w:tc>
        <w:tc>
          <w:tcPr>
            <w:tcW w:w="1583" w:type="dxa"/>
            <w:vMerge w:val="continue"/>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1267" w:type="dxa"/>
            <w:vMerge w:val="continue"/>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32"/>
              </w:rPr>
            </w:pPr>
          </w:p>
        </w:tc>
        <w:tc>
          <w:tcPr>
            <w:tcW w:w="3060" w:type="dxa"/>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流入市场实验动物价值或者违法所得在十万元以上低于十二万元。</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没收违法所得，并处五十万元以上六十万元以下的罚款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2"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highlight w:val="none"/>
              </w:rPr>
            </w:pPr>
            <w:r>
              <w:rPr>
                <w:rFonts w:hint="eastAsia" w:ascii="仿宋_GB2312" w:hAnsi="仿宋_GB2312" w:eastAsia="仿宋_GB2312" w:cs="仿宋_GB2312"/>
                <w:sz w:val="24"/>
                <w:szCs w:val="32"/>
                <w:highlight w:val="none"/>
              </w:rPr>
              <w:t>C0202300A050</w:t>
            </w:r>
          </w:p>
        </w:tc>
        <w:tc>
          <w:tcPr>
            <w:tcW w:w="1583"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kern w:val="2"/>
                <w:sz w:val="24"/>
                <w:szCs w:val="32"/>
                <w:highlight w:val="none"/>
                <w:lang w:val="en-US" w:eastAsia="zh-CN" w:bidi="ar-SA"/>
              </w:rPr>
            </w:pPr>
            <w:r>
              <w:rPr>
                <w:rFonts w:hint="eastAsia" w:ascii="仿宋_GB2312" w:hAnsi="仿宋_GB2312" w:eastAsia="仿宋_GB2312" w:cs="仿宋_GB2312"/>
                <w:sz w:val="24"/>
                <w:szCs w:val="32"/>
                <w:highlight w:val="none"/>
              </w:rPr>
              <w:t>A（社会危害性严重）</w:t>
            </w:r>
          </w:p>
        </w:tc>
        <w:tc>
          <w:tcPr>
            <w:tcW w:w="1267"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kern w:val="2"/>
                <w:sz w:val="24"/>
                <w:szCs w:val="32"/>
                <w:highlight w:val="none"/>
                <w:lang w:val="en-US" w:eastAsia="zh-CN" w:bidi="ar-SA"/>
              </w:rPr>
            </w:pPr>
            <w:r>
              <w:rPr>
                <w:rFonts w:hint="eastAsia" w:ascii="仿宋_GB2312" w:hAnsi="仿宋_GB2312" w:eastAsia="仿宋_GB2312" w:cs="仿宋_GB2312"/>
                <w:sz w:val="24"/>
                <w:szCs w:val="32"/>
                <w:highlight w:val="none"/>
              </w:rPr>
              <w:t>病原微生物实验室将使用后的实验动物流入市场</w:t>
            </w:r>
          </w:p>
        </w:tc>
        <w:tc>
          <w:tcPr>
            <w:tcW w:w="3060"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kern w:val="2"/>
                <w:sz w:val="24"/>
                <w:szCs w:val="32"/>
                <w:highlight w:val="none"/>
                <w:lang w:val="en-US" w:eastAsia="zh-CN" w:bidi="ar-SA"/>
              </w:rPr>
            </w:pPr>
            <w:r>
              <w:rPr>
                <w:rFonts w:hint="eastAsia" w:ascii="仿宋_GB2312" w:hAnsi="仿宋_GB2312" w:eastAsia="仿宋_GB2312" w:cs="仿宋_GB2312"/>
                <w:color w:val="000000"/>
                <w:sz w:val="24"/>
                <w:szCs w:val="32"/>
                <w:highlight w:val="none"/>
              </w:rPr>
              <w:t>《中华人民共和国生物安全法》第四十七条第一款：病原微生物实验室应当采取措施，加强对实验动物的管理，防止实验动物逃逸，对使用后的实验动物按照国家规定进行无害化处理，实现实验动物可追溯。禁止将使用后的实验动物流入市场。</w:t>
            </w:r>
          </w:p>
        </w:tc>
        <w:tc>
          <w:tcPr>
            <w:tcW w:w="3623"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kern w:val="2"/>
                <w:sz w:val="24"/>
                <w:szCs w:val="32"/>
                <w:highlight w:val="none"/>
                <w:lang w:val="en-US" w:eastAsia="zh-CN" w:bidi="ar-SA"/>
              </w:rPr>
            </w:pPr>
            <w:r>
              <w:rPr>
                <w:rFonts w:hint="eastAsia" w:ascii="仿宋_GB2312" w:hAnsi="仿宋_GB2312" w:eastAsia="仿宋_GB2312" w:cs="仿宋_GB2312"/>
                <w:color w:val="000000"/>
                <w:sz w:val="24"/>
                <w:szCs w:val="32"/>
                <w:highlight w:val="none"/>
              </w:rPr>
              <w:t>《中华人民共和国生物安全法》第七十七条：违反本法规定，将使用后的实验动物流入市场的，由县级以上人民政府科学技术主管部门责令改正，没收违法所得，并处二十万元以上一百万元以下的罚款，违法所得在二十万元以上的，并处违法所得五倍以上十倍以下的罚款；情节严重的，由发证部门吊销相关许可证件。</w:t>
            </w: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流入市场实验动物价值或者违法所得在十二万元以上低于十四万元。</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highlight w:val="none"/>
              </w:rPr>
            </w:pPr>
            <w:r>
              <w:rPr>
                <w:rFonts w:hint="eastAsia" w:ascii="仿宋_GB2312" w:hAnsi="仿宋_GB2312" w:eastAsia="仿宋_GB2312" w:cs="仿宋_GB2312"/>
                <w:sz w:val="24"/>
                <w:szCs w:val="32"/>
                <w:highlight w:val="none"/>
              </w:rPr>
              <w:t>没收违法所得，并处六十万元以上七十万元以下的罚款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C0202300A060</w:t>
            </w:r>
          </w:p>
        </w:tc>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流入市场实验动物价值或者违法所得在十四万元以上低于十六万元。</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没收违法所得，并处七十万元以上八十万元以下的罚款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2"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C0202300A070</w:t>
            </w:r>
          </w:p>
        </w:tc>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流入市场实验动物价值或者违法所得在十六万元以上低于十八万元。</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没收违法所得，并处八十万元以上九十万元以下的罚款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2"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C0202300A080</w:t>
            </w:r>
          </w:p>
        </w:tc>
        <w:tc>
          <w:tcPr>
            <w:tcW w:w="1583" w:type="dxa"/>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1267" w:type="dxa"/>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3060" w:type="dxa"/>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流入市场实验动物价值违法所得在十八万元以上低于二十万元。</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rPr>
            </w:pPr>
            <w:r>
              <w:rPr>
                <w:rFonts w:hint="eastAsia" w:ascii="仿宋_GB2312" w:hAnsi="仿宋_GB2312" w:eastAsia="仿宋_GB2312" w:cs="仿宋_GB2312"/>
                <w:sz w:val="24"/>
                <w:szCs w:val="32"/>
              </w:rPr>
              <w:t>没收违法所得，并处九十</w:t>
            </w:r>
            <w:r>
              <w:rPr>
                <w:rFonts w:hint="eastAsia" w:ascii="仿宋_GB2312" w:hAnsi="仿宋_GB2312" w:eastAsia="仿宋_GB2312" w:cs="仿宋_GB2312"/>
                <w:sz w:val="24"/>
                <w:szCs w:val="32"/>
                <w:highlight w:val="none"/>
              </w:rPr>
              <w:t>万元以上一百万</w:t>
            </w:r>
            <w:r>
              <w:rPr>
                <w:rFonts w:hint="eastAsia" w:ascii="仿宋_GB2312" w:hAnsi="仿宋_GB2312" w:eastAsia="仿宋_GB2312" w:cs="仿宋_GB2312"/>
                <w:sz w:val="24"/>
                <w:szCs w:val="32"/>
                <w:highlight w:val="none"/>
                <w:lang w:eastAsia="zh-CN"/>
              </w:rPr>
              <w:t>元</w:t>
            </w:r>
            <w:r>
              <w:rPr>
                <w:rFonts w:hint="eastAsia" w:ascii="仿宋_GB2312" w:hAnsi="仿宋_GB2312" w:eastAsia="仿宋_GB2312" w:cs="仿宋_GB2312"/>
                <w:sz w:val="24"/>
                <w:szCs w:val="32"/>
              </w:rPr>
              <w:t>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82"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C0202300A090</w:t>
            </w:r>
          </w:p>
        </w:tc>
        <w:tc>
          <w:tcPr>
            <w:tcW w:w="1583"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kern w:val="2"/>
                <w:sz w:val="24"/>
                <w:szCs w:val="32"/>
                <w:lang w:val="en-US" w:eastAsia="zh-CN" w:bidi="ar-SA"/>
              </w:rPr>
            </w:pPr>
            <w:r>
              <w:rPr>
                <w:rFonts w:hint="eastAsia" w:ascii="仿宋_GB2312" w:hAnsi="仿宋_GB2312" w:eastAsia="仿宋_GB2312" w:cs="仿宋_GB2312"/>
                <w:sz w:val="24"/>
                <w:szCs w:val="32"/>
              </w:rPr>
              <w:t>A（社会危害性严重）</w:t>
            </w:r>
          </w:p>
        </w:tc>
        <w:tc>
          <w:tcPr>
            <w:tcW w:w="1267"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kern w:val="2"/>
                <w:sz w:val="24"/>
                <w:szCs w:val="32"/>
                <w:lang w:val="en-US" w:eastAsia="zh-CN" w:bidi="ar-SA"/>
              </w:rPr>
            </w:pPr>
            <w:r>
              <w:rPr>
                <w:rFonts w:hint="eastAsia" w:ascii="仿宋_GB2312" w:hAnsi="仿宋_GB2312" w:eastAsia="仿宋_GB2312" w:cs="仿宋_GB2312"/>
                <w:sz w:val="24"/>
                <w:szCs w:val="32"/>
              </w:rPr>
              <w:t>病原微生物实验室将使用后的实验动物流入市场</w:t>
            </w:r>
          </w:p>
        </w:tc>
        <w:tc>
          <w:tcPr>
            <w:tcW w:w="3060"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kern w:val="2"/>
                <w:sz w:val="24"/>
                <w:szCs w:val="32"/>
                <w:lang w:val="en-US" w:eastAsia="zh-CN" w:bidi="ar-SA"/>
              </w:rPr>
            </w:pPr>
            <w:r>
              <w:rPr>
                <w:rFonts w:hint="eastAsia" w:ascii="仿宋_GB2312" w:hAnsi="仿宋_GB2312" w:eastAsia="仿宋_GB2312" w:cs="仿宋_GB2312"/>
                <w:color w:val="000000"/>
                <w:sz w:val="24"/>
                <w:szCs w:val="32"/>
              </w:rPr>
              <w:t>《中华人民共和国生物安全法》第四十七条第一款：病原微生物实验室应当采取措施，加强对实验动物的管理，防止实验动物逃逸，对使用后的实验动物按照国家规定进行无害化处理，实现实验动物可追溯。禁止将使用后的实验动物流入市场。</w:t>
            </w:r>
          </w:p>
        </w:tc>
        <w:tc>
          <w:tcPr>
            <w:tcW w:w="3623"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kern w:val="2"/>
                <w:sz w:val="24"/>
                <w:szCs w:val="32"/>
                <w:lang w:val="en-US" w:eastAsia="zh-CN" w:bidi="ar-SA"/>
              </w:rPr>
            </w:pPr>
            <w:r>
              <w:rPr>
                <w:rFonts w:hint="eastAsia" w:ascii="仿宋_GB2312" w:hAnsi="仿宋_GB2312" w:eastAsia="仿宋_GB2312" w:cs="仿宋_GB2312"/>
                <w:color w:val="000000"/>
                <w:sz w:val="24"/>
                <w:szCs w:val="32"/>
              </w:rPr>
              <w:t>《中华人民共和国生物安全法》第七十七条：违反本法规定，将使用后的实验动物流入市场的，由县级以上人民政府科学技术主管部门责令改正，没收违法所得，并处二十万元以上一百万元以下的罚款，违法所得在二十万元以上的，并处违法所得五倍以上十倍以下的罚款；情节严重的，由发证部门吊销相关许可证件。</w:t>
            </w: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流入市场实验动物价值或者违法所得在二十万元以上低于五十万元。</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没收非法所得，并处违法所得五倍以上七倍</w:t>
            </w:r>
            <w:r>
              <w:rPr>
                <w:rFonts w:hint="eastAsia" w:ascii="仿宋_GB2312" w:hAnsi="仿宋_GB2312" w:eastAsia="仿宋_GB2312" w:cs="仿宋_GB2312"/>
                <w:color w:val="000000"/>
                <w:sz w:val="24"/>
                <w:szCs w:val="32"/>
                <w:lang w:eastAsia="zh-CN"/>
              </w:rPr>
              <w:t>以下</w:t>
            </w:r>
            <w:r>
              <w:rPr>
                <w:rFonts w:hint="eastAsia" w:ascii="仿宋_GB2312" w:hAnsi="仿宋_GB2312" w:eastAsia="仿宋_GB2312" w:cs="仿宋_GB2312"/>
                <w:color w:val="000000"/>
                <w:sz w:val="24"/>
                <w:szCs w:val="32"/>
              </w:rPr>
              <w:t>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688"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C0202300A</w:t>
            </w:r>
            <w:r>
              <w:rPr>
                <w:rFonts w:hint="eastAsia" w:ascii="仿宋_GB2312" w:hAnsi="仿宋_GB2312" w:eastAsia="仿宋_GB2312" w:cs="仿宋_GB2312"/>
                <w:sz w:val="24"/>
                <w:szCs w:val="32"/>
                <w:lang w:val="en-US" w:eastAsia="zh-CN"/>
              </w:rPr>
              <w:t>10</w:t>
            </w:r>
            <w:r>
              <w:rPr>
                <w:rFonts w:hint="eastAsia" w:ascii="仿宋_GB2312" w:hAnsi="仿宋_GB2312" w:eastAsia="仿宋_GB2312" w:cs="仿宋_GB2312"/>
                <w:sz w:val="24"/>
                <w:szCs w:val="32"/>
              </w:rPr>
              <w:t>0</w:t>
            </w:r>
          </w:p>
        </w:tc>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流入市场实验动物价值或者违法所得在五十万元以上低于一百万元。</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没收非法所得，并处违法所得七倍以上十倍以下的罚款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74"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lang w:val="en-US" w:eastAsia="zh-CN"/>
              </w:rPr>
            </w:pPr>
            <w:r>
              <w:rPr>
                <w:rFonts w:hint="eastAsia" w:ascii="仿宋_GB2312" w:hAnsi="仿宋_GB2312" w:eastAsia="仿宋_GB2312" w:cs="仿宋_GB2312"/>
                <w:sz w:val="24"/>
                <w:szCs w:val="32"/>
              </w:rPr>
              <w:t>C0202300A11</w:t>
            </w:r>
            <w:r>
              <w:rPr>
                <w:rFonts w:hint="eastAsia" w:ascii="仿宋_GB2312" w:hAnsi="仿宋_GB2312" w:eastAsia="仿宋_GB2312" w:cs="仿宋_GB2312"/>
                <w:sz w:val="24"/>
                <w:szCs w:val="32"/>
                <w:lang w:val="en-US" w:eastAsia="zh-CN"/>
              </w:rPr>
              <w:t>0</w:t>
            </w:r>
          </w:p>
        </w:tc>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流入市场实验动物价值或者违法所得超过一百万元或者因使用流入市场的实验动物导致出现疫情、传染性疾病等严重后果。</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没收非法所得，由发证部门吊销相关许可证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46"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C0201100A010</w:t>
            </w:r>
          </w:p>
        </w:tc>
        <w:tc>
          <w:tcPr>
            <w:tcW w:w="15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A（社会危害性严重）</w:t>
            </w:r>
          </w:p>
        </w:tc>
        <w:tc>
          <w:tcPr>
            <w:tcW w:w="12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未对实验动物尸体、组织和其他废物分类进行无害化处理</w:t>
            </w:r>
          </w:p>
        </w:tc>
        <w:tc>
          <w:tcPr>
            <w:tcW w:w="30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《北京市实验动物管理条例》第三十条第一款：从事实验动物工作的单位和个人对实验动物尸体、组织和其他废物应当分类进行无害化处理。</w:t>
            </w:r>
          </w:p>
        </w:tc>
        <w:tc>
          <w:tcPr>
            <w:tcW w:w="36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jc w:val="lef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北京市实验动物管理条例》第三十九条：违反本条例第三十条第一款规定，未对实验动物尸体、组织和其他废物进行无害化处理的，依照国家和本市有关法律法规的规定处理，并可由市科学技术部门暂扣或者吊销实验动物生产许可证、实验动物使用许可证。</w:t>
            </w:r>
          </w:p>
        </w:tc>
        <w:tc>
          <w:tcPr>
            <w:tcW w:w="252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lang w:eastAsia="zh-CN"/>
              </w:rPr>
            </w:pPr>
            <w:r>
              <w:rPr>
                <w:rFonts w:hint="eastAsia" w:ascii="仿宋_GB2312" w:hAnsi="仿宋_GB2312" w:eastAsia="仿宋_GB2312" w:cs="仿宋_GB2312"/>
                <w:color w:val="000000"/>
                <w:sz w:val="24"/>
                <w:szCs w:val="32"/>
              </w:rPr>
              <w:t>未对动物生产、实验产生的其他废物分类进行无害化处理</w:t>
            </w:r>
            <w:r>
              <w:rPr>
                <w:rFonts w:hint="eastAsia" w:ascii="仿宋_GB2312" w:hAnsi="仿宋_GB2312" w:eastAsia="仿宋_GB2312" w:cs="仿宋_GB2312"/>
                <w:color w:val="000000"/>
                <w:sz w:val="24"/>
                <w:szCs w:val="32"/>
                <w:lang w:eastAsia="zh-CN"/>
              </w:rPr>
              <w:t>。</w:t>
            </w:r>
          </w:p>
        </w:tc>
        <w:tc>
          <w:tcPr>
            <w:tcW w:w="1394"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暂扣实验动物生产许可证、实验动物使用许可证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18" w:hRule="atLeast"/>
          <w:jc w:val="center"/>
        </w:trPr>
        <w:tc>
          <w:tcPr>
            <w:tcW w:w="1050"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C0201100A020</w:t>
            </w:r>
          </w:p>
        </w:tc>
        <w:tc>
          <w:tcPr>
            <w:tcW w:w="15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12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sz w:val="24"/>
                <w:szCs w:val="32"/>
              </w:rPr>
            </w:pPr>
          </w:p>
        </w:tc>
        <w:tc>
          <w:tcPr>
            <w:tcW w:w="30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36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p>
        </w:tc>
        <w:tc>
          <w:tcPr>
            <w:tcW w:w="252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lang w:eastAsia="zh-CN"/>
              </w:rPr>
            </w:pPr>
            <w:r>
              <w:rPr>
                <w:rFonts w:hint="eastAsia" w:ascii="仿宋_GB2312" w:hAnsi="仿宋_GB2312" w:eastAsia="仿宋_GB2312" w:cs="仿宋_GB2312"/>
                <w:color w:val="000000"/>
                <w:sz w:val="24"/>
                <w:szCs w:val="32"/>
              </w:rPr>
              <w:t>未对实验动物尸体、组织分类进行无害化处理</w:t>
            </w:r>
            <w:r>
              <w:rPr>
                <w:rFonts w:hint="eastAsia" w:ascii="仿宋_GB2312" w:hAnsi="仿宋_GB2312" w:eastAsia="仿宋_GB2312" w:cs="仿宋_GB2312"/>
                <w:color w:val="000000"/>
                <w:sz w:val="24"/>
                <w:szCs w:val="32"/>
                <w:lang w:eastAsia="zh-CN"/>
              </w:rPr>
              <w:t>。</w:t>
            </w:r>
          </w:p>
        </w:tc>
        <w:tc>
          <w:tcPr>
            <w:tcW w:w="1394"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320" w:lineRule="exact"/>
              <w:textAlignment w:val="auto"/>
              <w:rPr>
                <w:rFonts w:hint="eastAsia" w:ascii="仿宋_GB2312" w:hAnsi="仿宋_GB2312" w:eastAsia="仿宋_GB2312" w:cs="仿宋_GB2312"/>
                <w:color w:val="000000"/>
                <w:sz w:val="24"/>
                <w:szCs w:val="32"/>
              </w:rPr>
            </w:pPr>
            <w:r>
              <w:rPr>
                <w:rFonts w:hint="eastAsia" w:ascii="仿宋_GB2312" w:hAnsi="仿宋_GB2312" w:eastAsia="仿宋_GB2312" w:cs="仿宋_GB2312"/>
                <w:color w:val="000000"/>
                <w:sz w:val="24"/>
                <w:szCs w:val="32"/>
              </w:rPr>
              <w:t>吊销实验动物生产许可证、实验动物使用许可证</w:t>
            </w:r>
          </w:p>
        </w:tc>
      </w:tr>
    </w:tbl>
    <w:p>
      <w:pPr>
        <w:rPr>
          <w:rFonts w:hint="eastAsia" w:ascii="黑体" w:hAnsi="黑体" w:eastAsia="黑体" w:cs="黑体"/>
          <w:bCs/>
          <w:color w:val="000000"/>
          <w:sz w:val="32"/>
          <w:szCs w:val="32"/>
        </w:rPr>
      </w:pPr>
      <w:r>
        <w:rPr>
          <w:rFonts w:hint="eastAsia" w:ascii="黑体" w:hAnsi="黑体" w:eastAsia="黑体" w:cs="黑体"/>
          <w:bCs/>
          <w:color w:val="000000"/>
          <w:sz w:val="32"/>
          <w:szCs w:val="32"/>
        </w:rPr>
        <w:br w:type="page"/>
      </w:r>
    </w:p>
    <w:p>
      <w:pPr>
        <w:rPr>
          <w:rFonts w:hint="eastAsia" w:ascii="黑体" w:hAnsi="黑体" w:eastAsia="黑体" w:cs="黑体"/>
          <w:bCs/>
          <w:color w:val="000000"/>
          <w:sz w:val="32"/>
          <w:szCs w:val="32"/>
        </w:rPr>
      </w:pPr>
      <w:r>
        <w:rPr>
          <w:rFonts w:hint="eastAsia" w:ascii="黑体" w:hAnsi="黑体" w:eastAsia="黑体" w:cs="黑体"/>
          <w:bCs/>
          <w:color w:val="000000"/>
          <w:sz w:val="32"/>
          <w:szCs w:val="32"/>
        </w:rPr>
        <w:t>二、技术市场领域</w:t>
      </w:r>
    </w:p>
    <w:tbl>
      <w:tblPr>
        <w:tblStyle w:val="4"/>
        <w:tblW w:w="14666"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6"/>
        <w:gridCol w:w="1567"/>
        <w:gridCol w:w="1283"/>
        <w:gridCol w:w="2584"/>
        <w:gridCol w:w="4633"/>
        <w:gridCol w:w="1817"/>
        <w:gridCol w:w="17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28" w:hRule="atLeast"/>
          <w:tblHeader/>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center"/>
              <w:textAlignment w:val="auto"/>
              <w:rPr>
                <w:rFonts w:hint="eastAsia" w:ascii="黑体" w:hAnsi="黑体" w:eastAsia="黑体" w:cs="黑体"/>
                <w:b w:val="0"/>
                <w:bCs w:val="0"/>
                <w:color w:val="000000"/>
                <w:kern w:val="2"/>
                <w:sz w:val="24"/>
                <w:szCs w:val="32"/>
                <w:lang w:val="en-US" w:eastAsia="zh-CN" w:bidi="ar-SA"/>
              </w:rPr>
            </w:pPr>
            <w:r>
              <w:rPr>
                <w:rFonts w:hint="eastAsia" w:ascii="黑体" w:hAnsi="黑体" w:eastAsia="黑体" w:cs="黑体"/>
                <w:b w:val="0"/>
                <w:bCs w:val="0"/>
                <w:color w:val="000000"/>
                <w:sz w:val="24"/>
                <w:szCs w:val="32"/>
              </w:rPr>
              <w:t>裁量基准编码</w:t>
            </w:r>
          </w:p>
        </w:tc>
        <w:tc>
          <w:tcPr>
            <w:tcW w:w="1567" w:type="dxa"/>
            <w:noWrap w:val="0"/>
            <w:vAlign w:val="center"/>
          </w:tcPr>
          <w:p>
            <w:pPr>
              <w:keepNext w:val="0"/>
              <w:keepLines w:val="0"/>
              <w:pageBreakBefore w:val="0"/>
              <w:kinsoku/>
              <w:wordWrap/>
              <w:overflowPunct/>
              <w:topLinePunct w:val="0"/>
              <w:autoSpaceDE/>
              <w:autoSpaceDN/>
              <w:bidi w:val="0"/>
              <w:adjustRightInd/>
              <w:snapToGrid/>
              <w:spacing w:after="0"/>
              <w:jc w:val="center"/>
              <w:textAlignment w:val="auto"/>
              <w:rPr>
                <w:rFonts w:hint="eastAsia" w:ascii="黑体" w:hAnsi="黑体" w:eastAsia="黑体" w:cs="黑体"/>
                <w:b w:val="0"/>
                <w:bCs w:val="0"/>
                <w:color w:val="000000"/>
                <w:kern w:val="2"/>
                <w:sz w:val="24"/>
                <w:szCs w:val="32"/>
                <w:lang w:val="en-US" w:eastAsia="zh-CN" w:bidi="ar-SA"/>
              </w:rPr>
            </w:pPr>
            <w:r>
              <w:rPr>
                <w:rFonts w:hint="eastAsia" w:ascii="黑体" w:hAnsi="黑体" w:eastAsia="黑体" w:cs="黑体"/>
                <w:b w:val="0"/>
                <w:bCs w:val="0"/>
                <w:color w:val="000000"/>
                <w:sz w:val="24"/>
                <w:szCs w:val="32"/>
              </w:rPr>
              <w:t>裁量档（违法行为性质）</w:t>
            </w:r>
          </w:p>
        </w:tc>
        <w:tc>
          <w:tcPr>
            <w:tcW w:w="1283" w:type="dxa"/>
            <w:noWrap w:val="0"/>
            <w:vAlign w:val="center"/>
          </w:tcPr>
          <w:p>
            <w:pPr>
              <w:keepNext w:val="0"/>
              <w:keepLines w:val="0"/>
              <w:pageBreakBefore w:val="0"/>
              <w:kinsoku/>
              <w:wordWrap/>
              <w:overflowPunct/>
              <w:topLinePunct w:val="0"/>
              <w:autoSpaceDE/>
              <w:autoSpaceDN/>
              <w:bidi w:val="0"/>
              <w:adjustRightInd/>
              <w:snapToGrid/>
              <w:spacing w:after="0"/>
              <w:jc w:val="center"/>
              <w:textAlignment w:val="auto"/>
              <w:rPr>
                <w:rFonts w:hint="eastAsia" w:ascii="黑体" w:hAnsi="黑体" w:eastAsia="黑体" w:cs="黑体"/>
                <w:b w:val="0"/>
                <w:bCs w:val="0"/>
                <w:color w:val="000000"/>
                <w:kern w:val="2"/>
                <w:sz w:val="24"/>
                <w:szCs w:val="32"/>
                <w:lang w:val="en-US" w:eastAsia="zh-CN" w:bidi="ar-SA"/>
              </w:rPr>
            </w:pPr>
            <w:r>
              <w:rPr>
                <w:rFonts w:hint="eastAsia" w:ascii="黑体" w:hAnsi="黑体" w:eastAsia="黑体" w:cs="黑体"/>
                <w:b w:val="0"/>
                <w:bCs w:val="0"/>
                <w:color w:val="000000"/>
                <w:sz w:val="24"/>
                <w:szCs w:val="32"/>
              </w:rPr>
              <w:t>违法行为</w:t>
            </w:r>
          </w:p>
        </w:tc>
        <w:tc>
          <w:tcPr>
            <w:tcW w:w="2584" w:type="dxa"/>
            <w:noWrap w:val="0"/>
            <w:vAlign w:val="center"/>
          </w:tcPr>
          <w:p>
            <w:pPr>
              <w:keepNext w:val="0"/>
              <w:keepLines w:val="0"/>
              <w:pageBreakBefore w:val="0"/>
              <w:kinsoku/>
              <w:wordWrap/>
              <w:overflowPunct/>
              <w:topLinePunct w:val="0"/>
              <w:autoSpaceDE/>
              <w:autoSpaceDN/>
              <w:bidi w:val="0"/>
              <w:adjustRightInd/>
              <w:snapToGrid/>
              <w:spacing w:after="0"/>
              <w:jc w:val="center"/>
              <w:textAlignment w:val="auto"/>
              <w:rPr>
                <w:rFonts w:hint="eastAsia" w:ascii="黑体" w:hAnsi="黑体" w:eastAsia="黑体" w:cs="黑体"/>
                <w:b w:val="0"/>
                <w:bCs w:val="0"/>
                <w:color w:val="000000"/>
                <w:kern w:val="2"/>
                <w:sz w:val="24"/>
                <w:szCs w:val="32"/>
                <w:lang w:val="en-US" w:eastAsia="zh-CN" w:bidi="ar-SA"/>
              </w:rPr>
            </w:pPr>
            <w:r>
              <w:rPr>
                <w:rFonts w:hint="eastAsia" w:ascii="黑体" w:hAnsi="黑体" w:eastAsia="黑体" w:cs="黑体"/>
                <w:b w:val="0"/>
                <w:bCs w:val="0"/>
                <w:color w:val="000000"/>
                <w:sz w:val="24"/>
                <w:szCs w:val="32"/>
              </w:rPr>
              <w:t>违法行为依据</w:t>
            </w:r>
          </w:p>
        </w:tc>
        <w:tc>
          <w:tcPr>
            <w:tcW w:w="4633" w:type="dxa"/>
            <w:noWrap w:val="0"/>
            <w:vAlign w:val="center"/>
          </w:tcPr>
          <w:p>
            <w:pPr>
              <w:keepNext w:val="0"/>
              <w:keepLines w:val="0"/>
              <w:pageBreakBefore w:val="0"/>
              <w:kinsoku/>
              <w:wordWrap/>
              <w:overflowPunct/>
              <w:topLinePunct w:val="0"/>
              <w:autoSpaceDE/>
              <w:autoSpaceDN/>
              <w:bidi w:val="0"/>
              <w:adjustRightInd/>
              <w:snapToGrid/>
              <w:spacing w:after="0"/>
              <w:jc w:val="center"/>
              <w:textAlignment w:val="auto"/>
              <w:rPr>
                <w:rFonts w:hint="eastAsia" w:ascii="黑体" w:hAnsi="黑体" w:eastAsia="黑体" w:cs="黑体"/>
                <w:b w:val="0"/>
                <w:bCs w:val="0"/>
                <w:color w:val="000000"/>
                <w:kern w:val="2"/>
                <w:sz w:val="24"/>
                <w:szCs w:val="32"/>
                <w:lang w:val="en-US" w:eastAsia="zh-CN" w:bidi="ar-SA"/>
              </w:rPr>
            </w:pPr>
            <w:r>
              <w:rPr>
                <w:rFonts w:hint="eastAsia" w:ascii="黑体" w:hAnsi="黑体" w:eastAsia="黑体" w:cs="黑体"/>
                <w:b w:val="0"/>
                <w:bCs w:val="0"/>
                <w:color w:val="000000"/>
                <w:sz w:val="24"/>
                <w:szCs w:val="32"/>
              </w:rPr>
              <w:t>处罚依据</w:t>
            </w: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jc w:val="center"/>
              <w:textAlignment w:val="auto"/>
              <w:rPr>
                <w:rFonts w:hint="eastAsia" w:ascii="黑体" w:hAnsi="黑体" w:eastAsia="黑体" w:cs="黑体"/>
                <w:b w:val="0"/>
                <w:bCs w:val="0"/>
                <w:color w:val="000000"/>
                <w:kern w:val="2"/>
                <w:sz w:val="24"/>
                <w:szCs w:val="32"/>
                <w:lang w:val="en-US" w:eastAsia="zh-CN" w:bidi="ar-SA"/>
              </w:rPr>
            </w:pPr>
            <w:r>
              <w:rPr>
                <w:rFonts w:hint="eastAsia" w:ascii="黑体" w:hAnsi="黑体" w:eastAsia="黑体" w:cs="黑体"/>
                <w:b w:val="0"/>
                <w:bCs w:val="0"/>
                <w:color w:val="000000"/>
                <w:sz w:val="24"/>
                <w:szCs w:val="32"/>
              </w:rPr>
              <w:t>违法情节</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jc w:val="center"/>
              <w:textAlignment w:val="auto"/>
              <w:rPr>
                <w:rFonts w:hint="eastAsia" w:ascii="黑体" w:hAnsi="黑体" w:eastAsia="黑体" w:cs="黑体"/>
                <w:b w:val="0"/>
                <w:bCs w:val="0"/>
                <w:color w:val="000000"/>
                <w:kern w:val="2"/>
                <w:sz w:val="24"/>
                <w:szCs w:val="32"/>
                <w:lang w:val="en-US" w:eastAsia="zh-CN" w:bidi="ar-SA"/>
              </w:rPr>
            </w:pPr>
            <w:r>
              <w:rPr>
                <w:rFonts w:hint="eastAsia" w:ascii="黑体" w:hAnsi="黑体" w:eastAsia="黑体" w:cs="黑体"/>
                <w:b w:val="0"/>
                <w:bCs w:val="0"/>
                <w:color w:val="000000"/>
                <w:sz w:val="24"/>
                <w:szCs w:val="32"/>
              </w:rPr>
              <w:t>裁量阶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90"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C0201500B010</w:t>
            </w:r>
          </w:p>
        </w:tc>
        <w:tc>
          <w:tcPr>
            <w:tcW w:w="1567"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B（社会危害性一般）</w:t>
            </w:r>
          </w:p>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283" w:type="dxa"/>
            <w:vMerge w:val="restart"/>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提供虚假技术或者技术信息</w:t>
            </w:r>
          </w:p>
        </w:tc>
        <w:tc>
          <w:tcPr>
            <w:tcW w:w="2584" w:type="dxa"/>
            <w:vMerge w:val="restart"/>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九条：在技术交易活动中，卖方应当是所提供技术的合法拥有者，并保证其所提供技术的真实性；中介方应当保证自己所提供技术信息的真实性及其来源的合法性；买方应当按照合同约定使用技术，支付费用。</w:t>
            </w:r>
          </w:p>
        </w:tc>
        <w:tc>
          <w:tcPr>
            <w:tcW w:w="4633" w:type="dxa"/>
            <w:vMerge w:val="restart"/>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三十三条：违反本条例第九条规定，提供虚假技术或者技术信息的，由市或者区科学技术部门或者市场监督管理部门没收违法所得，可以并处违法所得一倍以上五倍以下的罚款；给当事人造成损失的，依法承担民事责任。</w:t>
            </w: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提供虚假技术或者技术信息的，尚未造成损失</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没收违法所得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48"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C0201500B020</w:t>
            </w:r>
          </w:p>
        </w:tc>
        <w:tc>
          <w:tcPr>
            <w:tcW w:w="1567"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283"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2584"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4633"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提供虚假技术或者技术信息的，造成的损失为技术合同实际成交金额的三倍以下</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没收违法所得，并处违法所得一倍以上低于三倍的罚款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49"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C0201500B030</w:t>
            </w:r>
          </w:p>
        </w:tc>
        <w:tc>
          <w:tcPr>
            <w:tcW w:w="1567"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283"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2584"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4633"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提供虚假技术或者技术信息的，造成的损失超过技术合同实际成交金额三倍</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没收违法所得，并处违法所得三倍以上五倍以下的罚款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27"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C0201600B010</w:t>
            </w:r>
          </w:p>
        </w:tc>
        <w:tc>
          <w:tcPr>
            <w:tcW w:w="1567"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B（社会危害性一般）</w:t>
            </w:r>
          </w:p>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283" w:type="dxa"/>
            <w:vMerge w:val="restart"/>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举办虚假宣传非法牟利的技术交易会</w:t>
            </w:r>
          </w:p>
        </w:tc>
        <w:tc>
          <w:tcPr>
            <w:tcW w:w="2584" w:type="dxa"/>
            <w:vMerge w:val="restart"/>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《北京市技术市场条例》第十二条：技术交易会的举办者不得作虚假宣传，非法牟利。</w:t>
            </w:r>
          </w:p>
        </w:tc>
        <w:tc>
          <w:tcPr>
            <w:tcW w:w="4633" w:type="dxa"/>
            <w:vMerge w:val="restart"/>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《北京市技术市场条例》第三十四条：违反本条例第十二条规定，技术交易会的举办者通过虚假宣传非法牟利的，由市科学技术部门没收违法所得，可以并处违法所得一倍以上三倍以下的罚款。</w:t>
            </w: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技术交易会的举办者通过虚假宣传非法牟利的，应邀参加交易会主体低于50家</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没收违法所得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41"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C0201600B020</w:t>
            </w:r>
          </w:p>
        </w:tc>
        <w:tc>
          <w:tcPr>
            <w:tcW w:w="1567"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283"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2584"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4633"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技术交易会的举办者通过虚假宣传非法牟利的，应邀参加交易会主体50家以上100家以下</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没收违法所得，并处违法所得一倍以上低于二倍的罚款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48"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C0201600B030</w:t>
            </w:r>
          </w:p>
        </w:tc>
        <w:tc>
          <w:tcPr>
            <w:tcW w:w="1567"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283"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2584"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4633"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技术交易会的举办者通过虚假宣传非法牟利的，应邀参加交易会主体超过100家</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line="34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没收违法所得，并处违法所得二倍以上三倍以下的罚款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42"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C0201700B010</w:t>
            </w:r>
          </w:p>
        </w:tc>
        <w:tc>
          <w:tcPr>
            <w:tcW w:w="1567" w:type="dxa"/>
            <w:vMerge w:val="restart"/>
            <w:noWrap w:val="0"/>
            <w:vAlign w:val="center"/>
          </w:tcPr>
          <w:p>
            <w:pPr>
              <w:keepNext w:val="0"/>
              <w:keepLines w:val="0"/>
              <w:pageBreakBefore w:val="0"/>
              <w:widowControl/>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B（社会危害性一般）</w:t>
            </w:r>
          </w:p>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1283" w:type="dxa"/>
            <w:vMerge w:val="restart"/>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以不正当手段骗取技术合同登记证明</w:t>
            </w:r>
          </w:p>
        </w:tc>
        <w:tc>
          <w:tcPr>
            <w:tcW w:w="2584" w:type="dxa"/>
            <w:vMerge w:val="restart"/>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二十二条：技术合同生效后，技术交易的卖方、中介方可以向技术合同登记机构申请认定登记。申请技术合同认定登记应当提供真实、完整的中文书面技术合同文本和相关附件。技术合同登记机构应当在受理认定登记申请之日起三十日内，依照有关规定予以认定登记。当事人对不予认定登记有异议的，可以向北京技术市场管理办公室申请复核。</w:t>
            </w:r>
          </w:p>
        </w:tc>
        <w:tc>
          <w:tcPr>
            <w:tcW w:w="4633" w:type="dxa"/>
            <w:vMerge w:val="restart"/>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三十五条：违反本条例第二十二条规定，以不正当手段骗取技术合同登记证明的，由市科学技术部门责令技术合同登记机构撤销登记证明，并可以对当事人处5000元以上1万元以下的罚款；已经享受优惠政策的，由市科学技术部门通知有关部门予以查处。</w:t>
            </w: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以不正当手段骗取技术合同登记证明的，未享受优惠政策</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责令技术合同登记机构撤销登记证明，并对当事人处5000元罚款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12"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C0201700B020</w:t>
            </w:r>
          </w:p>
        </w:tc>
        <w:tc>
          <w:tcPr>
            <w:tcW w:w="1567" w:type="dxa"/>
            <w:vMerge w:val="continue"/>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1283" w:type="dxa"/>
            <w:vMerge w:val="continue"/>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2584" w:type="dxa"/>
            <w:vMerge w:val="continue"/>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4633" w:type="dxa"/>
            <w:vMerge w:val="continue"/>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以不正当手段骗取技术合同登记证明的，享受一项优惠政策</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责令技术合同登记机构撤销登记证明，并对当事人处5000元以上低于7000元的罚款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19"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C0201700B030</w:t>
            </w:r>
          </w:p>
        </w:tc>
        <w:tc>
          <w:tcPr>
            <w:tcW w:w="1567" w:type="dxa"/>
            <w:vMerge w:val="continue"/>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1283" w:type="dxa"/>
            <w:vMerge w:val="continue"/>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2584" w:type="dxa"/>
            <w:vMerge w:val="continue"/>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4633" w:type="dxa"/>
            <w:vMerge w:val="continue"/>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以不正当手段骗取技术合同登记证明，享受两项以上优惠政策</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责令技术合同登记机构撤销登记证明，并对当事人处7000元以上1万元以下的罚款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225"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C0201800C010</w:t>
            </w:r>
          </w:p>
        </w:tc>
        <w:tc>
          <w:tcPr>
            <w:tcW w:w="1567" w:type="dxa"/>
            <w:vMerge w:val="restart"/>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C（社会危害性轻微）</w:t>
            </w:r>
          </w:p>
        </w:tc>
        <w:tc>
          <w:tcPr>
            <w:tcW w:w="1283" w:type="dxa"/>
            <w:vMerge w:val="restart"/>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技术合同登记机构不按照规定开展技术合同认定登记工作</w:t>
            </w:r>
          </w:p>
        </w:tc>
        <w:tc>
          <w:tcPr>
            <w:tcW w:w="2584" w:type="dxa"/>
            <w:vMerge w:val="restart"/>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二十二条：技术合同生效后，技术交易的卖方、中介方可以向技术合同登记机构申请认定登记。申请技术合同认定登记应当提供真实、完整的中文书面技术合同文本和相关附件。技术合同登记机构应当在受理认定登记申请之日起三十日内，依照有关规定予以认定登记。当事人对不予认定登记有异议的，可以向北京技术市场管理办公室申请复核。</w:t>
            </w:r>
          </w:p>
        </w:tc>
        <w:tc>
          <w:tcPr>
            <w:tcW w:w="4633" w:type="dxa"/>
            <w:vMerge w:val="restart"/>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《北京市技术市场条例》第三十六条第一项：</w:t>
            </w:r>
          </w:p>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违反本条例规定，技术合同登记机构有下列行为之一的，市科学技术部门应当予以警告并责令其限期改正；情节严重的，予以撤销并公告：（一）不按照规定开展技术合同认定登记工作的；……</w:t>
            </w: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技术合同登记机构不按照规定开展技术合同认定登记工作</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6"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C0201800C020</w:t>
            </w:r>
          </w:p>
        </w:tc>
        <w:tc>
          <w:tcPr>
            <w:tcW w:w="1567"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283"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2584"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4633"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技术合同登记机构不按照规定开展技术合同认定登记工作的，限期整改后仍然不按照规定开展技术合同认定登记工作</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撤销登记机构并公告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06"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C0202000C010</w:t>
            </w:r>
          </w:p>
        </w:tc>
        <w:tc>
          <w:tcPr>
            <w:tcW w:w="1567" w:type="dxa"/>
            <w:vMerge w:val="restart"/>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C（社会危害性轻微）</w:t>
            </w:r>
          </w:p>
        </w:tc>
        <w:tc>
          <w:tcPr>
            <w:tcW w:w="1283" w:type="dxa"/>
            <w:vMerge w:val="restart"/>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技术合同登记机构从事经营活动</w:t>
            </w:r>
          </w:p>
        </w:tc>
        <w:tc>
          <w:tcPr>
            <w:tcW w:w="2584" w:type="dxa"/>
            <w:vMerge w:val="restart"/>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《北京市技术市场条例》第二十九条第四款：技术合同登记机构不得从事经营活动。</w:t>
            </w:r>
          </w:p>
        </w:tc>
        <w:tc>
          <w:tcPr>
            <w:tcW w:w="4633" w:type="dxa"/>
            <w:vMerge w:val="restart"/>
            <w:noWrap w:val="0"/>
            <w:vAlign w:val="center"/>
          </w:tcPr>
          <w:p>
            <w:pPr>
              <w:keepNext w:val="0"/>
              <w:keepLines w:val="0"/>
              <w:pageBreakBefore w:val="0"/>
              <w:kinsoku/>
              <w:wordWrap/>
              <w:overflowPunct/>
              <w:topLinePunct w:val="0"/>
              <w:autoSpaceDE/>
              <w:autoSpaceDN/>
              <w:bidi w:val="0"/>
              <w:adjustRightInd/>
              <w:snapToGrid/>
              <w:spacing w:after="0"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《北京市技术市场条例》第三十六条第二项：</w:t>
            </w:r>
          </w:p>
          <w:p>
            <w:pPr>
              <w:keepNext w:val="0"/>
              <w:keepLines w:val="0"/>
              <w:pageBreakBefore w:val="0"/>
              <w:kinsoku/>
              <w:wordWrap/>
              <w:overflowPunct/>
              <w:topLinePunct w:val="0"/>
              <w:autoSpaceDE/>
              <w:autoSpaceDN/>
              <w:bidi w:val="0"/>
              <w:adjustRightInd/>
              <w:snapToGrid/>
              <w:spacing w:after="0" w:line="400" w:lineRule="exact"/>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违反本条例规定，技术合同登记机构有下列行为之一的，市科学技术部门应当予以警告并责令其限期改正；情节严重的，予以撤销并公告：……（二）从事经营活动的；……</w:t>
            </w: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技术合同登记机构从事与登记工作相关的经营活动，经营所得在一万元以下</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863"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C0202000C020</w:t>
            </w:r>
          </w:p>
        </w:tc>
        <w:tc>
          <w:tcPr>
            <w:tcW w:w="1567"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283"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2584"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4633" w:type="dxa"/>
            <w:vMerge w:val="continue"/>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p>
        </w:tc>
        <w:tc>
          <w:tcPr>
            <w:tcW w:w="1817" w:type="dxa"/>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技术合同登记机构从事与登记工作相关的经营活动，经营所得超过一万元</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kinsoku/>
              <w:wordWrap/>
              <w:overflowPunct/>
              <w:topLinePunct w:val="0"/>
              <w:autoSpaceDE/>
              <w:autoSpaceDN/>
              <w:bidi w:val="0"/>
              <w:adjustRightInd/>
              <w:snapToGrid/>
              <w:spacing w:after="0"/>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撤销登记机构并公告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40"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C0202100C010</w:t>
            </w:r>
          </w:p>
        </w:tc>
        <w:tc>
          <w:tcPr>
            <w:tcW w:w="15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C（社会危害性轻微）</w:t>
            </w:r>
          </w:p>
        </w:tc>
        <w:tc>
          <w:tcPr>
            <w:tcW w:w="12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技术合同登记机构迟报、拒报或者提供不真实统计材料</w:t>
            </w:r>
          </w:p>
        </w:tc>
        <w:tc>
          <w:tcPr>
            <w:tcW w:w="258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《北京市技术市场条例》第二十九条第三款：技术合同登记机构应当按照规定上报有关统计数据。</w:t>
            </w:r>
          </w:p>
        </w:tc>
        <w:tc>
          <w:tcPr>
            <w:tcW w:w="463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《北京市技术市场条例》第三十六条第三项：</w:t>
            </w:r>
          </w:p>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违反本条例规定，技术合同登记机构有下列行为之一的，市科学技术部门应当予以警告并责令其限期改正；情节严重的，予以撤销并公告：……（三）迟报、拒报或者提供不真实统计材料的；……</w:t>
            </w:r>
          </w:p>
        </w:tc>
        <w:tc>
          <w:tcPr>
            <w:tcW w:w="1817" w:type="dxa"/>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技术合同登记机构具有迟报、拒报或者提供不真实统计材料三种情形之一</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15"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C0202100C020</w:t>
            </w:r>
          </w:p>
        </w:tc>
        <w:tc>
          <w:tcPr>
            <w:tcW w:w="15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258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46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1817" w:type="dxa"/>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技术合同登记机构具有迟报、拒报或者提供不真实统计材料三种情形中的两种以上</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撤销登记机构并公告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5"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C0202200C010</w:t>
            </w:r>
          </w:p>
        </w:tc>
        <w:tc>
          <w:tcPr>
            <w:tcW w:w="15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C（社会危害性轻微）</w:t>
            </w:r>
          </w:p>
        </w:tc>
        <w:tc>
          <w:tcPr>
            <w:tcW w:w="12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技术合同登记机构泄漏当事人商业秘密</w:t>
            </w:r>
          </w:p>
        </w:tc>
        <w:tc>
          <w:tcPr>
            <w:tcW w:w="258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《北京市技术市场条例》第二十九条第二款：技术合同登记机构及其工作人员对涉及国家秘密及当事人商业秘密的技术合同，应当承担保密义务。</w:t>
            </w:r>
          </w:p>
        </w:tc>
        <w:tc>
          <w:tcPr>
            <w:tcW w:w="463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《北京市技术市场条例》第三十六条第四项：</w:t>
            </w:r>
          </w:p>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违反本条例规定，技术合同登记机构有下列行为之一的，市科学技术部门应当予以警告并责令其限期改正；情节严重的，予以撤销并公告：……（四）泄漏当事人商业秘密的。</w:t>
            </w:r>
          </w:p>
        </w:tc>
        <w:tc>
          <w:tcPr>
            <w:tcW w:w="1817" w:type="dxa"/>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技术合同登记机构泄漏当事人商业秘密，未给当事人造成实际损失</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5" w:hRule="atLeast"/>
        </w:trPr>
        <w:tc>
          <w:tcPr>
            <w:tcW w:w="1066" w:type="dxa"/>
            <w:noWrap w:val="0"/>
            <w:vAlign w:val="center"/>
          </w:tcPr>
          <w:p>
            <w:pPr>
              <w:keepNext w:val="0"/>
              <w:keepLines w:val="0"/>
              <w:pageBreakBefore w:val="0"/>
              <w:kinsoku/>
              <w:wordWrap/>
              <w:overflowPunct/>
              <w:topLinePunct w:val="0"/>
              <w:autoSpaceDE/>
              <w:autoSpaceDN/>
              <w:bidi w:val="0"/>
              <w:adjustRightInd/>
              <w:snapToGrid/>
              <w:spacing w:after="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C0202200C020</w:t>
            </w:r>
          </w:p>
        </w:tc>
        <w:tc>
          <w:tcPr>
            <w:tcW w:w="156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258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46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p>
        </w:tc>
        <w:tc>
          <w:tcPr>
            <w:tcW w:w="1817" w:type="dxa"/>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技术合同登记机构泄漏当事人商业秘密，给当事人造成实际损失</w:t>
            </w:r>
            <w:r>
              <w:rPr>
                <w:rFonts w:hint="eastAsia" w:ascii="仿宋_GB2312" w:hAnsi="仿宋_GB2312" w:eastAsia="仿宋_GB2312" w:cs="仿宋_GB2312"/>
                <w:color w:val="000000"/>
                <w:sz w:val="24"/>
                <w:szCs w:val="24"/>
                <w:lang w:eastAsia="zh-CN"/>
              </w:rPr>
              <w:t>。</w:t>
            </w:r>
          </w:p>
        </w:tc>
        <w:tc>
          <w:tcPr>
            <w:tcW w:w="1716" w:type="dxa"/>
            <w:noWrap w:val="0"/>
            <w:vAlign w:val="center"/>
          </w:tcPr>
          <w:p>
            <w:pPr>
              <w:keepNext w:val="0"/>
              <w:keepLines w:val="0"/>
              <w:pageBreakBefore w:val="0"/>
              <w:widowControl w:val="0"/>
              <w:kinsoku/>
              <w:wordWrap/>
              <w:overflowPunct/>
              <w:topLinePunct w:val="0"/>
              <w:autoSpaceDE/>
              <w:autoSpaceDN/>
              <w:bidi w:val="0"/>
              <w:adjustRightInd/>
              <w:snapToGrid/>
              <w:spacing w:after="0" w:line="279" w:lineRule="auto"/>
              <w:jc w:val="both"/>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撤销登记机构并公告</w:t>
            </w:r>
          </w:p>
        </w:tc>
      </w:tr>
    </w:tbl>
    <w:p>
      <w:r>
        <w:br w:type="page"/>
      </w:r>
    </w:p>
    <w:p>
      <w:pPr>
        <w:pStyle w:val="2"/>
        <w:widowControl/>
        <w:spacing w:before="0" w:beforeAutospacing="0" w:after="0" w:afterAutospacing="0" w:line="360" w:lineRule="atLeast"/>
        <w:jc w:val="center"/>
        <w:rPr>
          <w:rFonts w:hint="eastAsia" w:ascii="宋体" w:hAnsi="宋体" w:cs="宋体"/>
          <w:color w:val="000000"/>
          <w:kern w:val="0"/>
          <w:sz w:val="24"/>
          <w:lang w:bidi="ar"/>
        </w:rPr>
      </w:pPr>
      <w:r>
        <w:rPr>
          <w:rFonts w:hint="eastAsia" w:ascii="黑体" w:hAnsi="黑体" w:eastAsia="黑体" w:cs="黑体"/>
          <w:b w:val="0"/>
          <w:bCs w:val="0"/>
          <w:color w:val="000000"/>
          <w:kern w:val="0"/>
          <w:sz w:val="32"/>
          <w:szCs w:val="32"/>
          <w:lang w:val="en-US" w:eastAsia="zh-CN"/>
        </w:rPr>
        <w:t xml:space="preserve"> </w:t>
      </w:r>
    </w:p>
    <w:p>
      <w:pPr>
        <w:pStyle w:val="2"/>
        <w:widowControl/>
        <w:spacing w:before="0" w:beforeAutospacing="0" w:after="0" w:afterAutospacing="0" w:line="360" w:lineRule="atLeast"/>
        <w:rPr>
          <w:rFonts w:cs="宋体"/>
          <w:color w:val="000000"/>
          <w:kern w:val="0"/>
          <w:sz w:val="32"/>
          <w:szCs w:val="32"/>
        </w:rPr>
        <w:sectPr>
          <w:pgSz w:w="16838" w:h="11906" w:orient="landscape"/>
          <w:pgMar w:top="1406" w:right="1440" w:bottom="1474" w:left="1440" w:header="851" w:footer="992" w:gutter="0"/>
          <w:pgNumType w:fmt="decimal"/>
          <w:cols w:space="720" w:num="1"/>
          <w:docGrid w:type="lines" w:linePitch="312" w:charSpace="0"/>
        </w:sectPr>
      </w:pPr>
    </w:p>
    <w:p/>
    <w:sectPr>
      <w:pgSz w:w="16838" w:h="11906" w:orient="landscape"/>
      <w:pgMar w:top="1406" w:right="1440" w:bottom="180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7F00A"/>
    <w:rsid w:val="3FA7F00A"/>
    <w:rsid w:val="DEFDD2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spacing w:after="160" w:line="278" w:lineRule="auto"/>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2.33333333333333</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2026-07-14T17:21:00Z</dcterms:created>
  <dc:creator>uos</dc:creator>
  <cp:lastModifiedBy>uos</cp:lastModifiedBy>
  <dcterms:modified xsi:type="dcterms:W3CDTF">2026-07-14T09:27:00Z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