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after="156" w:afterLines="50" w:line="560" w:lineRule="exact"/>
        <w:jc w:val="center"/>
        <w:textAlignment w:val="baseline"/>
        <w:outlineLvl w:val="0"/>
        <w:rPr>
          <w:rFonts w:hint="eastAsia" w:ascii="Times New Roman" w:hAnsi="Times New Roman" w:eastAsia="方正小标宋简体" w:cs="方正小标宋简体"/>
          <w:bCs/>
          <w:snapToGrid w:val="0"/>
          <w:spacing w:val="-6"/>
          <w:kern w:val="0"/>
          <w:sz w:val="44"/>
          <w:szCs w:val="44"/>
          <w:lang w:val="en-US" w:eastAsia="zh-CN" w:bidi="he-IL"/>
        </w:rPr>
      </w:pPr>
      <w:r>
        <w:rPr>
          <w:rFonts w:hint="eastAsia" w:ascii="Times New Roman" w:hAnsi="Times New Roman" w:eastAsia="方正小标宋简体" w:cs="方正小标宋简体"/>
          <w:bCs/>
          <w:snapToGrid w:val="0"/>
          <w:spacing w:val="-6"/>
          <w:kern w:val="0"/>
          <w:sz w:val="44"/>
          <w:szCs w:val="44"/>
          <w:lang w:val="en-US" w:eastAsia="zh-CN" w:bidi="he-IL"/>
        </w:rPr>
        <w:t>北京市住房和城乡建设领域</w:t>
      </w:r>
    </w:p>
    <w:p>
      <w:pPr>
        <w:keepNext w:val="0"/>
        <w:keepLines w:val="0"/>
        <w:pageBreakBefore w:val="0"/>
        <w:widowControl/>
        <w:kinsoku w:val="0"/>
        <w:wordWrap/>
        <w:overflowPunct/>
        <w:topLinePunct w:val="0"/>
        <w:autoSpaceDE w:val="0"/>
        <w:autoSpaceDN w:val="0"/>
        <w:bidi w:val="0"/>
        <w:adjustRightInd w:val="0"/>
        <w:snapToGrid w:val="0"/>
        <w:spacing w:after="156" w:afterLines="50" w:line="560" w:lineRule="exact"/>
        <w:jc w:val="center"/>
        <w:textAlignment w:val="baseline"/>
        <w:outlineLvl w:val="0"/>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pacing w:val="9"/>
          <w:sz w:val="44"/>
          <w:szCs w:val="44"/>
        </w:rPr>
        <w:t>行政处罚信息信用修复提示</w:t>
      </w:r>
    </w:p>
    <w:p>
      <w:pPr>
        <w:spacing w:line="278" w:lineRule="auto"/>
        <w:rPr>
          <w:rFonts w:ascii="Arial" w:hAnsi="Arial"/>
          <w:sz w:val="21"/>
        </w:rPr>
      </w:pP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560" w:firstLineChars="200"/>
        <w:jc w:val="both"/>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根据《信用修复管理办法》</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2025年</w:t>
      </w:r>
      <w:r>
        <w:rPr>
          <w:rFonts w:hint="eastAsia" w:ascii="仿宋_GB2312" w:hAnsi="仿宋_GB2312" w:eastAsia="仿宋_GB2312" w:cs="仿宋_GB2312"/>
          <w:sz w:val="28"/>
          <w:szCs w:val="28"/>
        </w:rPr>
        <w:t>国家发展改革委令第</w:t>
      </w:r>
      <w:r>
        <w:rPr>
          <w:rFonts w:hint="eastAsia" w:ascii="仿宋_GB2312" w:hAnsi="仿宋_GB2312" w:eastAsia="仿宋_GB2312" w:cs="仿宋_GB2312"/>
          <w:sz w:val="28"/>
          <w:szCs w:val="28"/>
          <w:lang w:val="en-US" w:eastAsia="zh-CN"/>
        </w:rPr>
        <w:t>36</w:t>
      </w:r>
      <w:r>
        <w:rPr>
          <w:rFonts w:hint="eastAsia" w:ascii="仿宋_GB2312" w:hAnsi="仿宋_GB2312" w:eastAsia="仿宋_GB2312" w:cs="仿宋_GB2312"/>
          <w:sz w:val="28"/>
          <w:szCs w:val="28"/>
        </w:rPr>
        <w:t>号</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《市场监督管理信用修复管理办法》</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2025年国家市场监督管理总局令第107号</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，行政处罚信息可进行信用修复，现就有关事项提示如下</w:t>
      </w:r>
      <w:r>
        <w:rPr>
          <w:rFonts w:hint="eastAsia" w:ascii="仿宋_GB2312" w:hAnsi="仿宋_GB2312" w:eastAsia="仿宋_GB2312" w:cs="仿宋_GB2312"/>
          <w:sz w:val="28"/>
          <w:szCs w:val="28"/>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560" w:firstLineChars="200"/>
        <w:jc w:val="both"/>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1.行政处罚信息信用修复，适用于在国家、我市、各区“信用中国”网站公示的行政处罚信息。</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560" w:firstLineChars="200"/>
        <w:jc w:val="both"/>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2.市场主体行政处罚信息在满足最短公示期后，可自愿申请开展信用修复。</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560" w:firstLineChars="200"/>
        <w:jc w:val="both"/>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3.“信用中国”网站</w:t>
      </w:r>
      <w:r>
        <w:rPr>
          <w:rFonts w:hint="eastAsia" w:ascii="仿宋_GB2312" w:hAnsi="仿宋_GB2312" w:eastAsia="仿宋_GB2312" w:cs="仿宋_GB2312"/>
          <w:sz w:val="28"/>
          <w:szCs w:val="28"/>
          <w:lang w:eastAsia="zh-CN"/>
        </w:rPr>
        <w:t>（</w:t>
      </w:r>
      <w:r>
        <w:rPr>
          <w:rStyle w:val="10"/>
          <w:rFonts w:hint="eastAsia" w:ascii="仿宋_GB2312" w:hAnsi="仿宋_GB2312" w:eastAsia="仿宋_GB2312" w:cs="仿宋_GB2312"/>
          <w:sz w:val="28"/>
          <w:szCs w:val="28"/>
          <w:lang w:eastAsia="zh-CN"/>
        </w:rPr>
        <w:fldChar w:fldCharType="begin"/>
      </w:r>
      <w:r>
        <w:instrText xml:space="preserve">HYPERLINK "http://www.creditchina.gov.cn"</w:instrText>
      </w:r>
      <w:r>
        <w:rPr>
          <w:rStyle w:val="10"/>
          <w:rFonts w:hint="eastAsia" w:ascii="仿宋_GB2312" w:hAnsi="仿宋_GB2312" w:eastAsia="仿宋_GB2312" w:cs="仿宋_GB2312"/>
          <w:sz w:val="28"/>
          <w:szCs w:val="28"/>
          <w:lang w:eastAsia="zh-CN"/>
        </w:rPr>
        <w:fldChar w:fldCharType="separate"/>
      </w:r>
      <w:r>
        <w:rPr>
          <w:rStyle w:val="10"/>
          <w:rFonts w:hint="eastAsia" w:ascii="仿宋_GB2312" w:hAnsi="仿宋_GB2312" w:eastAsia="仿宋_GB2312" w:cs="仿宋_GB2312"/>
          <w:sz w:val="28"/>
          <w:szCs w:val="28"/>
          <w:lang w:eastAsia="zh-CN"/>
        </w:rPr>
        <w:t>www.creditchina.gov.cn</w:t>
      </w:r>
      <w:r>
        <w:rPr>
          <w:rStyle w:val="10"/>
          <w:rFonts w:hint="eastAsia" w:ascii="仿宋_GB2312" w:hAnsi="仿宋_GB2312" w:eastAsia="仿宋_GB2312" w:cs="仿宋_GB2312"/>
          <w:sz w:val="28"/>
          <w:szCs w:val="28"/>
          <w:lang w:eastAsia="zh-CN"/>
        </w:rPr>
        <w:fldChar w:fldCharType="end"/>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是全国统一信用修复平台，可受理我市全领域市场主体自愿提交的行政处罚信用修复申请，相关问题可咨询“信用中国”网站</w:t>
      </w:r>
      <w:r>
        <w:rPr>
          <w:rFonts w:hint="eastAsia" w:ascii="仿宋_GB2312" w:hAnsi="仿宋_GB2312" w:eastAsia="仿宋_GB2312" w:cs="仿宋_GB2312"/>
          <w:sz w:val="28"/>
          <w:szCs w:val="28"/>
          <w:lang w:eastAsia="zh-CN"/>
        </w:rPr>
        <w:t>。北京市</w:t>
      </w:r>
      <w:r>
        <w:rPr>
          <w:rFonts w:hint="eastAsia" w:ascii="仿宋_GB2312" w:hAnsi="仿宋_GB2312" w:eastAsia="仿宋_GB2312" w:cs="仿宋_GB2312"/>
          <w:sz w:val="28"/>
          <w:szCs w:val="28"/>
        </w:rPr>
        <w:t>住房和城乡建设领域行政处罚信息信用修复</w:t>
      </w:r>
      <w:r>
        <w:rPr>
          <w:rFonts w:hint="eastAsia" w:ascii="仿宋_GB2312" w:hAnsi="仿宋_GB2312" w:eastAsia="仿宋_GB2312" w:cs="仿宋_GB2312"/>
          <w:sz w:val="28"/>
          <w:szCs w:val="28"/>
          <w:lang w:eastAsia="zh-CN"/>
        </w:rPr>
        <w:t>可咨询处罚机关；</w:t>
      </w:r>
      <w:r>
        <w:rPr>
          <w:rFonts w:hint="eastAsia" w:ascii="仿宋_GB2312" w:hAnsi="仿宋_GB2312" w:eastAsia="仿宋_GB2312" w:cs="仿宋_GB2312"/>
          <w:sz w:val="28"/>
          <w:szCs w:val="28"/>
        </w:rPr>
        <w:t>区</w:t>
      </w:r>
      <w:r>
        <w:rPr>
          <w:rFonts w:hint="eastAsia" w:ascii="仿宋_GB2312" w:hAnsi="仿宋_GB2312" w:eastAsia="仿宋_GB2312" w:cs="仿宋_GB2312"/>
          <w:sz w:val="28"/>
          <w:szCs w:val="28"/>
          <w:lang w:eastAsia="zh-CN"/>
        </w:rPr>
        <w:t>住房城乡（市）建设委</w:t>
      </w:r>
      <w:r>
        <w:rPr>
          <w:rFonts w:hint="eastAsia" w:ascii="仿宋_GB2312" w:hAnsi="仿宋_GB2312" w:eastAsia="仿宋_GB2312" w:cs="仿宋_GB2312"/>
          <w:sz w:val="28"/>
          <w:szCs w:val="28"/>
        </w:rPr>
        <w:t>咨询电话</w:t>
      </w:r>
      <w:r>
        <w:rPr>
          <w:rFonts w:hint="eastAsia" w:ascii="仿宋_GB2312" w:hAnsi="仿宋_GB2312" w:eastAsia="仿宋_GB2312" w:cs="仿宋_GB2312"/>
          <w:sz w:val="28"/>
          <w:szCs w:val="28"/>
          <w:u w:val="single"/>
          <w:lang w:val="en-US" w:eastAsia="zh-CN"/>
        </w:rPr>
        <w:t>01069541443；（执法科室办公电话）</w:t>
      </w:r>
      <w:r>
        <w:rPr>
          <w:rFonts w:hint="eastAsia" w:ascii="仿宋_GB2312" w:hAnsi="仿宋_GB2312" w:eastAsia="仿宋_GB2312" w:cs="仿宋_GB2312"/>
          <w:sz w:val="28"/>
          <w:szCs w:val="28"/>
          <w:u w:val="none"/>
          <w:lang w:val="en-US" w:eastAsia="zh-CN"/>
        </w:rPr>
        <w:t>,市住房和城乡建设委咨询电话010-55597233</w:t>
      </w:r>
      <w:r>
        <w:rPr>
          <w:rFonts w:hint="eastAsia" w:ascii="仿宋_GB2312" w:hAnsi="仿宋_GB2312" w:eastAsia="仿宋_GB2312" w:cs="仿宋_GB2312"/>
          <w:sz w:val="28"/>
          <w:szCs w:val="28"/>
        </w:rPr>
        <w:t>。</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560" w:firstLineChars="200"/>
        <w:jc w:val="both"/>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4.“信用中国”网站对申请材料进行形式审查，满足最短公示期</w:t>
      </w:r>
      <w:r>
        <w:rPr>
          <w:rFonts w:hint="eastAsia" w:ascii="仿宋_GB2312" w:hAnsi="仿宋_GB2312" w:eastAsia="仿宋_GB2312" w:cs="仿宋_GB2312"/>
          <w:sz w:val="28"/>
          <w:szCs w:val="28"/>
          <w:lang w:eastAsia="zh-CN"/>
        </w:rPr>
        <w:t>且</w:t>
      </w:r>
      <w:r>
        <w:rPr>
          <w:rFonts w:hint="eastAsia" w:ascii="仿宋_GB2312" w:hAnsi="仿宋_GB2312" w:eastAsia="仿宋_GB2312" w:cs="仿宋_GB2312"/>
          <w:sz w:val="28"/>
          <w:szCs w:val="28"/>
        </w:rPr>
        <w:t>材料齐全</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信用修复经办人授权委托书或法定代表人身份证明书、履行行政处罚义务证明材料、信用修复承诺书等</w:t>
      </w:r>
      <w:r>
        <w:rPr>
          <w:rFonts w:hint="eastAsia" w:ascii="仿宋_GB2312" w:hAnsi="仿宋_GB2312" w:eastAsia="仿宋_GB2312" w:cs="仿宋_GB2312"/>
          <w:sz w:val="28"/>
          <w:szCs w:val="28"/>
          <w:lang w:eastAsia="zh-CN"/>
        </w:rPr>
        <w:t>）并</w:t>
      </w:r>
      <w:r>
        <w:rPr>
          <w:rFonts w:hint="eastAsia" w:ascii="仿宋_GB2312" w:hAnsi="仿宋_GB2312" w:eastAsia="仿宋_GB2312" w:cs="仿宋_GB2312"/>
          <w:sz w:val="28"/>
          <w:szCs w:val="28"/>
        </w:rPr>
        <w:t>符合要求的，予以受理</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材料不齐全或者不符合要求的，在规定时限内告知市场主体予以补正，补正后符合要求的，予以受理，确定是否可以提前终止公示</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对不予提前终止公示的，应当说明理由。</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560" w:firstLineChars="200"/>
        <w:jc w:val="both"/>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.“信用中国”网站</w:t>
      </w:r>
      <w:r>
        <w:rPr>
          <w:rFonts w:hint="eastAsia" w:ascii="仿宋_GB2312" w:hAnsi="仿宋_GB2312" w:eastAsia="仿宋_GB2312" w:cs="仿宋_GB2312"/>
          <w:sz w:val="28"/>
          <w:szCs w:val="28"/>
          <w:lang w:eastAsia="zh-CN"/>
        </w:rPr>
        <w:t>（</w:t>
      </w:r>
      <w:r>
        <w:rPr>
          <w:rStyle w:val="11"/>
          <w:rFonts w:hint="eastAsia" w:ascii="仿宋_GB2312" w:hAnsi="仿宋_GB2312" w:eastAsia="仿宋_GB2312" w:cs="仿宋_GB2312"/>
          <w:sz w:val="28"/>
          <w:szCs w:val="28"/>
          <w:lang w:eastAsia="zh-CN"/>
        </w:rPr>
        <w:fldChar w:fldCharType="begin"/>
      </w:r>
      <w:r>
        <w:instrText xml:space="preserve">HYPERLINK "http://www.creditchina.gov.cn"</w:instrText>
      </w:r>
      <w:r>
        <w:rPr>
          <w:rStyle w:val="11"/>
          <w:rFonts w:hint="eastAsia" w:ascii="仿宋_GB2312" w:hAnsi="仿宋_GB2312" w:eastAsia="仿宋_GB2312" w:cs="仿宋_GB2312"/>
          <w:sz w:val="28"/>
          <w:szCs w:val="28"/>
          <w:lang w:eastAsia="zh-CN"/>
        </w:rPr>
        <w:fldChar w:fldCharType="separate"/>
      </w:r>
      <w:r>
        <w:rPr>
          <w:rStyle w:val="11"/>
          <w:rFonts w:hint="eastAsia" w:ascii="仿宋_GB2312" w:hAnsi="仿宋_GB2312" w:eastAsia="仿宋_GB2312" w:cs="仿宋_GB2312"/>
          <w:sz w:val="28"/>
          <w:szCs w:val="28"/>
          <w:lang w:eastAsia="zh-CN"/>
        </w:rPr>
        <w:t>www.creditchina.gov.cn</w:t>
      </w:r>
      <w:r>
        <w:rPr>
          <w:rStyle w:val="11"/>
          <w:rFonts w:hint="eastAsia" w:ascii="仿宋_GB2312" w:hAnsi="仿宋_GB2312" w:eastAsia="仿宋_GB2312" w:cs="仿宋_GB2312"/>
          <w:sz w:val="28"/>
          <w:szCs w:val="28"/>
          <w:lang w:eastAsia="zh-CN"/>
        </w:rPr>
        <w:fldChar w:fldCharType="end"/>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信用修复不收取任何费用。</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560" w:firstLineChars="200"/>
        <w:jc w:val="both"/>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6.北京市住房和城乡建设领域行政违法行为分类目录及公示期要求、行政处罚信息信用修复的条件、申请渠道、受理流程、应提交文件材料及模板，请按照</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北京市住房和城乡建设委员会关于印发</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行政违法行为分类目录</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的通知</w:t>
      </w:r>
      <w:r>
        <w:rPr>
          <w:rFonts w:hint="eastAsia" w:ascii="仿宋_GB2312" w:hAnsi="仿宋_GB2312" w:eastAsia="仿宋_GB2312" w:cs="仿宋_GB2312"/>
          <w:sz w:val="28"/>
          <w:szCs w:val="28"/>
          <w:lang w:eastAsia="zh-CN"/>
        </w:rPr>
        <w:t>》（京建法〔2021〕7号）文件以及北京市住房和城乡建设委员会制定的关于北京市住房城乡建设系统行政处罚裁量基准部分条款的通知等规定执行，文件已在市住房和城乡建设委官方网站公开。</w:t>
      </w:r>
    </w:p>
    <w:p>
      <w:pPr>
        <w:pStyle w:val="15"/>
        <w:keepNext w:val="0"/>
        <w:keepLines w:val="0"/>
        <w:pageBreakBefore w:val="0"/>
        <w:widowControl w:val="0"/>
        <w:kinsoku/>
        <w:wordWrap/>
        <w:overflowPunct/>
        <w:topLinePunct w:val="0"/>
        <w:autoSpaceDE/>
        <w:autoSpaceDN/>
        <w:adjustRightInd/>
        <w:snapToGrid/>
        <w:ind w:left="0" w:firstLine="0" w:firstLineChars="0"/>
        <w:jc w:val="both"/>
        <w:textAlignment w:val="auto"/>
        <w:rPr>
          <w:spacing w:val="0"/>
          <w:lang w:val="en-US" w:eastAsia="zh-CN"/>
        </w:rPr>
      </w:pPr>
    </w:p>
    <w:p>
      <w:pPr>
        <w:pStyle w:val="15"/>
        <w:keepNext w:val="0"/>
        <w:keepLines w:val="0"/>
        <w:pageBreakBefore w:val="0"/>
        <w:widowControl w:val="0"/>
        <w:kinsoku/>
        <w:wordWrap w:val="0"/>
        <w:overflowPunct/>
        <w:topLinePunct w:val="0"/>
        <w:autoSpaceDE/>
        <w:autoSpaceDN/>
        <w:adjustRightInd/>
        <w:snapToGrid/>
        <w:ind w:firstLine="3360" w:firstLineChars="1200"/>
        <w:jc w:val="both"/>
        <w:textAlignment w:val="auto"/>
        <w:rPr>
          <w:spacing w:val="0"/>
          <w:lang w:val="en-US" w:eastAsia="zh-CN"/>
        </w:rPr>
      </w:pPr>
      <w:r>
        <w:rPr>
          <w:rFonts w:hint="eastAsia" w:cs="仿宋_GB2312"/>
          <w:sz w:val="28"/>
          <w:szCs w:val="28"/>
          <w:lang w:val="en-US" w:eastAsia="zh-CN"/>
        </w:rPr>
        <w:t xml:space="preserve">北京中邦置地房地产经纪有限公司 </w:t>
      </w:r>
      <w:r>
        <w:rPr>
          <w:rFonts w:hint="eastAsia"/>
          <w:spacing w:val="0"/>
          <w:lang w:val="en-US" w:eastAsia="zh-CN"/>
        </w:rPr>
        <w:t xml:space="preserve">   </w:t>
      </w:r>
    </w:p>
    <w:p>
      <w:pPr>
        <w:wordWrap w:val="0"/>
        <w:ind w:firstLine="4480" w:firstLineChars="1600"/>
        <w:jc w:val="both"/>
      </w:pPr>
      <w:r>
        <w:rPr>
          <w:rFonts w:hint="eastAsia" w:ascii="仿宋_GB2312" w:hAnsi="仿宋_GB2312" w:eastAsia="仿宋_GB2312" w:cs="仿宋_GB2312"/>
          <w:sz w:val="28"/>
          <w:szCs w:val="28"/>
          <w:lang w:val="en-US" w:eastAsia="zh-CN"/>
        </w:rPr>
        <w:t>2026</w:t>
      </w:r>
      <w:r>
        <w:rPr>
          <w:rFonts w:hint="eastAsia" w:ascii="仿宋_GB2312" w:hAnsi="仿宋_GB2312" w:eastAsia="仿宋_GB2312" w:cs="仿宋_GB2312"/>
          <w:sz w:val="28"/>
          <w:szCs w:val="28"/>
          <w:lang w:eastAsia="zh-CN"/>
        </w:rPr>
        <w:t>年</w:t>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lang w:eastAsia="zh-CN"/>
        </w:rPr>
        <w:t>月</w:t>
      </w:r>
      <w:r>
        <w:rPr>
          <w:rFonts w:hint="eastAsia" w:ascii="仿宋_GB2312" w:hAnsi="仿宋_GB2312" w:eastAsia="仿宋_GB2312" w:cs="仿宋_GB2312"/>
          <w:sz w:val="28"/>
          <w:szCs w:val="28"/>
          <w:lang w:val="en-US" w:eastAsia="zh-CN"/>
        </w:rPr>
        <w:t>28</w:t>
      </w:r>
      <w:r>
        <w:rPr>
          <w:rFonts w:hint="eastAsia" w:ascii="仿宋_GB2312" w:hAnsi="仿宋_GB2312" w:eastAsia="仿宋_GB2312" w:cs="仿宋_GB2312"/>
          <w:sz w:val="28"/>
          <w:szCs w:val="28"/>
          <w:lang w:eastAsia="zh-CN"/>
        </w:rPr>
        <w:t xml:space="preserve">日 </w:t>
      </w:r>
      <w:r>
        <w:rPr>
          <w:spacing w:val="0"/>
          <w:lang w:val="en-US" w:eastAsia="zh-CN"/>
        </w:rPr>
        <w:t xml:space="preserve">         </w:t>
      </w:r>
      <w:bookmarkStart w:id="0" w:name="_GoBack"/>
      <w:bookmarkEnd w:id="0"/>
    </w:p>
    <w:sectPr>
      <w:footerReference r:id="rId5" w:type="default"/>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Lucida Sans">
    <w:altName w:val="Lucida Sans Unicode"/>
    <w:panose1 w:val="020B0602030504020204"/>
    <w:charset w:val="00"/>
    <w:family w:val="auto"/>
    <w:pitch w:val="default"/>
    <w:sig w:usb0="00000000" w:usb1="00000000" w:usb2="00000000" w:usb3="00000000" w:csb0="2000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Lucida Sans Unicode">
    <w:panose1 w:val="020B0602030504020204"/>
    <w:charset w:val="00"/>
    <w:family w:val="auto"/>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888365" cy="147955"/>
              <wp:effectExtent l="0" t="0" r="0" b="0"/>
              <wp:wrapNone/>
              <wp:docPr id="1" name="文本框 1"/>
              <wp:cNvGraphicFramePr/>
              <a:graphic xmlns:a="http://schemas.openxmlformats.org/drawingml/2006/main">
                <a:graphicData uri="http://schemas.microsoft.com/office/word/2010/wordprocessingShape">
                  <wps:wsp>
                    <wps:cNvSpPr/>
                    <wps:spPr>
                      <a:xfrm>
                        <a:off x="0" y="0"/>
                        <a:ext cx="888392" cy="148232"/>
                      </a:xfrm>
                      <a:prstGeom prst="rect">
                        <a:avLst/>
                      </a:prstGeom>
                      <a:noFill/>
                      <a:ln w="6350" cap="flat" cmpd="sng">
                        <a:noFill/>
                        <a:prstDash val="solid"/>
                        <a:round/>
                      </a:ln>
                      <a:effectLst/>
                    </wps:spPr>
                    <wps:txbx>
                      <w:txbxContent>
                        <w:p>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w:t>
                          </w:r>
                          <w:r>
                            <w:fldChar w:fldCharType="end"/>
                          </w:r>
                          <w:r>
                            <w:t xml:space="preserve"> 页</w:t>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11.65pt;width:69.95pt;mso-position-horizontal:center;mso-position-horizontal-relative:margin;mso-wrap-style:none;z-index:251659264;mso-width-relative:page;mso-height-relative:page;" filled="f" stroked="f" coordsize="21600,21600" o:gfxdata="UEsDBAoAAAAAAIdO4kAAAAAAAAAAAAAAAAAEAAAAZHJzL1BLAwQUAAAACACHTuJApbqw4NgAAAAE&#10;AQAADwAAAGRycy9kb3ducmV2LnhtbE2PQUvDQBCF70L/wzIFL8XuNgGxMZseWlQQPTQWwds2O82G&#10;ZmdjdptUf71bL3oZeLzHe9/kq7Nt2YC9bxxJWMwFMKTK6YZqCbu3h5s7YD4o0qp1hBK+0MOqmFzl&#10;KtNupC0OZahZLCGfKQkmhC7j3FcGrfJz1yFF7+B6q0KUfc11r8ZYblueCHHLrWooLhjV4dpgdSxP&#10;VsLL5vHjfWaeRfL6PTu4sdwNn09HKa+nC3EPLOA5/IXhgh/RoYhMe3ci7VkrIT4Sfu/FS5dLYHsJ&#10;SZoCL3L+H774AVBLAwQUAAAACACHTuJAYToCCgkCAAACBAAADgAAAGRycy9lMm9Eb2MueG1srVNL&#10;btswEN0X6B0I7mv50wauYDkIaqQoULQB0h6ApiiLAH+YoS25B2hv0FU33fdcPkeGlD9BuskiG2lI&#10;Dt/Me/O4uO6tYTsFqL2r+GQ05kw56WvtNhX//u32zZwzjMLVwninKr5XyK+Xr18tulCqqW+9qRUw&#10;AnFYdqHibYyhLAqUrbICRz4oR4eNBysiLWFT1CA6QremmI7HV0XnoQ7gpUKk3dVwyI+I8BxA3zRa&#10;qpWXW6tcHFBBGRGJErY6IF/mbptGyfi1aVBFZipOTGP+UhGK1+lbLBei3IAIrZbHFsRzWnjCyQrt&#10;qOgZaiWiYFvQ/0FZLcGjb+JIelsMRLIixGIyfqLNfSuCylxIagxn0fHlYOWX3R0wXZMTOHPC0sAP&#10;v38d/vw7/P3JJkmeLmBJWffhDo4rpDBx7Ruw6U8sWJ8l3Z8lVX1kkjbn8/ns/ZQzSUeTt/PpbJow&#10;i8vlABg/Km9ZCioONLEspNh9xjiknlJSLedvtTG0L0rjWFfxq9k7mqUU5MSGHEChDcQG3SbDPMpP&#10;MCuBLdsJMgN6o+th/OC3rh5KGZeQVTbOsX7iPzBOUezXPaWmcO3rPWlHT4n6bj384KwjI1Xc0bvh&#10;zHxyNKfkuVMAp2B9CoSTdLHi1PYQfoiDN7cB9KYl3HFmgeFmG4l5FuRSm4RMC7JGlvRo4+S9x+uc&#10;dXm6yw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lurDg2AAAAAQBAAAPAAAAAAAAAAEAIAAAACIA&#10;AABkcnMvZG93bnJldi54bWxQSwECFAAUAAAACACHTuJAYToCCgkCAAACBAAADgAAAAAAAAABACAA&#10;AAAnAQAAZHJzL2Uyb0RvYy54bWxQSwUGAAAAAAYABgBZAQAAogUAAAAA&#10;">
              <v:fill on="f" focussize="0,0"/>
              <v:stroke on="f" weight="0.5pt" joinstyle="round"/>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w:t>
                    </w:r>
                    <w:r>
                      <w:fldChar w:fldCharType="end"/>
                    </w:r>
                    <w:r>
                      <w:t xml:space="preserve"> 页</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doNotUseIndentAsNumberingTabStop/>
    <w:compatSetting w:name="compatibilityMode" w:uri="http://schemas.microsoft.com/office/word" w:val="14"/>
  </w:compat>
  <w:rsids>
    <w:rsidRoot w:val="00000000"/>
    <w:rsid w:val="0F2243E3"/>
    <w:rsid w:val="72033061"/>
    <w:rsid w:val="7EB50B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zh-CN" w:bidi="ar-SA"/>
    </w:rPr>
  </w:style>
  <w:style w:type="paragraph" w:styleId="2">
    <w:name w:val="heading 1"/>
    <w:basedOn w:val="1"/>
    <w:next w:val="1"/>
    <w:link w:val="12"/>
    <w:qFormat/>
    <w:uiPriority w:val="0"/>
    <w:pPr>
      <w:spacing w:before="100" w:beforeAutospacing="1" w:after="100" w:afterAutospacing="1"/>
      <w:jc w:val="left"/>
      <w:outlineLvl w:val="0"/>
    </w:pPr>
    <w:rPr>
      <w:rFonts w:ascii="宋体" w:hAnsi="宋体" w:eastAsia="宋体" w:cs="宋体"/>
      <w:b/>
      <w:kern w:val="44"/>
      <w:sz w:val="48"/>
      <w:szCs w:val="48"/>
      <w:lang w:val="en-US" w:eastAsia="zh-CN"/>
    </w:rPr>
  </w:style>
  <w:style w:type="paragraph" w:styleId="3">
    <w:name w:val="heading 2"/>
    <w:basedOn w:val="1"/>
    <w:next w:val="1"/>
    <w:link w:val="13"/>
    <w:qFormat/>
    <w:uiPriority w:val="0"/>
    <w:pPr>
      <w:keepNext/>
      <w:keepLines/>
      <w:spacing w:before="260" w:after="260" w:line="415" w:lineRule="auto"/>
      <w:outlineLvl w:val="1"/>
    </w:pPr>
    <w:rPr>
      <w:rFonts w:ascii="宋体" w:hAnsi="宋体" w:eastAsia="黑体"/>
      <w:b/>
      <w:bCs/>
      <w:sz w:val="32"/>
      <w:szCs w:val="32"/>
    </w:rPr>
  </w:style>
  <w:style w:type="paragraph" w:styleId="4">
    <w:name w:val="heading 3"/>
    <w:basedOn w:val="1"/>
    <w:next w:val="1"/>
    <w:link w:val="14"/>
    <w:qFormat/>
    <w:uiPriority w:val="0"/>
    <w:pPr>
      <w:keepNext/>
      <w:keepLines/>
      <w:spacing w:before="260" w:after="260" w:line="415" w:lineRule="auto"/>
      <w:outlineLvl w:val="2"/>
    </w:pPr>
    <w:rPr>
      <w:b/>
      <w:bCs/>
      <w:sz w:val="32"/>
      <w:szCs w:val="32"/>
    </w:rPr>
  </w:style>
  <w:style w:type="character" w:default="1" w:styleId="9">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rPr>
      <w:rFonts w:ascii="仿宋" w:hAnsi="仿宋" w:eastAsia="仿宋" w:cs="仿宋"/>
      <w:sz w:val="31"/>
      <w:szCs w:val="31"/>
      <w:lang w:val="en-US" w:bidi="ar-SA"/>
    </w:rPr>
  </w:style>
  <w:style w:type="paragraph" w:styleId="6">
    <w:name w:val="footer"/>
    <w:basedOn w:val="1"/>
    <w:qFormat/>
    <w:uiPriority w:val="0"/>
    <w:pPr>
      <w:tabs>
        <w:tab w:val="center" w:pos="4153"/>
        <w:tab w:val="right" w:pos="8306"/>
      </w:tabs>
      <w:adjustRightInd w:val="0"/>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adjustRightInd w:val="0"/>
      <w:snapToGrid w:val="0"/>
      <w:spacing w:line="240" w:lineRule="auto"/>
      <w:jc w:val="both"/>
      <w:outlineLvl w:val="9"/>
    </w:pPr>
    <w:rPr>
      <w:sz w:val="18"/>
    </w:rPr>
  </w:style>
  <w:style w:type="character" w:styleId="10">
    <w:name w:val="FollowedHyperlink"/>
    <w:basedOn w:val="9"/>
    <w:qFormat/>
    <w:uiPriority w:val="0"/>
    <w:rPr>
      <w:color w:val="800080"/>
      <w:u w:val="single"/>
    </w:rPr>
  </w:style>
  <w:style w:type="character" w:styleId="11">
    <w:name w:val="Hyperlink"/>
    <w:basedOn w:val="9"/>
    <w:qFormat/>
    <w:uiPriority w:val="0"/>
    <w:rPr>
      <w:color w:val="0000FF"/>
      <w:u w:val="single"/>
    </w:rPr>
  </w:style>
  <w:style w:type="character" w:customStyle="1" w:styleId="12">
    <w:name w:val="heading 1 Char"/>
    <w:basedOn w:val="9"/>
    <w:link w:val="2"/>
    <w:qFormat/>
    <w:uiPriority w:val="0"/>
    <w:rPr>
      <w:rFonts w:ascii="宋体" w:hAnsi="宋体" w:eastAsia="宋体" w:cs="宋体"/>
      <w:b/>
      <w:snapToGrid w:val="0"/>
      <w:color w:val="000000"/>
      <w:kern w:val="44"/>
      <w:sz w:val="48"/>
      <w:szCs w:val="48"/>
      <w:lang w:val="en-US" w:eastAsia="zh-CN" w:bidi="ar-SA"/>
    </w:rPr>
  </w:style>
  <w:style w:type="character" w:customStyle="1" w:styleId="13">
    <w:name w:val="heading 2 Char"/>
    <w:basedOn w:val="9"/>
    <w:link w:val="3"/>
    <w:qFormat/>
    <w:uiPriority w:val="0"/>
    <w:rPr>
      <w:rFonts w:ascii="宋体" w:hAnsi="Arial" w:eastAsia="黑体" w:cs="Arial"/>
      <w:b/>
      <w:bCs/>
      <w:snapToGrid w:val="0"/>
      <w:color w:val="000000"/>
      <w:kern w:val="0"/>
      <w:sz w:val="32"/>
      <w:szCs w:val="32"/>
      <w:lang w:val="en-US" w:bidi="ar-SA"/>
    </w:rPr>
  </w:style>
  <w:style w:type="character" w:customStyle="1" w:styleId="14">
    <w:name w:val="heading 3 Char"/>
    <w:basedOn w:val="9"/>
    <w:link w:val="4"/>
    <w:qFormat/>
    <w:uiPriority w:val="0"/>
    <w:rPr>
      <w:rFonts w:ascii="Arial" w:hAnsi="Arial" w:eastAsia="Arial" w:cs="Arial"/>
      <w:b/>
      <w:bCs/>
      <w:snapToGrid w:val="0"/>
      <w:color w:val="000000"/>
      <w:kern w:val="0"/>
      <w:sz w:val="32"/>
      <w:szCs w:val="32"/>
      <w:lang w:val="en-US" w:bidi="ar-SA"/>
    </w:rPr>
  </w:style>
  <w:style w:type="paragraph" w:customStyle="1" w:styleId="15">
    <w:name w:val="样式1"/>
    <w:basedOn w:val="1"/>
    <w:qFormat/>
    <w:uiPriority w:val="0"/>
    <w:pPr>
      <w:spacing w:line="560" w:lineRule="exact"/>
      <w:ind w:firstLine="200" w:firstLineChars="200"/>
    </w:pPr>
    <w:rPr>
      <w:rFonts w:ascii="仿宋_GB2312" w:hAnsi="仿宋_GB2312" w:eastAsia="仿宋_GB2312" w:cs="Times New Roman"/>
      <w:sz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ap="flat" cmpd="sng">
          <a:solidFill>
            <a:schemeClr val="phClr">
              <a:shade val="95000"/>
              <a:satMod val="105000"/>
            </a:schemeClr>
          </a:solidFill>
          <a:prstDash val="solid"/>
          <a:round/>
        </a:ln>
        <a:ln w="25400" cap="flat" cmpd="sng">
          <a:solidFill>
            <a:schemeClr val="phClr"/>
          </a:solidFill>
          <a:prstDash val="solid"/>
          <a:round/>
        </a:ln>
        <a:ln w="38100" cap="flat" cmpd="sng">
          <a:solidFill>
            <a:schemeClr val="phClr"/>
          </a:solidFill>
          <a:prstDash val="solid"/>
          <a:round/>
        </a:ln>
      </a:lnStyleLst>
      <a:effectStyleLst>
        <a:effectStyle>
          <a:effectLst>
            <a:outerShdw blurRad="40000" dist="20000" dir="5400000" rotWithShape="0">
              <a:srgbClr val="000000">
                <a:alpha val="37647"/>
              </a:srgbClr>
            </a:outerShdw>
          </a:effectLst>
        </a:effectStyle>
        <a:effectStyle>
          <a:effectLst>
            <a:outerShdw blurRad="40000" dist="23000" dir="5400000" rotWithShape="0">
              <a:srgbClr val="000000">
                <a:alpha val="34509"/>
              </a:srgbClr>
            </a:outerShdw>
          </a:effectLst>
        </a:effectStyle>
        <a:effectStyle>
          <a:effectLst>
            <a:outerShdw blurRad="40000" dist="23000" dir="5400000" rotWithShape="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50000" r="50000" b="5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ustomData xmlns="http://www.yozosoft.com.cn/officeDocument/2016/customData">
  <customProps>
    <docPr revisions="3 0 5 0 0 0 1 0 0 0 26650 1 1 1 1 1"/>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2DD3C4C-C381-4078-93FB-CF020207565C}">
  <ds:schemaRefs/>
</ds:datastoreItem>
</file>

<file path=docProps/app.xml><?xml version="1.0" encoding="utf-8"?>
<Properties xmlns="http://schemas.openxmlformats.org/officeDocument/2006/extended-properties" xmlns:vt="http://schemas.openxmlformats.org/officeDocument/2006/docPropsVTypes">
  <Template>Normal.eit</Template>
  <Pages>1</Pages>
  <Words>0</Words>
  <Characters>623</Characters>
  <Lines>0</Lines>
  <Paragraphs>13</Paragraphs>
  <TotalTime>0</TotalTime>
  <ScaleCrop>false</ScaleCrop>
  <LinksUpToDate>false</LinksUpToDate>
  <CharactersWithSpaces>831</CharactersWithSpaces>
  <Application>WPS Office_11.8.2.12265_F1E327BC-269C-435d-A152-05C5408002CA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2025-04-13T08:33:00Z</dcterms:created>
  <dc:creator>小</dc:creator>
  <cp:lastModifiedBy>Annie</cp:lastModifiedBy>
  <cp:lastPrinted>2026-02-13T02:19:00Z</cp:lastPrinted>
  <dcterms:modified xsi:type="dcterms:W3CDTF">2026-09-30T03:56:22Z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2052-11.8.2.12265</vt:lpwstr>
  </property>
  <property fmtid="{D5CDD505-2E9C-101B-9397-08002B2CF9AE}" pid="3" name="ICV">
    <vt:lpwstr>71DD936244C54F53822E7B19CC7B5A5A_13</vt:lpwstr>
  </property>
  <property fmtid="{D5CDD505-2E9C-101B-9397-08002B2CF9AE}" pid="4" name="KSOTemplateDocerSaveRecord">
    <vt:lpwstr>eyJoZGlkIjoiOGJjMTk1NDEyNzdiNTliM2VkOWZmYWY3YmEzYWY5NTMiLCJ1c2VySWQiOiI0NDcxMTI3NDUifQ==</vt:lpwstr>
  </property>
</Properties>
</file>