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7A72">
      <w:pPr>
        <w:widowControl/>
        <w:spacing w:line="560" w:lineRule="exact"/>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关于北京城市副中心加快推进北京数据基础制度先行区高质量发展的实施细则</w:t>
      </w:r>
    </w:p>
    <w:p w14:paraId="191DAC73">
      <w:pPr>
        <w:spacing w:line="600" w:lineRule="exact"/>
        <w:ind w:firstLine="0" w:firstLineChars="0"/>
        <w:jc w:val="center"/>
        <w:rPr>
          <w:rFonts w:hint="eastAsia"/>
        </w:rPr>
      </w:pPr>
    </w:p>
    <w:p w14:paraId="20D18473">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为贯彻落实《中共中央国务院关于构建数据基础制度更好发挥数据要素作用的意见》和中共北京市委、北京市人民政府《关于更好发挥数据要素作用进一步加快发展数字经济的实施意见》，深入实施《北京市数字经济促进条例》，立足先行区打造数据要素市场化配置的政策高地、可信空间和数据工场的战略定位，坚持先行先试、改革创新、开放合作的原则，加快汇聚高价值数据资源、培育数据服务产业、发展数据要素市场、形成数据要素企业聚集高地，制定本细则。</w:t>
      </w:r>
    </w:p>
    <w:p w14:paraId="7D4A6B43">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本措施适用</w:t>
      </w:r>
      <w:bookmarkStart w:id="0" w:name="_GoBack"/>
      <w:r>
        <w:rPr>
          <w:rFonts w:hint="eastAsia" w:ascii="仿宋_GB2312" w:hAnsi="仿宋_GB2312" w:eastAsia="仿宋_GB2312" w:cs="仿宋_GB2312"/>
          <w:b w:val="0"/>
          <w:bCs w:val="0"/>
          <w:strike w:val="0"/>
          <w:dstrike w:val="0"/>
          <w:color w:val="auto"/>
          <w:kern w:val="2"/>
          <w:sz w:val="32"/>
          <w:szCs w:val="32"/>
          <w:lang w:val="en-US" w:eastAsia="zh-CN" w:bidi="ar-SA"/>
        </w:rPr>
        <w:t>于在北京</w:t>
      </w:r>
      <w:bookmarkEnd w:id="0"/>
      <w:r>
        <w:rPr>
          <w:rFonts w:hint="eastAsia" w:ascii="仿宋_GB2312" w:hAnsi="仿宋_GB2312" w:eastAsia="仿宋_GB2312" w:cs="仿宋_GB2312"/>
          <w:b w:val="0"/>
          <w:bCs w:val="0"/>
          <w:strike w:val="0"/>
          <w:dstrike w:val="0"/>
          <w:color w:val="auto"/>
          <w:kern w:val="2"/>
          <w:sz w:val="32"/>
          <w:szCs w:val="32"/>
          <w:lang w:val="en-US" w:eastAsia="zh-CN" w:bidi="ar-SA"/>
        </w:rPr>
        <w:t>数据基础制度先行区（通州片区）登记注册，并办公经营的数据要素相关企业。</w:t>
      </w:r>
    </w:p>
    <w:p w14:paraId="7FCC9EE5">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第一条 支持企业在文旅、金融数据专区，按照北京市监管沙盒机制申请沙盒测试审核通过后，开展数据应用服务先行先试，构建可信数据生态。</w:t>
      </w:r>
    </w:p>
    <w:p w14:paraId="3543B57C">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第二条 推动运营商等高价值数据供给方，率先开展税务征收、金融风险防范和化解、互联网和政府网站用户留资身份补齐等业务，实现高价值数据合规使用。</w:t>
      </w:r>
    </w:p>
    <w:p w14:paraId="070E93B5">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第三条 支持开展数据资产保护、监测、确权、定价评估等基础理论研究。聚焦数据安全、人工智能、元宇宙等重点领域，支持模型算法、数据管理、数据认证授权、安全交换等数据要素相关技术创新，突破隐私计算、全同态加密、湖仓一体、数据编织、多模态智能体、空间计算、数字孪生、跨尺度采集重建等技术。对牵头承担国家级、市级、区级数据要素相关重大专项的企业，按照实际承担项目投资额的30%、20%和10%的比例予以支持，单个项目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300万元、100万元、50万元；对取得首创性成效的应用产品及解决方案，最高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20万元，单个企业最高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100万元。</w:t>
      </w:r>
    </w:p>
    <w:p w14:paraId="65C52811">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第四条 围绕文旅、金融、农业、教育、医疗、社保等重点领域，推动建设一批高价值数据应用场景，创新虚拟演出、沉浸式游览、信贷融资评估、信用卡反欺诈、反电诈等应用形态。对经认定的示范数据产品及示范应用场景建设项目，按照项目研发与建设投资额的20%给予支持，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300万元。</w:t>
      </w:r>
    </w:p>
    <w:p w14:paraId="767B6922">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第五条 鼓励企业在安全合规前提下开展数据跨境流动，对具有创新引领、规模示范效应的企业，最高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100万元。支持专业数据服务机构发展，提供安全评估、认证等数据跨境流动合规服务，对经认定服务成效显著的服务机构</w:t>
      </w:r>
      <w:r>
        <w:rPr>
          <w:rFonts w:hint="eastAsia" w:ascii="仿宋_GB2312" w:hAnsi="仿宋_GB2312" w:cs="仿宋_GB2312"/>
          <w:b w:val="0"/>
          <w:bCs w:val="0"/>
          <w:strike w:val="0"/>
          <w:dstrike w:val="0"/>
          <w:color w:val="auto"/>
          <w:kern w:val="2"/>
          <w:sz w:val="32"/>
          <w:szCs w:val="32"/>
          <w:lang w:val="en-US" w:eastAsia="zh-CN" w:bidi="ar-SA"/>
        </w:rPr>
        <w:t>，</w:t>
      </w:r>
      <w:r>
        <w:rPr>
          <w:rFonts w:hint="eastAsia" w:ascii="仿宋_GB2312" w:hAnsi="仿宋_GB2312" w:eastAsia="仿宋_GB2312" w:cs="仿宋_GB2312"/>
          <w:b w:val="0"/>
          <w:bCs w:val="0"/>
          <w:strike w:val="0"/>
          <w:dstrike w:val="0"/>
          <w:color w:val="auto"/>
          <w:kern w:val="2"/>
          <w:sz w:val="32"/>
          <w:szCs w:val="32"/>
          <w:lang w:val="en-US" w:eastAsia="zh-CN" w:bidi="ar-SA"/>
        </w:rPr>
        <w:t>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20万元。</w:t>
      </w:r>
    </w:p>
    <w:p w14:paraId="6D397149">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第六条 聚焦文旅、金融等重点领域，鼓励开发数字孪生景区、数字藏品、沉浸式数字内容等特色场景下的数据资源，推动金融、公共和商业等信用数据接入，积极建设高水平人工智能语料数据集，对经过数据资产评估达到交易级别的数据资源</w:t>
      </w:r>
      <w:r>
        <w:rPr>
          <w:rFonts w:hint="eastAsia" w:ascii="仿宋_GB2312" w:hAnsi="仿宋_GB2312" w:cs="仿宋_GB2312"/>
          <w:b w:val="0"/>
          <w:bCs w:val="0"/>
          <w:strike w:val="0"/>
          <w:dstrike w:val="0"/>
          <w:color w:val="auto"/>
          <w:kern w:val="2"/>
          <w:sz w:val="32"/>
          <w:szCs w:val="32"/>
          <w:lang w:val="en-US" w:eastAsia="zh-CN" w:bidi="ar-SA"/>
        </w:rPr>
        <w:t>，</w:t>
      </w:r>
      <w:r>
        <w:rPr>
          <w:rFonts w:hint="eastAsia" w:ascii="仿宋_GB2312" w:hAnsi="仿宋_GB2312" w:eastAsia="仿宋_GB2312" w:cs="仿宋_GB2312"/>
          <w:b w:val="0"/>
          <w:bCs w:val="0"/>
          <w:strike w:val="0"/>
          <w:dstrike w:val="0"/>
          <w:color w:val="auto"/>
          <w:kern w:val="2"/>
          <w:sz w:val="32"/>
          <w:szCs w:val="32"/>
          <w:lang w:val="en-US" w:eastAsia="zh-CN" w:bidi="ar-SA"/>
        </w:rPr>
        <w:t>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100万元。支持企业搭建文旅、金融等数据服务平台，提供数据标识编码、分析加工、匹配交易等服务，对具有示范作用的平台按照投资的30%给予支持，最高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100万元。</w:t>
      </w:r>
    </w:p>
    <w:p w14:paraId="5F78980F">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第七条 对在数据资产首登记、首挂牌、首交易、首入表、首开放或数据资产金融创新等方面获得国家或北京市资金奖励的企业，分别按照1:1和1:0.5的比例给予配套资金支持，同一企业最高</w:t>
      </w:r>
      <w:r>
        <w:rPr>
          <w:rFonts w:hint="eastAsia" w:ascii="仿宋_GB2312" w:hAnsi="仿宋_GB2312" w:cs="仿宋_GB2312"/>
          <w:b w:val="0"/>
          <w:bCs w:val="0"/>
          <w:strike w:val="0"/>
          <w:dstrike w:val="0"/>
          <w:color w:val="auto"/>
          <w:kern w:val="2"/>
          <w:sz w:val="32"/>
          <w:szCs w:val="32"/>
          <w:lang w:val="en-US" w:eastAsia="zh-CN" w:bidi="ar-SA"/>
        </w:rPr>
        <w:t>支持</w:t>
      </w:r>
      <w:r>
        <w:rPr>
          <w:rFonts w:hint="eastAsia" w:ascii="仿宋_GB2312" w:hAnsi="仿宋_GB2312" w:eastAsia="仿宋_GB2312" w:cs="仿宋_GB2312"/>
          <w:b w:val="0"/>
          <w:bCs w:val="0"/>
          <w:strike w:val="0"/>
          <w:dstrike w:val="0"/>
          <w:color w:val="auto"/>
          <w:kern w:val="2"/>
          <w:sz w:val="32"/>
          <w:szCs w:val="32"/>
          <w:lang w:val="en-US" w:eastAsia="zh-CN" w:bidi="ar-SA"/>
        </w:rPr>
        <w:t>100万元。</w:t>
      </w:r>
    </w:p>
    <w:p w14:paraId="2EA33BEA">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trike w:val="0"/>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第八条 本细则由通州区经济和信息化局负责解释，</w:t>
      </w:r>
      <w:r>
        <w:rPr>
          <w:rFonts w:hint="eastAsia" w:ascii="仿宋_GB2312" w:hAnsi="仿宋_GB2312" w:cs="仿宋_GB2312"/>
          <w:b w:val="0"/>
          <w:bCs w:val="0"/>
          <w:strike w:val="0"/>
          <w:dstrike w:val="0"/>
          <w:color w:val="auto"/>
          <w:kern w:val="2"/>
          <w:sz w:val="32"/>
          <w:szCs w:val="32"/>
          <w:lang w:val="en-US" w:eastAsia="zh-CN" w:bidi="ar-SA"/>
        </w:rPr>
        <w:t>并根据实际情况进行调整，所涉及的支持条款与通州区其他产业支持政策产生重叠的，按照“从优不重复”的原则执行。</w:t>
      </w:r>
      <w:r>
        <w:rPr>
          <w:rFonts w:hint="eastAsia" w:ascii="仿宋_GB2312" w:hAnsi="仿宋_GB2312" w:eastAsia="仿宋_GB2312" w:cs="仿宋_GB2312"/>
          <w:b w:val="0"/>
          <w:bCs w:val="0"/>
          <w:strike w:val="0"/>
          <w:dstrike w:val="0"/>
          <w:color w:val="auto"/>
          <w:kern w:val="2"/>
          <w:sz w:val="32"/>
          <w:szCs w:val="32"/>
          <w:lang w:val="en-US" w:eastAsia="zh-CN" w:bidi="ar-SA"/>
        </w:rPr>
        <w:t>本细则自发布之日起实施。</w:t>
      </w:r>
    </w:p>
    <w:p w14:paraId="611663C4">
      <w:pPr>
        <w:pStyle w:val="2"/>
      </w:pPr>
    </w:p>
    <w:p w14:paraId="4BD1FF3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E0329D7-D153-4FEB-96F3-B57AA6524A33}"/>
  </w:font>
  <w:font w:name="仿宋_GB2312">
    <w:altName w:val="仿宋"/>
    <w:panose1 w:val="02010609030101010101"/>
    <w:charset w:val="86"/>
    <w:family w:val="modern"/>
    <w:pitch w:val="default"/>
    <w:sig w:usb0="00000000" w:usb1="00000000" w:usb2="00000000" w:usb3="00000000" w:csb0="00040000" w:csb1="00000000"/>
    <w:embedRegular r:id="rId2" w:fontKey="{B52833CA-5CF4-44D0-B4D6-FDF593C2B3AA}"/>
  </w:font>
  <w:font w:name="方正小标宋简体">
    <w:panose1 w:val="02010600010101010101"/>
    <w:charset w:val="86"/>
    <w:family w:val="script"/>
    <w:pitch w:val="default"/>
    <w:sig w:usb0="00000001" w:usb1="080E0000" w:usb2="00000000" w:usb3="00000000" w:csb0="00040000" w:csb1="00000000"/>
    <w:embedRegular r:id="rId3" w:fontKey="{5D29BAAE-5EB8-49C2-8F3C-5D697A82F31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560E3"/>
    <w:rsid w:val="44E560E3"/>
    <w:rsid w:val="7F0C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heading"/>
    <w:next w:val="3"/>
    <w:qFormat/>
    <w:uiPriority w:val="0"/>
    <w:pPr>
      <w:widowControl w:val="0"/>
      <w:suppressAutoHyphens/>
      <w:jc w:val="both"/>
    </w:pPr>
    <w:rPr>
      <w:rFonts w:ascii="Arial" w:hAnsi="Arial" w:eastAsia="仿宋_GB2312" w:cs="Times New Roman"/>
      <w:b/>
      <w:kern w:val="2"/>
      <w:sz w:val="32"/>
      <w:szCs w:val="24"/>
      <w:lang w:val="en-US" w:eastAsia="zh-CN" w:bidi="ar-SA"/>
    </w:rPr>
  </w:style>
  <w:style w:type="paragraph" w:styleId="3">
    <w:name w:val="index 1"/>
    <w:next w:val="1"/>
    <w:qFormat/>
    <w:uiPriority w:val="0"/>
    <w:pPr>
      <w:widowControl w:val="0"/>
      <w:suppressAutoHyphens/>
      <w:jc w:val="both"/>
    </w:pPr>
    <w:rPr>
      <w:rFonts w:ascii="仿宋_GB2312" w:hAnsi="仿宋_GB2312"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f4f7683b-6478-486b-8c03-9a0f84e93023</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20D18473</paraID>
      <start>6</start>
      <end>13</end>
      <status>ignored</status>
      <modifiedWord/>
      <trackRevisions>false</trackRevisions>
    </reviewItem>
    <reviewItem>
      <errorID>8c8a5cfe-0ef1-4439-8b45-e01feba09888</errorID>
      <errorWord>于在北京</errorWord>
      <group>L1_Word</group>
      <groupName>字词问题</groupName>
      <ability>L2_Typo</ability>
      <abilityName>字词错误</abilityName>
      <candidateList>
        <item>在北京</item>
      </candidateList>
      <explain/>
      <paraID>7D4A6B43</paraID>
      <start>5</start>
      <end>9</end>
      <status>ignored</status>
      <modifiedWord/>
      <trackRevisions>false</trackRevisions>
    </reviewItem>
  </reviewItems>
  <config/>
</contractReview>
</file>

<file path=customXml/itemProps1.xml><?xml version="1.0" encoding="utf-8"?>
<ds:datastoreItem xmlns:ds="http://schemas.openxmlformats.org/officeDocument/2006/customXml" ds:itemID="{383dfcd3-c9e1-4353-a004-56ff5b058770}">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2026-06-18T06:35:00Z</dcterms:created>
  <dc:creator>睡肿的考拉</dc:creator>
  <cp:lastModifiedBy>睡肿的考拉</cp:lastModifiedBy>
  <dcterms:modified xsi:type="dcterms:W3CDTF">2026-06-18T06:45:04Z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76098E59BD3B459F8EBC3577427BE0C6_11</vt:lpwstr>
  </property>
  <property fmtid="{D5CDD505-2E9C-101B-9397-08002B2CF9AE}" pid="4" name="KSOTemplateDocerSaveRecord">
    <vt:lpwstr>eyJoZGlkIjoiODViY2JkMjU3NGYzZTEwMzZmMGFkZWViYmNkYWU3NDIiLCJ1c2VySWQiOiI3MjMyODU1NDAifQ==</vt:lpwstr>
  </property>
</Properties>
</file>