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F5855">
      <w:pPr>
        <w:spacing w:before="98" w:line="231" w:lineRule="auto"/>
        <w:jc w:val="center"/>
        <w:outlineLvl w:val="0"/>
        <w:rPr>
          <w:rFonts w:ascii="GB_XBS_GB18030" w:hAnsi="GB_XBS_GB18030" w:eastAsia="GB_XBS_GB18030" w:cs="GB_XBS_GB18030"/>
          <w:sz w:val="43"/>
          <w:szCs w:val="43"/>
        </w:rPr>
      </w:pPr>
      <w:r>
        <w:rPr>
          <w:rFonts w:ascii="GB_XBS_GB18030" w:hAnsi="GB_XBS_GB18030" w:eastAsia="GB_XBS_GB18030" w:cs="GB_XBS_GB18030"/>
          <w:spacing w:val="9"/>
          <w:sz w:val="43"/>
          <w:szCs w:val="43"/>
        </w:rPr>
        <w:t>行政检查（双随机抽查）事项清单</w:t>
      </w:r>
    </w:p>
    <w:tbl>
      <w:tblPr>
        <w:tblStyle w:val="4"/>
        <w:tblW w:w="134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0"/>
        <w:gridCol w:w="1574"/>
        <w:gridCol w:w="1559"/>
        <w:gridCol w:w="1304"/>
        <w:gridCol w:w="1125"/>
        <w:gridCol w:w="1319"/>
        <w:gridCol w:w="1170"/>
        <w:gridCol w:w="3749"/>
        <w:gridCol w:w="977"/>
      </w:tblGrid>
      <w:tr w14:paraId="7F058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80" w:type="dxa"/>
            <w:vMerge w:val="restart"/>
            <w:tcBorders>
              <w:bottom w:val="nil"/>
            </w:tcBorders>
            <w:vAlign w:val="top"/>
          </w:tcPr>
          <w:p w14:paraId="2ED9FC6F">
            <w:pPr>
              <w:pStyle w:val="5"/>
              <w:spacing w:before="354" w:line="238" w:lineRule="auto"/>
              <w:ind w:left="131"/>
              <w:rPr>
                <w:rFonts w:hint="eastAsia" w:ascii="国标宋体" w:hAnsi="国标宋体" w:eastAsia="国标宋体" w:cs="国标宋体"/>
              </w:rPr>
            </w:pPr>
            <w:r>
              <w:rPr>
                <w:rFonts w:hint="eastAsia" w:ascii="国标宋体" w:hAnsi="国标宋体" w:eastAsia="国标宋体" w:cs="国标宋体"/>
                <w:spacing w:val="6"/>
              </w:rPr>
              <w:t>序号</w:t>
            </w:r>
          </w:p>
        </w:tc>
        <w:tc>
          <w:tcPr>
            <w:tcW w:w="3133" w:type="dxa"/>
            <w:gridSpan w:val="2"/>
            <w:vAlign w:val="top"/>
          </w:tcPr>
          <w:p w14:paraId="0B958799">
            <w:pPr>
              <w:pStyle w:val="5"/>
              <w:spacing w:before="124"/>
              <w:ind w:left="1147"/>
              <w:rPr>
                <w:rFonts w:hint="eastAsia" w:ascii="国标宋体" w:hAnsi="国标宋体" w:eastAsia="国标宋体" w:cs="国标宋体"/>
              </w:rPr>
            </w:pPr>
            <w:r>
              <w:rPr>
                <w:rFonts w:hint="eastAsia" w:ascii="国标宋体" w:hAnsi="国标宋体" w:eastAsia="国标宋体" w:cs="国标宋体"/>
                <w:spacing w:val="8"/>
              </w:rPr>
              <w:t>检查项目</w:t>
            </w:r>
          </w:p>
        </w:tc>
        <w:tc>
          <w:tcPr>
            <w:tcW w:w="1304" w:type="dxa"/>
            <w:vMerge w:val="restart"/>
            <w:tcBorders>
              <w:bottom w:val="nil"/>
            </w:tcBorders>
            <w:vAlign w:val="top"/>
          </w:tcPr>
          <w:p w14:paraId="464D6AC3">
            <w:pPr>
              <w:pStyle w:val="5"/>
              <w:spacing w:before="354" w:line="238" w:lineRule="auto"/>
              <w:ind w:left="234"/>
              <w:rPr>
                <w:rFonts w:hint="eastAsia" w:ascii="国标宋体" w:hAnsi="国标宋体" w:eastAsia="国标宋体" w:cs="国标宋体"/>
              </w:rPr>
            </w:pPr>
            <w:r>
              <w:rPr>
                <w:rFonts w:hint="eastAsia" w:ascii="国标宋体" w:hAnsi="国标宋体" w:eastAsia="国标宋体" w:cs="国标宋体"/>
                <w:spacing w:val="8"/>
              </w:rPr>
              <w:t>检查对象</w:t>
            </w:r>
          </w:p>
        </w:tc>
        <w:tc>
          <w:tcPr>
            <w:tcW w:w="1125" w:type="dxa"/>
            <w:vMerge w:val="restart"/>
            <w:tcBorders>
              <w:bottom w:val="nil"/>
            </w:tcBorders>
            <w:vAlign w:val="top"/>
          </w:tcPr>
          <w:p w14:paraId="6B7D88B2">
            <w:pPr>
              <w:pStyle w:val="5"/>
              <w:spacing w:before="354" w:line="239" w:lineRule="auto"/>
              <w:ind w:left="143"/>
              <w:rPr>
                <w:rFonts w:hint="eastAsia" w:ascii="国标宋体" w:hAnsi="国标宋体" w:eastAsia="国标宋体" w:cs="国标宋体"/>
              </w:rPr>
            </w:pPr>
            <w:r>
              <w:rPr>
                <w:rFonts w:hint="eastAsia" w:ascii="国标宋体" w:hAnsi="国标宋体" w:eastAsia="国标宋体" w:cs="国标宋体"/>
                <w:spacing w:val="8"/>
              </w:rPr>
              <w:t>事项类别</w:t>
            </w:r>
          </w:p>
        </w:tc>
        <w:tc>
          <w:tcPr>
            <w:tcW w:w="1319" w:type="dxa"/>
            <w:vMerge w:val="restart"/>
            <w:tcBorders>
              <w:bottom w:val="nil"/>
            </w:tcBorders>
            <w:vAlign w:val="top"/>
          </w:tcPr>
          <w:p w14:paraId="6EA30279">
            <w:pPr>
              <w:pStyle w:val="5"/>
              <w:spacing w:before="355" w:line="239" w:lineRule="auto"/>
              <w:ind w:left="243"/>
              <w:rPr>
                <w:rFonts w:hint="eastAsia" w:ascii="国标宋体" w:hAnsi="国标宋体" w:eastAsia="国标宋体" w:cs="国标宋体"/>
              </w:rPr>
            </w:pPr>
            <w:r>
              <w:rPr>
                <w:rFonts w:hint="eastAsia" w:ascii="国标宋体" w:hAnsi="国标宋体" w:eastAsia="国标宋体" w:cs="国标宋体"/>
                <w:spacing w:val="8"/>
              </w:rPr>
              <w:t>检查方式</w:t>
            </w:r>
          </w:p>
        </w:tc>
        <w:tc>
          <w:tcPr>
            <w:tcW w:w="1170" w:type="dxa"/>
            <w:vMerge w:val="restart"/>
            <w:tcBorders>
              <w:bottom w:val="nil"/>
            </w:tcBorders>
            <w:vAlign w:val="top"/>
          </w:tcPr>
          <w:p w14:paraId="2D259B79">
            <w:pPr>
              <w:pStyle w:val="5"/>
              <w:spacing w:before="354" w:line="238" w:lineRule="auto"/>
              <w:ind w:left="170"/>
              <w:rPr>
                <w:rFonts w:hint="eastAsia" w:ascii="国标宋体" w:hAnsi="国标宋体" w:eastAsia="国标宋体" w:cs="国标宋体"/>
              </w:rPr>
            </w:pPr>
            <w:r>
              <w:rPr>
                <w:rFonts w:hint="eastAsia" w:ascii="国标宋体" w:hAnsi="国标宋体" w:eastAsia="国标宋体" w:cs="国标宋体"/>
                <w:spacing w:val="8"/>
              </w:rPr>
              <w:t>检查主体</w:t>
            </w:r>
          </w:p>
        </w:tc>
        <w:tc>
          <w:tcPr>
            <w:tcW w:w="3749" w:type="dxa"/>
            <w:vMerge w:val="restart"/>
            <w:tcBorders>
              <w:bottom w:val="nil"/>
            </w:tcBorders>
            <w:vAlign w:val="top"/>
          </w:tcPr>
          <w:p w14:paraId="04B58361">
            <w:pPr>
              <w:pStyle w:val="5"/>
              <w:spacing w:before="354" w:line="238" w:lineRule="auto"/>
              <w:ind w:left="1460"/>
              <w:rPr>
                <w:rFonts w:hint="eastAsia" w:ascii="国标宋体" w:hAnsi="国标宋体" w:eastAsia="国标宋体" w:cs="国标宋体"/>
              </w:rPr>
            </w:pPr>
            <w:r>
              <w:rPr>
                <w:rFonts w:hint="eastAsia" w:ascii="国标宋体" w:hAnsi="国标宋体" w:eastAsia="国标宋体" w:cs="国标宋体"/>
                <w:spacing w:val="8"/>
              </w:rPr>
              <w:t>检查依据</w:t>
            </w:r>
          </w:p>
        </w:tc>
        <w:tc>
          <w:tcPr>
            <w:tcW w:w="977" w:type="dxa"/>
            <w:vMerge w:val="restart"/>
            <w:tcBorders>
              <w:bottom w:val="nil"/>
            </w:tcBorders>
            <w:vAlign w:val="top"/>
          </w:tcPr>
          <w:p w14:paraId="171FB6A8">
            <w:pPr>
              <w:pStyle w:val="5"/>
              <w:spacing w:before="42" w:line="247" w:lineRule="auto"/>
              <w:ind w:left="175" w:right="172" w:hanging="1"/>
              <w:jc w:val="both"/>
              <w:rPr>
                <w:rFonts w:hint="eastAsia" w:ascii="国标宋体" w:hAnsi="国标宋体" w:eastAsia="国标宋体" w:cs="国标宋体"/>
              </w:rPr>
            </w:pPr>
            <w:r>
              <w:rPr>
                <w:rFonts w:hint="eastAsia" w:ascii="国标宋体" w:hAnsi="国标宋体" w:eastAsia="国标宋体" w:cs="国标宋体"/>
                <w:spacing w:val="8"/>
              </w:rPr>
              <w:t>是否属</w:t>
            </w:r>
            <w:r>
              <w:rPr>
                <w:rFonts w:hint="eastAsia" w:ascii="国标宋体" w:hAnsi="国标宋体" w:eastAsia="国标宋体" w:cs="国标宋体"/>
                <w:spacing w:val="7"/>
              </w:rPr>
              <w:t>于双随机事项</w:t>
            </w:r>
          </w:p>
        </w:tc>
      </w:tr>
      <w:tr w14:paraId="5C45A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80" w:type="dxa"/>
            <w:vMerge w:val="continue"/>
            <w:tcBorders>
              <w:top w:val="nil"/>
            </w:tcBorders>
            <w:vAlign w:val="top"/>
          </w:tcPr>
          <w:p w14:paraId="030743E3">
            <w:pPr>
              <w:rPr>
                <w:rFonts w:hint="eastAsia" w:ascii="国标宋体" w:hAnsi="国标宋体" w:eastAsia="国标宋体" w:cs="国标宋体"/>
                <w:sz w:val="21"/>
              </w:rPr>
            </w:pPr>
          </w:p>
        </w:tc>
        <w:tc>
          <w:tcPr>
            <w:tcW w:w="1574" w:type="dxa"/>
            <w:vAlign w:val="top"/>
          </w:tcPr>
          <w:p w14:paraId="5C1A350B">
            <w:pPr>
              <w:pStyle w:val="5"/>
              <w:spacing w:before="109" w:line="239" w:lineRule="auto"/>
              <w:ind w:left="367"/>
              <w:rPr>
                <w:rFonts w:hint="eastAsia" w:ascii="国标宋体" w:hAnsi="国标宋体" w:eastAsia="国标宋体" w:cs="国标宋体"/>
              </w:rPr>
            </w:pPr>
            <w:r>
              <w:rPr>
                <w:rFonts w:hint="eastAsia" w:ascii="国标宋体" w:hAnsi="国标宋体" w:eastAsia="国标宋体" w:cs="国标宋体"/>
                <w:spacing w:val="8"/>
              </w:rPr>
              <w:t>检查类别</w:t>
            </w:r>
          </w:p>
        </w:tc>
        <w:tc>
          <w:tcPr>
            <w:tcW w:w="1559" w:type="dxa"/>
            <w:vAlign w:val="top"/>
          </w:tcPr>
          <w:p w14:paraId="291816F5">
            <w:pPr>
              <w:pStyle w:val="5"/>
              <w:spacing w:before="109" w:line="239" w:lineRule="auto"/>
              <w:ind w:left="360"/>
              <w:rPr>
                <w:rFonts w:hint="eastAsia" w:ascii="国标宋体" w:hAnsi="国标宋体" w:eastAsia="国标宋体" w:cs="国标宋体"/>
              </w:rPr>
            </w:pPr>
            <w:r>
              <w:rPr>
                <w:rFonts w:hint="eastAsia" w:ascii="国标宋体" w:hAnsi="国标宋体" w:eastAsia="国标宋体" w:cs="国标宋体"/>
                <w:spacing w:val="8"/>
              </w:rPr>
              <w:t>检查事项</w:t>
            </w:r>
          </w:p>
        </w:tc>
        <w:tc>
          <w:tcPr>
            <w:tcW w:w="1304" w:type="dxa"/>
            <w:vMerge w:val="continue"/>
            <w:tcBorders>
              <w:top w:val="nil"/>
            </w:tcBorders>
            <w:vAlign w:val="top"/>
          </w:tcPr>
          <w:p w14:paraId="4129A6DD">
            <w:pPr>
              <w:rPr>
                <w:rFonts w:hint="eastAsia" w:ascii="国标宋体" w:hAnsi="国标宋体" w:eastAsia="国标宋体" w:cs="国标宋体"/>
                <w:sz w:val="21"/>
              </w:rPr>
            </w:pPr>
          </w:p>
        </w:tc>
        <w:tc>
          <w:tcPr>
            <w:tcW w:w="1125" w:type="dxa"/>
            <w:vMerge w:val="continue"/>
            <w:tcBorders>
              <w:top w:val="nil"/>
            </w:tcBorders>
            <w:vAlign w:val="top"/>
          </w:tcPr>
          <w:p w14:paraId="4D534DB0">
            <w:pPr>
              <w:rPr>
                <w:rFonts w:hint="eastAsia" w:ascii="国标宋体" w:hAnsi="国标宋体" w:eastAsia="国标宋体" w:cs="国标宋体"/>
                <w:sz w:val="21"/>
              </w:rPr>
            </w:pPr>
          </w:p>
        </w:tc>
        <w:tc>
          <w:tcPr>
            <w:tcW w:w="1319" w:type="dxa"/>
            <w:vMerge w:val="continue"/>
            <w:tcBorders>
              <w:top w:val="nil"/>
            </w:tcBorders>
            <w:vAlign w:val="top"/>
          </w:tcPr>
          <w:p w14:paraId="708C784A">
            <w:pPr>
              <w:rPr>
                <w:rFonts w:hint="eastAsia" w:ascii="国标宋体" w:hAnsi="国标宋体" w:eastAsia="国标宋体" w:cs="国标宋体"/>
                <w:sz w:val="21"/>
              </w:rPr>
            </w:pPr>
          </w:p>
        </w:tc>
        <w:tc>
          <w:tcPr>
            <w:tcW w:w="1170" w:type="dxa"/>
            <w:vMerge w:val="continue"/>
            <w:tcBorders>
              <w:top w:val="nil"/>
            </w:tcBorders>
            <w:vAlign w:val="top"/>
          </w:tcPr>
          <w:p w14:paraId="483FAC09">
            <w:pPr>
              <w:rPr>
                <w:rFonts w:hint="eastAsia" w:ascii="国标宋体" w:hAnsi="国标宋体" w:eastAsia="国标宋体" w:cs="国标宋体"/>
                <w:sz w:val="21"/>
              </w:rPr>
            </w:pPr>
          </w:p>
        </w:tc>
        <w:tc>
          <w:tcPr>
            <w:tcW w:w="3749" w:type="dxa"/>
            <w:vMerge w:val="continue"/>
            <w:tcBorders>
              <w:top w:val="nil"/>
            </w:tcBorders>
            <w:vAlign w:val="top"/>
          </w:tcPr>
          <w:p w14:paraId="3010CC87">
            <w:pPr>
              <w:rPr>
                <w:rFonts w:hint="eastAsia" w:ascii="国标宋体" w:hAnsi="国标宋体" w:eastAsia="国标宋体" w:cs="国标宋体"/>
                <w:sz w:val="21"/>
              </w:rPr>
            </w:pPr>
          </w:p>
        </w:tc>
        <w:tc>
          <w:tcPr>
            <w:tcW w:w="977" w:type="dxa"/>
            <w:vMerge w:val="continue"/>
            <w:tcBorders>
              <w:top w:val="nil"/>
            </w:tcBorders>
            <w:vAlign w:val="top"/>
          </w:tcPr>
          <w:p w14:paraId="270CD5A6">
            <w:pPr>
              <w:rPr>
                <w:rFonts w:hint="eastAsia" w:ascii="国标宋体" w:hAnsi="国标宋体" w:eastAsia="国标宋体" w:cs="国标宋体"/>
                <w:sz w:val="21"/>
              </w:rPr>
            </w:pPr>
          </w:p>
        </w:tc>
      </w:tr>
      <w:tr w14:paraId="3CD22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2" w:hRule="atLeast"/>
        </w:trPr>
        <w:tc>
          <w:tcPr>
            <w:tcW w:w="680" w:type="dxa"/>
            <w:vAlign w:val="center"/>
          </w:tcPr>
          <w:p w14:paraId="0561E132">
            <w:pPr>
              <w:spacing w:before="59" w:line="208" w:lineRule="auto"/>
              <w:ind w:left="291"/>
              <w:jc w:val="both"/>
              <w:rPr>
                <w:rFonts w:hint="eastAsia" w:ascii="国标宋体" w:hAnsi="国标宋体" w:eastAsia="国标宋体" w:cs="国标宋体"/>
                <w:sz w:val="20"/>
                <w:szCs w:val="20"/>
              </w:rPr>
            </w:pPr>
            <w:r>
              <w:rPr>
                <w:rFonts w:hint="eastAsia" w:ascii="国标宋体" w:hAnsi="国标宋体" w:eastAsia="国标宋体" w:cs="国标宋体"/>
                <w:sz w:val="20"/>
                <w:szCs w:val="20"/>
              </w:rPr>
              <w:t>1</w:t>
            </w:r>
          </w:p>
        </w:tc>
        <w:tc>
          <w:tcPr>
            <w:tcW w:w="1574" w:type="dxa"/>
            <w:vAlign w:val="center"/>
          </w:tcPr>
          <w:p w14:paraId="106E910D">
            <w:pPr>
              <w:pStyle w:val="5"/>
              <w:spacing w:before="41" w:line="254" w:lineRule="auto"/>
              <w:ind w:left="105" w:right="108"/>
              <w:jc w:val="both"/>
              <w:rPr>
                <w:rFonts w:hint="eastAsia" w:ascii="国标宋体" w:hAnsi="国标宋体" w:eastAsia="国标宋体" w:cs="国标宋体"/>
              </w:rPr>
            </w:pPr>
            <w:r>
              <w:rPr>
                <w:rFonts w:hint="eastAsia" w:ascii="国标宋体" w:hAnsi="国标宋体" w:eastAsia="国标宋体" w:cs="国标宋体"/>
                <w:spacing w:val="18"/>
              </w:rPr>
              <w:t>对节能法律、</w:t>
            </w:r>
            <w:r>
              <w:rPr>
                <w:rFonts w:hint="eastAsia" w:ascii="国标宋体" w:hAnsi="国标宋体" w:eastAsia="国标宋体" w:cs="国标宋体"/>
                <w:spacing w:val="25"/>
              </w:rPr>
              <w:t>法规和节能标准执行情况的</w:t>
            </w:r>
            <w:r>
              <w:rPr>
                <w:rFonts w:hint="eastAsia" w:ascii="国标宋体" w:hAnsi="国标宋体" w:eastAsia="国标宋体" w:cs="国标宋体"/>
                <w:spacing w:val="8"/>
              </w:rPr>
              <w:t>行政检查</w:t>
            </w:r>
          </w:p>
        </w:tc>
        <w:tc>
          <w:tcPr>
            <w:tcW w:w="1559" w:type="dxa"/>
            <w:vAlign w:val="center"/>
          </w:tcPr>
          <w:p w14:paraId="46924E3B">
            <w:pPr>
              <w:pStyle w:val="5"/>
              <w:spacing w:before="41" w:line="254" w:lineRule="auto"/>
              <w:ind w:left="105" w:right="109"/>
              <w:jc w:val="both"/>
              <w:rPr>
                <w:rFonts w:hint="eastAsia" w:ascii="国标宋体" w:hAnsi="国标宋体" w:eastAsia="国标宋体" w:cs="国标宋体"/>
              </w:rPr>
            </w:pPr>
            <w:r>
              <w:rPr>
                <w:rFonts w:hint="eastAsia" w:ascii="国标宋体" w:hAnsi="国标宋体" w:eastAsia="国标宋体" w:cs="国标宋体"/>
                <w:spacing w:val="16"/>
              </w:rPr>
              <w:t>对节能法律、</w:t>
            </w:r>
            <w:r>
              <w:rPr>
                <w:rFonts w:hint="eastAsia" w:ascii="国标宋体" w:hAnsi="国标宋体" w:eastAsia="国标宋体" w:cs="国标宋体"/>
                <w:spacing w:val="23"/>
              </w:rPr>
              <w:t>法规和节能标准执行情况的</w:t>
            </w:r>
            <w:r>
              <w:rPr>
                <w:rFonts w:hint="eastAsia" w:ascii="国标宋体" w:hAnsi="国标宋体" w:eastAsia="国标宋体" w:cs="国标宋体"/>
                <w:spacing w:val="8"/>
              </w:rPr>
              <w:t>行政检查</w:t>
            </w:r>
          </w:p>
        </w:tc>
        <w:tc>
          <w:tcPr>
            <w:tcW w:w="1304" w:type="dxa"/>
            <w:vAlign w:val="center"/>
          </w:tcPr>
          <w:p w14:paraId="43340E55">
            <w:pPr>
              <w:pStyle w:val="5"/>
              <w:spacing w:before="40" w:line="253" w:lineRule="auto"/>
              <w:ind w:left="106" w:right="108" w:firstLine="40"/>
              <w:jc w:val="both"/>
              <w:rPr>
                <w:rFonts w:hint="eastAsia" w:ascii="国标宋体" w:hAnsi="国标宋体" w:eastAsia="国标宋体" w:cs="国标宋体"/>
              </w:rPr>
            </w:pPr>
            <w:r>
              <w:rPr>
                <w:rFonts w:hint="eastAsia" w:ascii="国标宋体" w:hAnsi="国标宋体" w:eastAsia="国标宋体" w:cs="国标宋体"/>
                <w:spacing w:val="1"/>
              </w:rPr>
              <w:t>自然人、法</w:t>
            </w:r>
            <w:r>
              <w:rPr>
                <w:rFonts w:hint="eastAsia" w:ascii="国标宋体" w:hAnsi="国标宋体" w:eastAsia="国标宋体" w:cs="国标宋体"/>
                <w:spacing w:val="16"/>
              </w:rPr>
              <w:t>人和非法人</w:t>
            </w:r>
            <w:r>
              <w:rPr>
                <w:rFonts w:hint="eastAsia" w:ascii="国标宋体" w:hAnsi="国标宋体" w:eastAsia="国标宋体" w:cs="国标宋体"/>
                <w:spacing w:val="7"/>
              </w:rPr>
              <w:t>组织</w:t>
            </w:r>
          </w:p>
        </w:tc>
        <w:tc>
          <w:tcPr>
            <w:tcW w:w="1125" w:type="dxa"/>
            <w:vAlign w:val="center"/>
          </w:tcPr>
          <w:p w14:paraId="6D3E7995">
            <w:pPr>
              <w:pStyle w:val="5"/>
              <w:spacing w:before="40" w:line="249" w:lineRule="auto"/>
              <w:ind w:left="110" w:right="107"/>
              <w:jc w:val="both"/>
              <w:rPr>
                <w:rFonts w:hint="eastAsia" w:ascii="国标宋体" w:hAnsi="国标宋体" w:eastAsia="国标宋体" w:cs="国标宋体"/>
              </w:rPr>
            </w:pPr>
            <w:r>
              <w:rPr>
                <w:rFonts w:hint="eastAsia" w:ascii="国标宋体" w:hAnsi="国标宋体" w:eastAsia="国标宋体" w:cs="国标宋体"/>
                <w:spacing w:val="25"/>
              </w:rPr>
              <w:t>一般检查</w:t>
            </w:r>
            <w:r>
              <w:rPr>
                <w:rFonts w:hint="eastAsia" w:ascii="国标宋体" w:hAnsi="国标宋体" w:eastAsia="国标宋体" w:cs="国标宋体"/>
                <w:spacing w:val="6"/>
              </w:rPr>
              <w:t>事项</w:t>
            </w:r>
          </w:p>
        </w:tc>
        <w:tc>
          <w:tcPr>
            <w:tcW w:w="1319" w:type="dxa"/>
            <w:vAlign w:val="center"/>
          </w:tcPr>
          <w:p w14:paraId="4E3FE8A8">
            <w:pPr>
              <w:pStyle w:val="5"/>
              <w:spacing w:before="40" w:line="249" w:lineRule="auto"/>
              <w:ind w:left="111" w:right="106" w:firstLine="1"/>
              <w:jc w:val="both"/>
              <w:rPr>
                <w:rFonts w:hint="eastAsia" w:ascii="国标宋体" w:hAnsi="国标宋体" w:eastAsia="国标宋体" w:cs="国标宋体"/>
              </w:rPr>
            </w:pPr>
            <w:r>
              <w:rPr>
                <w:rFonts w:hint="eastAsia" w:ascii="国标宋体" w:hAnsi="国标宋体" w:eastAsia="国标宋体" w:cs="国标宋体"/>
                <w:spacing w:val="18"/>
              </w:rPr>
              <w:t>现场检查和</w:t>
            </w:r>
            <w:r>
              <w:rPr>
                <w:rFonts w:hint="eastAsia" w:ascii="国标宋体" w:hAnsi="国标宋体" w:eastAsia="国标宋体" w:cs="国标宋体"/>
                <w:spacing w:val="8"/>
              </w:rPr>
              <w:t>在线监管</w:t>
            </w:r>
          </w:p>
        </w:tc>
        <w:tc>
          <w:tcPr>
            <w:tcW w:w="1170" w:type="dxa"/>
            <w:vAlign w:val="center"/>
          </w:tcPr>
          <w:p w14:paraId="3693501C">
            <w:pPr>
              <w:pStyle w:val="5"/>
              <w:spacing w:before="40" w:line="249" w:lineRule="auto"/>
              <w:ind w:left="112" w:right="105"/>
              <w:jc w:val="both"/>
              <w:rPr>
                <w:rFonts w:hint="eastAsia" w:ascii="国标宋体" w:hAnsi="国标宋体" w:eastAsia="国标宋体" w:cs="国标宋体"/>
                <w:lang w:eastAsia="zh-CN"/>
              </w:rPr>
            </w:pPr>
            <w:r>
              <w:rPr>
                <w:rFonts w:hint="eastAsia" w:ascii="国标宋体" w:hAnsi="国标宋体" w:eastAsia="国标宋体" w:cs="国标宋体"/>
                <w:spacing w:val="-11"/>
                <w:lang w:eastAsia="zh-CN"/>
              </w:rPr>
              <w:t>北京城市副中心管委会</w:t>
            </w:r>
          </w:p>
        </w:tc>
        <w:tc>
          <w:tcPr>
            <w:tcW w:w="3749" w:type="dxa"/>
            <w:vAlign w:val="center"/>
          </w:tcPr>
          <w:p w14:paraId="6E6FF497">
            <w:pPr>
              <w:pStyle w:val="5"/>
              <w:spacing w:before="40" w:line="249" w:lineRule="auto"/>
              <w:ind w:left="107" w:right="103" w:hanging="15"/>
              <w:jc w:val="both"/>
              <w:rPr>
                <w:rFonts w:hint="eastAsia" w:ascii="国标宋体" w:hAnsi="国标宋体" w:eastAsia="国标宋体" w:cs="国标宋体"/>
              </w:rPr>
            </w:pPr>
            <w:r>
              <w:rPr>
                <w:rFonts w:hint="eastAsia" w:ascii="国标宋体" w:hAnsi="国标宋体" w:eastAsia="国标宋体" w:cs="国标宋体"/>
                <w:spacing w:val="6"/>
              </w:rPr>
              <w:t>《中华人民共和国节约能源法》（中华</w:t>
            </w:r>
            <w:r>
              <w:rPr>
                <w:rFonts w:hint="eastAsia" w:ascii="国标宋体" w:hAnsi="国标宋体" w:eastAsia="国标宋体" w:cs="国标宋体"/>
                <w:spacing w:val="11"/>
              </w:rPr>
              <w:t>人民共和国主席令第48号）</w:t>
            </w:r>
          </w:p>
          <w:p w14:paraId="13882E3E">
            <w:pPr>
              <w:pStyle w:val="5"/>
              <w:spacing w:before="25" w:line="254" w:lineRule="auto"/>
              <w:ind w:left="108" w:right="105" w:hanging="16"/>
              <w:jc w:val="both"/>
              <w:rPr>
                <w:rFonts w:hint="eastAsia" w:ascii="国标宋体" w:hAnsi="国标宋体" w:eastAsia="国标宋体" w:cs="国标宋体"/>
              </w:rPr>
            </w:pPr>
            <w:r>
              <w:rPr>
                <w:rFonts w:hint="eastAsia" w:ascii="国标宋体" w:hAnsi="国标宋体" w:eastAsia="国标宋体" w:cs="国标宋体"/>
                <w:spacing w:val="8"/>
              </w:rPr>
              <w:t>《北京市实施〈中华人民共和国节约能</w:t>
            </w:r>
            <w:r>
              <w:rPr>
                <w:rFonts w:hint="eastAsia" w:ascii="国标宋体" w:hAnsi="国标宋体" w:eastAsia="国标宋体" w:cs="国标宋体"/>
                <w:spacing w:val="10"/>
              </w:rPr>
              <w:t>源法〉办法》(北京市第十一届人民代</w:t>
            </w:r>
            <w:r>
              <w:rPr>
                <w:rFonts w:hint="eastAsia" w:ascii="国标宋体" w:hAnsi="国标宋体" w:eastAsia="国标宋体" w:cs="国标宋体"/>
                <w:spacing w:val="7"/>
              </w:rPr>
              <w:t>表大会常务委员会第十三次会议通过；</w:t>
            </w:r>
            <w:r>
              <w:rPr>
                <w:rFonts w:hint="eastAsia" w:ascii="国标宋体" w:hAnsi="国标宋体" w:eastAsia="国标宋体" w:cs="国标宋体"/>
                <w:spacing w:val="20"/>
              </w:rPr>
              <w:t>北京市第十三届人民代表大会常务委</w:t>
            </w:r>
            <w:r>
              <w:rPr>
                <w:rFonts w:hint="eastAsia" w:ascii="国标宋体" w:hAnsi="国标宋体" w:eastAsia="国标宋体" w:cs="国标宋体"/>
                <w:spacing w:val="9"/>
              </w:rPr>
              <w:t>员会第十八次会议修订)</w:t>
            </w:r>
          </w:p>
          <w:p w14:paraId="21D650B2">
            <w:pPr>
              <w:pStyle w:val="5"/>
              <w:spacing w:before="26" w:line="249" w:lineRule="auto"/>
              <w:ind w:left="109" w:right="105" w:hanging="17"/>
              <w:jc w:val="both"/>
              <w:rPr>
                <w:rFonts w:hint="eastAsia" w:ascii="国标宋体" w:hAnsi="国标宋体" w:eastAsia="国标宋体" w:cs="国标宋体"/>
              </w:rPr>
            </w:pPr>
            <w:r>
              <w:rPr>
                <w:rFonts w:hint="eastAsia" w:ascii="国标宋体" w:hAnsi="国标宋体" w:eastAsia="国标宋体" w:cs="国标宋体"/>
                <w:spacing w:val="6"/>
              </w:rPr>
              <w:t>《节能监察办法》（国家发展和改革委</w:t>
            </w:r>
            <w:r>
              <w:rPr>
                <w:rFonts w:hint="eastAsia" w:ascii="国标宋体" w:hAnsi="国标宋体" w:eastAsia="国标宋体" w:cs="国标宋体"/>
                <w:spacing w:val="4"/>
              </w:rPr>
              <w:t>员会令第33号）</w:t>
            </w:r>
          </w:p>
          <w:p w14:paraId="62557040">
            <w:pPr>
              <w:pStyle w:val="5"/>
              <w:spacing w:before="24" w:line="252" w:lineRule="auto"/>
              <w:ind w:left="108" w:right="105" w:hanging="16"/>
              <w:jc w:val="both"/>
              <w:rPr>
                <w:rFonts w:hint="eastAsia" w:ascii="国标宋体" w:hAnsi="国标宋体" w:eastAsia="国标宋体" w:cs="国标宋体"/>
              </w:rPr>
            </w:pPr>
            <w:r>
              <w:rPr>
                <w:rFonts w:hint="eastAsia" w:ascii="国标宋体" w:hAnsi="国标宋体" w:eastAsia="国标宋体" w:cs="国标宋体"/>
                <w:spacing w:val="21"/>
              </w:rPr>
              <w:t>《固定资产投资项目节能审查和碳排</w:t>
            </w:r>
            <w:r>
              <w:rPr>
                <w:rFonts w:hint="eastAsia" w:ascii="国标宋体" w:hAnsi="国标宋体" w:eastAsia="国标宋体" w:cs="国标宋体"/>
                <w:spacing w:val="5"/>
              </w:rPr>
              <w:t>放评价办法》（国家发展和改革委员会</w:t>
            </w:r>
            <w:r>
              <w:rPr>
                <w:rFonts w:hint="eastAsia" w:ascii="国标宋体" w:hAnsi="国标宋体" w:eastAsia="国标宋体" w:cs="国标宋体"/>
                <w:spacing w:val="3"/>
              </w:rPr>
              <w:t>2025年令第31号）</w:t>
            </w:r>
          </w:p>
          <w:p w14:paraId="6BE8FB2F">
            <w:pPr>
              <w:pStyle w:val="5"/>
              <w:spacing w:before="22"/>
              <w:ind w:left="109" w:right="105" w:hanging="17"/>
              <w:jc w:val="both"/>
              <w:rPr>
                <w:rFonts w:hint="eastAsia" w:ascii="国标宋体" w:hAnsi="国标宋体" w:eastAsia="国标宋体" w:cs="国标宋体"/>
              </w:rPr>
            </w:pPr>
            <w:r>
              <w:rPr>
                <w:rFonts w:hint="eastAsia" w:ascii="国标宋体" w:hAnsi="国标宋体" w:eastAsia="国标宋体" w:cs="国标宋体"/>
                <w:spacing w:val="8"/>
              </w:rPr>
              <w:t>《北京市节能监察办法》（北京市人民</w:t>
            </w:r>
            <w:r>
              <w:rPr>
                <w:rFonts w:hint="eastAsia" w:ascii="国标宋体" w:hAnsi="国标宋体" w:eastAsia="国标宋体" w:cs="国标宋体"/>
                <w:spacing w:val="4"/>
              </w:rPr>
              <w:t>政府令第174号）</w:t>
            </w:r>
          </w:p>
        </w:tc>
        <w:tc>
          <w:tcPr>
            <w:tcW w:w="977" w:type="dxa"/>
            <w:vAlign w:val="center"/>
          </w:tcPr>
          <w:p w14:paraId="3E976ED8">
            <w:pPr>
              <w:pStyle w:val="5"/>
              <w:spacing w:before="73" w:line="239" w:lineRule="auto"/>
              <w:ind w:left="385"/>
              <w:jc w:val="both"/>
              <w:rPr>
                <w:rFonts w:hint="eastAsia" w:ascii="国标宋体" w:hAnsi="国标宋体" w:eastAsia="国标宋体" w:cs="国标宋体"/>
              </w:rPr>
            </w:pPr>
            <w:r>
              <w:rPr>
                <w:rFonts w:hint="eastAsia" w:ascii="国标宋体" w:hAnsi="国标宋体" w:eastAsia="国标宋体" w:cs="国标宋体"/>
                <w:spacing w:val="4"/>
              </w:rPr>
              <w:t>是</w:t>
            </w:r>
          </w:p>
        </w:tc>
      </w:tr>
      <w:tr w14:paraId="5AB75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6" w:hRule="atLeast"/>
        </w:trPr>
        <w:tc>
          <w:tcPr>
            <w:tcW w:w="680" w:type="dxa"/>
            <w:vAlign w:val="center"/>
          </w:tcPr>
          <w:p w14:paraId="35D70C5F">
            <w:pPr>
              <w:spacing w:line="248" w:lineRule="auto"/>
              <w:jc w:val="both"/>
              <w:rPr>
                <w:rFonts w:hint="eastAsia" w:ascii="国标宋体" w:hAnsi="国标宋体" w:eastAsia="国标宋体" w:cs="国标宋体"/>
                <w:sz w:val="21"/>
              </w:rPr>
            </w:pPr>
          </w:p>
          <w:p w14:paraId="66BCA8D5">
            <w:pPr>
              <w:spacing w:before="58" w:line="211" w:lineRule="auto"/>
              <w:ind w:left="283"/>
              <w:jc w:val="both"/>
              <w:rPr>
                <w:rFonts w:hint="eastAsia" w:ascii="国标宋体" w:hAnsi="国标宋体" w:eastAsia="国标宋体" w:cs="国标宋体"/>
                <w:sz w:val="20"/>
                <w:szCs w:val="20"/>
              </w:rPr>
            </w:pPr>
            <w:r>
              <w:rPr>
                <w:rFonts w:hint="eastAsia" w:ascii="国标宋体" w:hAnsi="国标宋体" w:eastAsia="国标宋体" w:cs="国标宋体"/>
                <w:sz w:val="20"/>
                <w:szCs w:val="20"/>
              </w:rPr>
              <w:t>2</w:t>
            </w:r>
          </w:p>
        </w:tc>
        <w:tc>
          <w:tcPr>
            <w:tcW w:w="1574" w:type="dxa"/>
            <w:vAlign w:val="center"/>
          </w:tcPr>
          <w:p w14:paraId="25A3A171">
            <w:pPr>
              <w:pStyle w:val="5"/>
              <w:spacing w:before="42" w:line="255" w:lineRule="auto"/>
              <w:ind w:left="103" w:right="108" w:firstLine="2"/>
              <w:jc w:val="both"/>
              <w:rPr>
                <w:rFonts w:hint="eastAsia" w:ascii="国标宋体" w:hAnsi="国标宋体" w:eastAsia="国标宋体" w:cs="国标宋体"/>
              </w:rPr>
            </w:pPr>
            <w:r>
              <w:rPr>
                <w:rFonts w:hint="eastAsia" w:ascii="国标宋体" w:hAnsi="国标宋体" w:eastAsia="国标宋体" w:cs="国标宋体"/>
                <w:spacing w:val="25"/>
              </w:rPr>
              <w:t>对本市有关建</w:t>
            </w:r>
            <w:r>
              <w:rPr>
                <w:rFonts w:hint="eastAsia" w:ascii="国标宋体" w:hAnsi="国标宋体" w:eastAsia="国标宋体" w:cs="国标宋体"/>
                <w:spacing w:val="26"/>
              </w:rPr>
              <w:t>设项目招投标活动的行政检</w:t>
            </w:r>
            <w:r>
              <w:rPr>
                <w:rFonts w:hint="eastAsia" w:ascii="国标宋体" w:hAnsi="国标宋体" w:eastAsia="国标宋体" w:cs="国标宋体"/>
                <w:spacing w:val="8"/>
              </w:rPr>
              <w:t>查</w:t>
            </w:r>
          </w:p>
        </w:tc>
        <w:tc>
          <w:tcPr>
            <w:tcW w:w="1559" w:type="dxa"/>
            <w:vAlign w:val="center"/>
          </w:tcPr>
          <w:p w14:paraId="1999201C">
            <w:pPr>
              <w:pStyle w:val="5"/>
              <w:spacing w:before="42" w:line="255" w:lineRule="auto"/>
              <w:ind w:left="103" w:right="109" w:firstLine="2"/>
              <w:jc w:val="both"/>
              <w:rPr>
                <w:rFonts w:hint="eastAsia" w:ascii="国标宋体" w:hAnsi="国标宋体" w:eastAsia="国标宋体" w:cs="国标宋体"/>
              </w:rPr>
            </w:pPr>
            <w:r>
              <w:rPr>
                <w:rFonts w:hint="eastAsia" w:ascii="国标宋体" w:hAnsi="国标宋体" w:eastAsia="国标宋体" w:cs="国标宋体"/>
                <w:spacing w:val="23"/>
              </w:rPr>
              <w:t>对本市有关建设项目招投标活动的行政检</w:t>
            </w:r>
            <w:r>
              <w:rPr>
                <w:rFonts w:hint="eastAsia" w:ascii="国标宋体" w:hAnsi="国标宋体" w:eastAsia="国标宋体" w:cs="国标宋体"/>
                <w:spacing w:val="8"/>
              </w:rPr>
              <w:t>查</w:t>
            </w:r>
          </w:p>
        </w:tc>
        <w:tc>
          <w:tcPr>
            <w:tcW w:w="1304" w:type="dxa"/>
            <w:vAlign w:val="center"/>
          </w:tcPr>
          <w:p w14:paraId="7DC38F68">
            <w:pPr>
              <w:pStyle w:val="5"/>
              <w:spacing w:before="41" w:line="253" w:lineRule="auto"/>
              <w:ind w:left="106" w:right="108" w:firstLine="40"/>
              <w:jc w:val="both"/>
              <w:rPr>
                <w:rFonts w:hint="eastAsia" w:ascii="国标宋体" w:hAnsi="国标宋体" w:eastAsia="国标宋体" w:cs="国标宋体"/>
              </w:rPr>
            </w:pPr>
            <w:r>
              <w:rPr>
                <w:rFonts w:hint="eastAsia" w:ascii="国标宋体" w:hAnsi="国标宋体" w:eastAsia="国标宋体" w:cs="国标宋体"/>
                <w:spacing w:val="1"/>
              </w:rPr>
              <w:t>自然人、法</w:t>
            </w:r>
            <w:r>
              <w:rPr>
                <w:rFonts w:hint="eastAsia" w:ascii="国标宋体" w:hAnsi="国标宋体" w:eastAsia="国标宋体" w:cs="国标宋体"/>
                <w:spacing w:val="16"/>
              </w:rPr>
              <w:t>人和非法人</w:t>
            </w:r>
            <w:r>
              <w:rPr>
                <w:rFonts w:hint="eastAsia" w:ascii="国标宋体" w:hAnsi="国标宋体" w:eastAsia="国标宋体" w:cs="国标宋体"/>
                <w:spacing w:val="7"/>
              </w:rPr>
              <w:t>组织</w:t>
            </w:r>
          </w:p>
        </w:tc>
        <w:tc>
          <w:tcPr>
            <w:tcW w:w="1125" w:type="dxa"/>
            <w:vAlign w:val="center"/>
          </w:tcPr>
          <w:p w14:paraId="3E8D2E58">
            <w:pPr>
              <w:pStyle w:val="5"/>
              <w:spacing w:before="41" w:line="249" w:lineRule="auto"/>
              <w:ind w:left="110" w:right="107"/>
              <w:jc w:val="both"/>
              <w:rPr>
                <w:rFonts w:hint="eastAsia" w:ascii="国标宋体" w:hAnsi="国标宋体" w:eastAsia="国标宋体" w:cs="国标宋体"/>
              </w:rPr>
            </w:pPr>
            <w:r>
              <w:rPr>
                <w:rFonts w:hint="eastAsia" w:ascii="国标宋体" w:hAnsi="国标宋体" w:eastAsia="国标宋体" w:cs="国标宋体"/>
                <w:spacing w:val="25"/>
              </w:rPr>
              <w:t>一般检查</w:t>
            </w:r>
            <w:r>
              <w:rPr>
                <w:rFonts w:hint="eastAsia" w:ascii="国标宋体" w:hAnsi="国标宋体" w:eastAsia="国标宋体" w:cs="国标宋体"/>
                <w:spacing w:val="6"/>
              </w:rPr>
              <w:t>事项</w:t>
            </w:r>
          </w:p>
        </w:tc>
        <w:tc>
          <w:tcPr>
            <w:tcW w:w="1319" w:type="dxa"/>
            <w:vAlign w:val="center"/>
          </w:tcPr>
          <w:p w14:paraId="695F015C">
            <w:pPr>
              <w:pStyle w:val="5"/>
              <w:spacing w:before="41" w:line="249" w:lineRule="auto"/>
              <w:ind w:left="111" w:right="106" w:firstLine="1"/>
              <w:jc w:val="both"/>
              <w:rPr>
                <w:rFonts w:hint="eastAsia" w:ascii="国标宋体" w:hAnsi="国标宋体" w:eastAsia="国标宋体" w:cs="国标宋体"/>
              </w:rPr>
            </w:pPr>
            <w:r>
              <w:rPr>
                <w:rFonts w:hint="eastAsia" w:ascii="国标宋体" w:hAnsi="国标宋体" w:eastAsia="国标宋体" w:cs="国标宋体"/>
                <w:spacing w:val="18"/>
              </w:rPr>
              <w:t>现场检查和</w:t>
            </w:r>
            <w:r>
              <w:rPr>
                <w:rFonts w:hint="eastAsia" w:ascii="国标宋体" w:hAnsi="国标宋体" w:eastAsia="国标宋体" w:cs="国标宋体"/>
                <w:spacing w:val="8"/>
              </w:rPr>
              <w:t>在线监管</w:t>
            </w:r>
          </w:p>
        </w:tc>
        <w:tc>
          <w:tcPr>
            <w:tcW w:w="1170" w:type="dxa"/>
            <w:vAlign w:val="center"/>
          </w:tcPr>
          <w:p w14:paraId="0444FDF8">
            <w:pPr>
              <w:pStyle w:val="5"/>
              <w:spacing w:before="41" w:line="249" w:lineRule="auto"/>
              <w:ind w:left="112" w:right="105"/>
              <w:jc w:val="both"/>
              <w:rPr>
                <w:rFonts w:hint="eastAsia" w:ascii="国标宋体" w:hAnsi="国标宋体" w:eastAsia="国标宋体" w:cs="国标宋体"/>
              </w:rPr>
            </w:pPr>
            <w:r>
              <w:rPr>
                <w:rFonts w:hint="eastAsia" w:ascii="国标宋体" w:hAnsi="国标宋体" w:eastAsia="国标宋体" w:cs="国标宋体"/>
                <w:spacing w:val="-11"/>
                <w:lang w:eastAsia="zh-CN"/>
              </w:rPr>
              <w:t>北京城市副中心管委会</w:t>
            </w:r>
          </w:p>
        </w:tc>
        <w:tc>
          <w:tcPr>
            <w:tcW w:w="3749" w:type="dxa"/>
            <w:vAlign w:val="center"/>
          </w:tcPr>
          <w:p w14:paraId="1CDA0040">
            <w:pPr>
              <w:pStyle w:val="5"/>
              <w:spacing w:before="40" w:line="249" w:lineRule="auto"/>
              <w:ind w:left="107" w:right="105" w:hanging="15"/>
              <w:jc w:val="both"/>
              <w:rPr>
                <w:rFonts w:hint="eastAsia" w:ascii="国标宋体" w:hAnsi="国标宋体" w:eastAsia="国标宋体" w:cs="国标宋体"/>
              </w:rPr>
            </w:pPr>
            <w:r>
              <w:rPr>
                <w:rFonts w:hint="eastAsia" w:ascii="国标宋体" w:hAnsi="国标宋体" w:eastAsia="国标宋体" w:cs="国标宋体"/>
                <w:spacing w:val="13"/>
              </w:rPr>
              <w:t>《中华人民共和国招标投标法》(中华</w:t>
            </w:r>
            <w:r>
              <w:rPr>
                <w:rFonts w:hint="eastAsia" w:ascii="国标宋体" w:hAnsi="国标宋体" w:eastAsia="国标宋体" w:cs="国标宋体"/>
                <w:spacing w:val="11"/>
              </w:rPr>
              <w:t>人民共和国主席令第86号）</w:t>
            </w:r>
          </w:p>
          <w:p w14:paraId="323FD057">
            <w:pPr>
              <w:pStyle w:val="5"/>
              <w:spacing w:before="23" w:line="248" w:lineRule="auto"/>
              <w:ind w:left="110" w:right="105" w:hanging="18"/>
              <w:jc w:val="both"/>
              <w:rPr>
                <w:rFonts w:hint="eastAsia" w:ascii="国标宋体" w:hAnsi="国标宋体" w:eastAsia="国标宋体" w:cs="国标宋体"/>
              </w:rPr>
            </w:pPr>
            <w:r>
              <w:rPr>
                <w:rFonts w:hint="eastAsia" w:ascii="国标宋体" w:hAnsi="国标宋体" w:eastAsia="国标宋体" w:cs="国标宋体"/>
                <w:spacing w:val="21"/>
              </w:rPr>
              <w:t>《中华人民共和国招标投标法实施条</w:t>
            </w:r>
            <w:r>
              <w:rPr>
                <w:rFonts w:hint="eastAsia" w:ascii="国标宋体" w:hAnsi="国标宋体" w:eastAsia="国标宋体" w:cs="国标宋体"/>
                <w:spacing w:val="-4"/>
              </w:rPr>
              <w:t>例》（国务院令第613号）</w:t>
            </w:r>
          </w:p>
          <w:p w14:paraId="424AA25A">
            <w:pPr>
              <w:pStyle w:val="5"/>
              <w:spacing w:before="26" w:line="256" w:lineRule="auto"/>
              <w:ind w:left="92" w:right="103"/>
              <w:jc w:val="both"/>
              <w:rPr>
                <w:rFonts w:hint="eastAsia" w:ascii="国标宋体" w:hAnsi="国标宋体" w:eastAsia="国标宋体" w:cs="国标宋体"/>
              </w:rPr>
            </w:pPr>
            <w:r>
              <w:rPr>
                <w:rFonts w:hint="eastAsia" w:ascii="国标宋体" w:hAnsi="国标宋体" w:eastAsia="国标宋体" w:cs="国标宋体"/>
                <w:spacing w:val="12"/>
              </w:rPr>
              <w:t>《北京市招标投标条例》(2002年9</w:t>
            </w:r>
            <w:r>
              <w:rPr>
                <w:rFonts w:hint="eastAsia" w:ascii="国标宋体" w:hAnsi="国标宋体" w:eastAsia="国标宋体" w:cs="国标宋体"/>
                <w:spacing w:val="14"/>
              </w:rPr>
              <w:t>月6日北京市第十一届人民代表大会</w:t>
            </w:r>
            <w:r>
              <w:rPr>
                <w:rFonts w:hint="eastAsia" w:ascii="国标宋体" w:hAnsi="国标宋体" w:eastAsia="国标宋体" w:cs="国标宋体"/>
                <w:spacing w:val="17"/>
              </w:rPr>
              <w:t>常务委员会第36次会议通过；根据</w:t>
            </w:r>
            <w:r>
              <w:rPr>
                <w:rFonts w:hint="eastAsia" w:ascii="国标宋体" w:hAnsi="国标宋体" w:eastAsia="国标宋体" w:cs="国标宋体"/>
                <w:spacing w:val="6"/>
              </w:rPr>
              <w:t>2010年12月23日北京市第十三届</w:t>
            </w:r>
            <w:r>
              <w:rPr>
                <w:rFonts w:hint="eastAsia" w:ascii="国标宋体" w:hAnsi="国标宋体" w:eastAsia="国标宋体" w:cs="国标宋体"/>
                <w:spacing w:val="8"/>
              </w:rPr>
              <w:t>人民代表大会常务委员会第22次会议《关于修改部分地方性法规的决定》修</w:t>
            </w:r>
            <w:r>
              <w:rPr>
                <w:rFonts w:hint="eastAsia" w:ascii="国标宋体" w:hAnsi="国标宋体" w:eastAsia="国标宋体" w:cs="国标宋体"/>
                <w:spacing w:val="17"/>
              </w:rPr>
              <w:t>正）</w:t>
            </w:r>
          </w:p>
          <w:p w14:paraId="26A7AF5F">
            <w:pPr>
              <w:pStyle w:val="5"/>
              <w:spacing w:before="22" w:line="252" w:lineRule="auto"/>
              <w:ind w:left="104" w:hanging="12"/>
              <w:jc w:val="both"/>
              <w:rPr>
                <w:rFonts w:hint="eastAsia" w:ascii="国标宋体" w:hAnsi="国标宋体" w:eastAsia="国标宋体" w:cs="国标宋体"/>
              </w:rPr>
            </w:pPr>
            <w:r>
              <w:rPr>
                <w:rFonts w:hint="eastAsia" w:ascii="国标宋体" w:hAnsi="国标宋体" w:eastAsia="国标宋体" w:cs="国标宋体"/>
                <w:spacing w:val="21"/>
              </w:rPr>
              <w:t>《中共北京市委机构编制委员会办公</w:t>
            </w:r>
            <w:r>
              <w:rPr>
                <w:rFonts w:hint="eastAsia" w:ascii="国标宋体" w:hAnsi="国标宋体" w:eastAsia="国标宋体" w:cs="国标宋体"/>
                <w:spacing w:val="20"/>
              </w:rPr>
              <w:t>室北京市发展和改革委员会关于印发〈关于进一步明确市政府有关部门实施公共资源交易活动监督管理职责分</w:t>
            </w:r>
            <w:r>
              <w:rPr>
                <w:rFonts w:hint="eastAsia" w:ascii="国标宋体" w:hAnsi="国标宋体" w:eastAsia="国标宋体" w:cs="国标宋体"/>
                <w:spacing w:val="-4"/>
              </w:rPr>
              <w:t>工的通知〉的通知》（京编办发〔2022〕</w:t>
            </w:r>
            <w:r>
              <w:rPr>
                <w:rFonts w:hint="eastAsia" w:ascii="国标宋体" w:hAnsi="国标宋体" w:eastAsia="国标宋体" w:cs="国标宋体"/>
                <w:spacing w:val="7"/>
              </w:rPr>
              <w:t>4号）</w:t>
            </w:r>
          </w:p>
        </w:tc>
        <w:tc>
          <w:tcPr>
            <w:tcW w:w="977" w:type="dxa"/>
            <w:vAlign w:val="center"/>
          </w:tcPr>
          <w:p w14:paraId="5303C1F7">
            <w:pPr>
              <w:pStyle w:val="5"/>
              <w:spacing w:before="73" w:line="239" w:lineRule="auto"/>
              <w:ind w:left="385"/>
              <w:jc w:val="both"/>
              <w:rPr>
                <w:rFonts w:hint="eastAsia" w:ascii="国标宋体" w:hAnsi="国标宋体" w:eastAsia="国标宋体" w:cs="国标宋体"/>
              </w:rPr>
            </w:pPr>
            <w:r>
              <w:rPr>
                <w:rFonts w:hint="eastAsia" w:ascii="国标宋体" w:hAnsi="国标宋体" w:eastAsia="国标宋体" w:cs="国标宋体"/>
                <w:spacing w:val="4"/>
              </w:rPr>
              <w:t>是</w:t>
            </w:r>
          </w:p>
        </w:tc>
      </w:tr>
      <w:tr w14:paraId="32686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680" w:type="dxa"/>
            <w:vAlign w:val="center"/>
          </w:tcPr>
          <w:p w14:paraId="21A723D7">
            <w:pPr>
              <w:spacing w:before="59" w:line="211" w:lineRule="auto"/>
              <w:ind w:left="284"/>
              <w:jc w:val="both"/>
              <w:rPr>
                <w:rFonts w:hint="eastAsia" w:ascii="国标宋体" w:hAnsi="国标宋体" w:eastAsia="国标宋体" w:cs="国标宋体"/>
                <w:sz w:val="20"/>
                <w:szCs w:val="20"/>
              </w:rPr>
            </w:pPr>
            <w:r>
              <w:rPr>
                <w:rFonts w:hint="eastAsia" w:ascii="国标宋体" w:hAnsi="国标宋体" w:eastAsia="国标宋体" w:cs="国标宋体"/>
                <w:sz w:val="20"/>
                <w:szCs w:val="20"/>
              </w:rPr>
              <w:t>3</w:t>
            </w:r>
          </w:p>
        </w:tc>
        <w:tc>
          <w:tcPr>
            <w:tcW w:w="1574" w:type="dxa"/>
            <w:vAlign w:val="center"/>
          </w:tcPr>
          <w:p w14:paraId="27D4E21C">
            <w:pPr>
              <w:pStyle w:val="5"/>
              <w:spacing w:before="43" w:line="254" w:lineRule="auto"/>
              <w:ind w:left="103" w:right="108" w:firstLine="2"/>
              <w:jc w:val="both"/>
              <w:rPr>
                <w:rFonts w:hint="eastAsia" w:ascii="国标宋体" w:hAnsi="国标宋体" w:eastAsia="国标宋体" w:cs="国标宋体"/>
              </w:rPr>
            </w:pPr>
            <w:r>
              <w:rPr>
                <w:rFonts w:hint="eastAsia" w:ascii="国标宋体" w:hAnsi="国标宋体" w:eastAsia="国标宋体" w:cs="国标宋体"/>
                <w:spacing w:val="25"/>
              </w:rPr>
              <w:t>对企业投资建</w:t>
            </w:r>
            <w:r>
              <w:rPr>
                <w:rFonts w:hint="eastAsia" w:ascii="国标宋体" w:hAnsi="国标宋体" w:eastAsia="国标宋体" w:cs="国标宋体"/>
                <w:spacing w:val="26"/>
              </w:rPr>
              <w:t>设固定资产投资项目相关行</w:t>
            </w:r>
            <w:r>
              <w:rPr>
                <w:rFonts w:hint="eastAsia" w:ascii="国标宋体" w:hAnsi="国标宋体" w:eastAsia="国标宋体" w:cs="国标宋体"/>
                <w:spacing w:val="9"/>
              </w:rPr>
              <w:t>为的行政检查</w:t>
            </w:r>
          </w:p>
        </w:tc>
        <w:tc>
          <w:tcPr>
            <w:tcW w:w="1559" w:type="dxa"/>
            <w:vAlign w:val="center"/>
          </w:tcPr>
          <w:p w14:paraId="2D80EBA1">
            <w:pPr>
              <w:pStyle w:val="5"/>
              <w:spacing w:before="43" w:line="254" w:lineRule="auto"/>
              <w:ind w:left="103" w:right="109" w:firstLine="2"/>
              <w:jc w:val="both"/>
              <w:rPr>
                <w:rFonts w:hint="eastAsia" w:ascii="国标宋体" w:hAnsi="国标宋体" w:eastAsia="国标宋体" w:cs="国标宋体"/>
              </w:rPr>
            </w:pPr>
            <w:r>
              <w:rPr>
                <w:rFonts w:hint="eastAsia" w:ascii="国标宋体" w:hAnsi="国标宋体" w:eastAsia="国标宋体" w:cs="国标宋体"/>
                <w:spacing w:val="23"/>
              </w:rPr>
              <w:t>对企业投资建设固定资产投资项目相关行</w:t>
            </w:r>
            <w:r>
              <w:rPr>
                <w:rFonts w:hint="eastAsia" w:ascii="国标宋体" w:hAnsi="国标宋体" w:eastAsia="国标宋体" w:cs="国标宋体"/>
                <w:spacing w:val="9"/>
              </w:rPr>
              <w:t>为的行政检查</w:t>
            </w:r>
          </w:p>
        </w:tc>
        <w:tc>
          <w:tcPr>
            <w:tcW w:w="1304" w:type="dxa"/>
            <w:vAlign w:val="center"/>
          </w:tcPr>
          <w:p w14:paraId="51334DAB">
            <w:pPr>
              <w:pStyle w:val="5"/>
              <w:spacing w:before="42" w:line="253" w:lineRule="auto"/>
              <w:ind w:left="106" w:right="108" w:firstLine="40"/>
              <w:jc w:val="both"/>
              <w:rPr>
                <w:rFonts w:hint="eastAsia" w:ascii="国标宋体" w:hAnsi="国标宋体" w:eastAsia="国标宋体" w:cs="国标宋体"/>
              </w:rPr>
            </w:pPr>
            <w:r>
              <w:rPr>
                <w:rFonts w:hint="eastAsia" w:ascii="国标宋体" w:hAnsi="国标宋体" w:eastAsia="国标宋体" w:cs="国标宋体"/>
                <w:spacing w:val="1"/>
              </w:rPr>
              <w:t>自然人、法</w:t>
            </w:r>
            <w:r>
              <w:rPr>
                <w:rFonts w:hint="eastAsia" w:ascii="国标宋体" w:hAnsi="国标宋体" w:eastAsia="国标宋体" w:cs="国标宋体"/>
                <w:spacing w:val="16"/>
              </w:rPr>
              <w:t>人和非法人</w:t>
            </w:r>
            <w:r>
              <w:rPr>
                <w:rFonts w:hint="eastAsia" w:ascii="国标宋体" w:hAnsi="国标宋体" w:eastAsia="国标宋体" w:cs="国标宋体"/>
                <w:spacing w:val="7"/>
              </w:rPr>
              <w:t>组织</w:t>
            </w:r>
          </w:p>
        </w:tc>
        <w:tc>
          <w:tcPr>
            <w:tcW w:w="1125" w:type="dxa"/>
            <w:vAlign w:val="center"/>
          </w:tcPr>
          <w:p w14:paraId="6965ACEB">
            <w:pPr>
              <w:pStyle w:val="5"/>
              <w:spacing w:before="43" w:line="249" w:lineRule="auto"/>
              <w:ind w:left="110" w:right="107"/>
              <w:jc w:val="both"/>
              <w:rPr>
                <w:rFonts w:hint="eastAsia" w:ascii="国标宋体" w:hAnsi="国标宋体" w:eastAsia="国标宋体" w:cs="国标宋体"/>
              </w:rPr>
            </w:pPr>
            <w:r>
              <w:rPr>
                <w:rFonts w:hint="eastAsia" w:ascii="国标宋体" w:hAnsi="国标宋体" w:eastAsia="国标宋体" w:cs="国标宋体"/>
                <w:spacing w:val="25"/>
              </w:rPr>
              <w:t>一般检查</w:t>
            </w:r>
            <w:r>
              <w:rPr>
                <w:rFonts w:hint="eastAsia" w:ascii="国标宋体" w:hAnsi="国标宋体" w:eastAsia="国标宋体" w:cs="国标宋体"/>
                <w:spacing w:val="6"/>
              </w:rPr>
              <w:t>事项</w:t>
            </w:r>
          </w:p>
        </w:tc>
        <w:tc>
          <w:tcPr>
            <w:tcW w:w="1319" w:type="dxa"/>
            <w:vAlign w:val="center"/>
          </w:tcPr>
          <w:p w14:paraId="216EF4FB">
            <w:pPr>
              <w:pStyle w:val="5"/>
              <w:spacing w:before="43" w:line="249" w:lineRule="auto"/>
              <w:ind w:left="111" w:right="106" w:firstLine="1"/>
              <w:jc w:val="both"/>
              <w:rPr>
                <w:rFonts w:hint="eastAsia" w:ascii="国标宋体" w:hAnsi="国标宋体" w:eastAsia="国标宋体" w:cs="国标宋体"/>
              </w:rPr>
            </w:pPr>
            <w:r>
              <w:rPr>
                <w:rFonts w:hint="eastAsia" w:ascii="国标宋体" w:hAnsi="国标宋体" w:eastAsia="国标宋体" w:cs="国标宋体"/>
                <w:spacing w:val="18"/>
              </w:rPr>
              <w:t>现场检查和</w:t>
            </w:r>
            <w:r>
              <w:rPr>
                <w:rFonts w:hint="eastAsia" w:ascii="国标宋体" w:hAnsi="国标宋体" w:eastAsia="国标宋体" w:cs="国标宋体"/>
                <w:spacing w:val="8"/>
              </w:rPr>
              <w:t>在线监管</w:t>
            </w:r>
          </w:p>
        </w:tc>
        <w:tc>
          <w:tcPr>
            <w:tcW w:w="1170" w:type="dxa"/>
            <w:vAlign w:val="center"/>
          </w:tcPr>
          <w:p w14:paraId="18C94C45">
            <w:pPr>
              <w:pStyle w:val="5"/>
              <w:spacing w:before="43" w:line="249" w:lineRule="auto"/>
              <w:ind w:left="112" w:right="105"/>
              <w:jc w:val="both"/>
              <w:rPr>
                <w:rFonts w:hint="eastAsia" w:ascii="国标宋体" w:hAnsi="国标宋体" w:eastAsia="国标宋体" w:cs="国标宋体"/>
              </w:rPr>
            </w:pPr>
            <w:r>
              <w:rPr>
                <w:rFonts w:hint="eastAsia" w:ascii="国标宋体" w:hAnsi="国标宋体" w:eastAsia="国标宋体" w:cs="国标宋体"/>
                <w:spacing w:val="-11"/>
                <w:lang w:eastAsia="zh-CN"/>
              </w:rPr>
              <w:t>北京城市副中心管委会</w:t>
            </w:r>
          </w:p>
        </w:tc>
        <w:tc>
          <w:tcPr>
            <w:tcW w:w="3749" w:type="dxa"/>
            <w:vAlign w:val="center"/>
          </w:tcPr>
          <w:p w14:paraId="22763715">
            <w:pPr>
              <w:pStyle w:val="5"/>
              <w:spacing w:before="42" w:line="249" w:lineRule="auto"/>
              <w:ind w:left="100" w:hanging="8"/>
              <w:jc w:val="both"/>
              <w:rPr>
                <w:rFonts w:hint="eastAsia" w:ascii="国标宋体" w:hAnsi="国标宋体" w:eastAsia="国标宋体" w:cs="国标宋体"/>
              </w:rPr>
            </w:pPr>
            <w:r>
              <w:rPr>
                <w:rFonts w:hint="eastAsia" w:ascii="国标宋体" w:hAnsi="国标宋体" w:eastAsia="国标宋体" w:cs="国标宋体"/>
                <w:spacing w:val="14"/>
              </w:rPr>
              <w:t>《企业投资项目核准和备案管理条例》</w:t>
            </w:r>
            <w:r>
              <w:rPr>
                <w:rFonts w:hint="eastAsia" w:ascii="国标宋体" w:hAnsi="国标宋体" w:eastAsia="国标宋体" w:cs="国标宋体"/>
                <w:spacing w:val="2"/>
              </w:rPr>
              <w:t>（国务院令第673号）</w:t>
            </w:r>
          </w:p>
          <w:p w14:paraId="168086CE">
            <w:pPr>
              <w:pStyle w:val="5"/>
              <w:spacing w:before="21" w:line="249" w:lineRule="auto"/>
              <w:ind w:left="92"/>
              <w:jc w:val="both"/>
              <w:rPr>
                <w:rFonts w:hint="eastAsia" w:ascii="国标宋体" w:hAnsi="国标宋体" w:eastAsia="国标宋体" w:cs="国标宋体"/>
              </w:rPr>
            </w:pPr>
            <w:r>
              <w:rPr>
                <w:rFonts w:hint="eastAsia" w:ascii="国标宋体" w:hAnsi="国标宋体" w:eastAsia="国标宋体" w:cs="国标宋体"/>
                <w:spacing w:val="14"/>
              </w:rPr>
              <w:t>《企业投资项目核准和备案管理办法》</w:t>
            </w:r>
            <w:r>
              <w:rPr>
                <w:rFonts w:hint="eastAsia" w:ascii="国标宋体" w:hAnsi="国标宋体" w:eastAsia="国标宋体" w:cs="国标宋体"/>
                <w:spacing w:val="5"/>
              </w:rPr>
              <w:t>（国家发展和改革委员会令第</w:t>
            </w:r>
            <w:r>
              <w:rPr>
                <w:rFonts w:hint="eastAsia" w:ascii="国标宋体" w:hAnsi="国标宋体" w:eastAsia="国标宋体" w:cs="国标宋体"/>
                <w:spacing w:val="5"/>
                <w:lang w:val="en-US" w:eastAsia="zh-CN"/>
              </w:rPr>
              <w:t>2</w:t>
            </w:r>
            <w:r>
              <w:rPr>
                <w:rFonts w:hint="eastAsia" w:ascii="国标宋体" w:hAnsi="国标宋体" w:eastAsia="国标宋体" w:cs="国标宋体"/>
                <w:spacing w:val="5"/>
              </w:rPr>
              <w:t>号</w:t>
            </w:r>
            <w:r>
              <w:rPr>
                <w:rFonts w:hint="eastAsia" w:ascii="国标宋体" w:hAnsi="国标宋体" w:eastAsia="国标宋体" w:cs="国标宋体"/>
                <w:spacing w:val="4"/>
              </w:rPr>
              <w:t>）</w:t>
            </w:r>
            <w:r>
              <w:rPr>
                <w:rFonts w:hint="eastAsia" w:ascii="国标宋体" w:hAnsi="国标宋体" w:eastAsia="国标宋体" w:cs="国标宋体"/>
                <w:spacing w:val="28"/>
              </w:rPr>
              <w:t>《企业投资项目事中事后监管办法》</w:t>
            </w:r>
            <w:r>
              <w:rPr>
                <w:rFonts w:hint="eastAsia" w:ascii="国标宋体" w:hAnsi="国标宋体" w:eastAsia="国标宋体" w:cs="国标宋体"/>
                <w:spacing w:val="4"/>
              </w:rPr>
              <w:t>（国家发展和改革委员会令第</w:t>
            </w:r>
            <w:r>
              <w:rPr>
                <w:rFonts w:hint="eastAsia" w:ascii="国标宋体" w:hAnsi="国标宋体" w:eastAsia="国标宋体" w:cs="国标宋体"/>
                <w:spacing w:val="31"/>
                <w:lang w:val="en-US" w:eastAsia="zh-CN"/>
              </w:rPr>
              <w:t>14</w:t>
            </w:r>
            <w:r>
              <w:rPr>
                <w:rFonts w:hint="eastAsia" w:ascii="国标宋体" w:hAnsi="国标宋体" w:eastAsia="国标宋体" w:cs="国标宋体"/>
                <w:spacing w:val="4"/>
              </w:rPr>
              <w:t>号）</w:t>
            </w:r>
          </w:p>
        </w:tc>
        <w:tc>
          <w:tcPr>
            <w:tcW w:w="977" w:type="dxa"/>
            <w:vAlign w:val="center"/>
          </w:tcPr>
          <w:p w14:paraId="5554D16F">
            <w:pPr>
              <w:pStyle w:val="5"/>
              <w:spacing w:before="73" w:line="239" w:lineRule="auto"/>
              <w:ind w:left="385"/>
              <w:jc w:val="both"/>
              <w:rPr>
                <w:rFonts w:hint="eastAsia" w:ascii="国标宋体" w:hAnsi="国标宋体" w:eastAsia="国标宋体" w:cs="国标宋体"/>
                <w:spacing w:val="4"/>
              </w:rPr>
            </w:pPr>
            <w:r>
              <w:rPr>
                <w:rFonts w:hint="eastAsia" w:ascii="国标宋体" w:hAnsi="国标宋体" w:eastAsia="国标宋体" w:cs="国标宋体"/>
                <w:spacing w:val="4"/>
              </w:rPr>
              <w:t>是</w:t>
            </w:r>
          </w:p>
        </w:tc>
      </w:tr>
      <w:tr w14:paraId="08A3E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0" w:type="dxa"/>
            <w:vAlign w:val="center"/>
          </w:tcPr>
          <w:p w14:paraId="51F18A8F">
            <w:pPr>
              <w:spacing w:line="248" w:lineRule="auto"/>
              <w:jc w:val="center"/>
              <w:rPr>
                <w:rFonts w:hint="eastAsia" w:ascii="国标宋体" w:hAnsi="国标宋体" w:eastAsia="国标宋体" w:cs="国标宋体"/>
                <w:sz w:val="21"/>
              </w:rPr>
            </w:pPr>
            <w:r>
              <w:rPr>
                <w:rFonts w:hint="eastAsia" w:ascii="国标宋体" w:hAnsi="国标宋体" w:eastAsia="国标宋体" w:cs="国标宋体"/>
                <w:sz w:val="21"/>
              </w:rPr>
              <w:t>4</w:t>
            </w:r>
          </w:p>
        </w:tc>
        <w:tc>
          <w:tcPr>
            <w:tcW w:w="1574" w:type="dxa"/>
            <w:vAlign w:val="center"/>
          </w:tcPr>
          <w:p w14:paraId="38B7B6C8">
            <w:pPr>
              <w:pStyle w:val="5"/>
              <w:spacing w:before="40" w:line="246" w:lineRule="auto"/>
              <w:ind w:left="105" w:right="108"/>
              <w:jc w:val="both"/>
              <w:rPr>
                <w:rFonts w:hint="eastAsia" w:ascii="国标宋体" w:hAnsi="国标宋体" w:eastAsia="国标宋体" w:cs="国标宋体"/>
              </w:rPr>
            </w:pPr>
            <w:r>
              <w:rPr>
                <w:rFonts w:hint="eastAsia" w:ascii="国标宋体" w:hAnsi="国标宋体" w:eastAsia="国标宋体" w:cs="国标宋体"/>
                <w:spacing w:val="25"/>
              </w:rPr>
              <w:t>对政府固定资</w:t>
            </w:r>
            <w:r>
              <w:rPr>
                <w:rFonts w:hint="eastAsia" w:ascii="国标宋体" w:hAnsi="国标宋体" w:eastAsia="国标宋体" w:cs="国标宋体"/>
                <w:spacing w:val="18"/>
              </w:rPr>
              <w:t>产投资项目的</w:t>
            </w:r>
            <w:r>
              <w:rPr>
                <w:rFonts w:hint="eastAsia" w:ascii="国标宋体" w:hAnsi="国标宋体" w:eastAsia="国标宋体" w:cs="国标宋体"/>
                <w:spacing w:val="8"/>
              </w:rPr>
              <w:t>行政检查</w:t>
            </w:r>
          </w:p>
        </w:tc>
        <w:tc>
          <w:tcPr>
            <w:tcW w:w="1559" w:type="dxa"/>
            <w:vAlign w:val="center"/>
          </w:tcPr>
          <w:p w14:paraId="6E1B787B">
            <w:pPr>
              <w:pStyle w:val="5"/>
              <w:spacing w:before="40" w:line="246" w:lineRule="auto"/>
              <w:ind w:left="105" w:right="109"/>
              <w:jc w:val="both"/>
              <w:rPr>
                <w:rFonts w:hint="eastAsia" w:ascii="国标宋体" w:hAnsi="国标宋体" w:eastAsia="国标宋体" w:cs="国标宋体"/>
              </w:rPr>
            </w:pPr>
            <w:r>
              <w:rPr>
                <w:rFonts w:hint="eastAsia" w:ascii="国标宋体" w:hAnsi="国标宋体" w:eastAsia="国标宋体" w:cs="国标宋体"/>
                <w:spacing w:val="23"/>
              </w:rPr>
              <w:t>对政府固定资产投资项目的</w:t>
            </w:r>
            <w:r>
              <w:rPr>
                <w:rFonts w:hint="eastAsia" w:ascii="国标宋体" w:hAnsi="国标宋体" w:eastAsia="国标宋体" w:cs="国标宋体"/>
                <w:spacing w:val="8"/>
              </w:rPr>
              <w:t>行政检查</w:t>
            </w:r>
          </w:p>
        </w:tc>
        <w:tc>
          <w:tcPr>
            <w:tcW w:w="1304" w:type="dxa"/>
            <w:vAlign w:val="center"/>
          </w:tcPr>
          <w:p w14:paraId="4A9613C8">
            <w:pPr>
              <w:pStyle w:val="5"/>
              <w:spacing w:before="40" w:line="246" w:lineRule="auto"/>
              <w:ind w:left="106" w:right="108" w:firstLine="40"/>
              <w:jc w:val="both"/>
              <w:rPr>
                <w:rFonts w:hint="eastAsia" w:ascii="国标宋体" w:hAnsi="国标宋体" w:eastAsia="国标宋体" w:cs="国标宋体"/>
              </w:rPr>
            </w:pPr>
            <w:r>
              <w:rPr>
                <w:rFonts w:hint="eastAsia" w:ascii="国标宋体" w:hAnsi="国标宋体" w:eastAsia="国标宋体" w:cs="国标宋体"/>
                <w:spacing w:val="1"/>
              </w:rPr>
              <w:t>自然人、法</w:t>
            </w:r>
            <w:r>
              <w:rPr>
                <w:rFonts w:hint="eastAsia" w:ascii="国标宋体" w:hAnsi="国标宋体" w:eastAsia="国标宋体" w:cs="国标宋体"/>
                <w:spacing w:val="16"/>
              </w:rPr>
              <w:t>人和非法人</w:t>
            </w:r>
            <w:r>
              <w:rPr>
                <w:rFonts w:hint="eastAsia" w:ascii="国标宋体" w:hAnsi="国标宋体" w:eastAsia="国标宋体" w:cs="国标宋体"/>
                <w:spacing w:val="7"/>
              </w:rPr>
              <w:t>组织</w:t>
            </w:r>
          </w:p>
        </w:tc>
        <w:tc>
          <w:tcPr>
            <w:tcW w:w="1125" w:type="dxa"/>
            <w:vAlign w:val="center"/>
          </w:tcPr>
          <w:p w14:paraId="6DAFFAE0">
            <w:pPr>
              <w:pStyle w:val="5"/>
              <w:spacing w:before="43" w:line="249" w:lineRule="auto"/>
              <w:ind w:left="110" w:right="107"/>
              <w:jc w:val="both"/>
              <w:rPr>
                <w:rFonts w:hint="eastAsia" w:ascii="国标宋体" w:hAnsi="国标宋体" w:eastAsia="国标宋体" w:cs="国标宋体"/>
              </w:rPr>
            </w:pPr>
            <w:r>
              <w:rPr>
                <w:rFonts w:hint="eastAsia" w:ascii="国标宋体" w:hAnsi="国标宋体" w:eastAsia="国标宋体" w:cs="国标宋体"/>
                <w:spacing w:val="25"/>
              </w:rPr>
              <w:t>一般检查</w:t>
            </w:r>
            <w:r>
              <w:rPr>
                <w:rFonts w:hint="eastAsia" w:ascii="国标宋体" w:hAnsi="国标宋体" w:eastAsia="国标宋体" w:cs="国标宋体"/>
                <w:spacing w:val="6"/>
              </w:rPr>
              <w:t>事项</w:t>
            </w:r>
          </w:p>
        </w:tc>
        <w:tc>
          <w:tcPr>
            <w:tcW w:w="1319" w:type="dxa"/>
            <w:vAlign w:val="center"/>
          </w:tcPr>
          <w:p w14:paraId="3B1ACCA3">
            <w:pPr>
              <w:pStyle w:val="5"/>
              <w:spacing w:before="43" w:line="249" w:lineRule="auto"/>
              <w:ind w:left="111" w:right="106" w:firstLine="1"/>
              <w:jc w:val="both"/>
              <w:rPr>
                <w:rFonts w:hint="eastAsia" w:ascii="国标宋体" w:hAnsi="国标宋体" w:eastAsia="国标宋体" w:cs="国标宋体"/>
              </w:rPr>
            </w:pPr>
            <w:r>
              <w:rPr>
                <w:rFonts w:hint="eastAsia" w:ascii="国标宋体" w:hAnsi="国标宋体" w:eastAsia="国标宋体" w:cs="国标宋体"/>
                <w:spacing w:val="18"/>
              </w:rPr>
              <w:t>现场检查和</w:t>
            </w:r>
            <w:r>
              <w:rPr>
                <w:rFonts w:hint="eastAsia" w:ascii="国标宋体" w:hAnsi="国标宋体" w:eastAsia="国标宋体" w:cs="国标宋体"/>
                <w:spacing w:val="8"/>
              </w:rPr>
              <w:t>在线监管</w:t>
            </w:r>
          </w:p>
        </w:tc>
        <w:tc>
          <w:tcPr>
            <w:tcW w:w="1170" w:type="dxa"/>
            <w:vAlign w:val="center"/>
          </w:tcPr>
          <w:p w14:paraId="5D5C05B3">
            <w:pPr>
              <w:pStyle w:val="5"/>
              <w:spacing w:before="43" w:line="249" w:lineRule="auto"/>
              <w:ind w:left="112" w:right="105"/>
              <w:jc w:val="both"/>
              <w:rPr>
                <w:rFonts w:hint="eastAsia" w:ascii="国标宋体" w:hAnsi="国标宋体" w:eastAsia="国标宋体" w:cs="国标宋体"/>
              </w:rPr>
            </w:pPr>
            <w:r>
              <w:rPr>
                <w:rFonts w:hint="eastAsia" w:ascii="国标宋体" w:hAnsi="国标宋体" w:eastAsia="国标宋体" w:cs="国标宋体"/>
                <w:spacing w:val="-11"/>
                <w:lang w:eastAsia="zh-CN"/>
              </w:rPr>
              <w:t>北京城市副中心管委会</w:t>
            </w:r>
          </w:p>
        </w:tc>
        <w:tc>
          <w:tcPr>
            <w:tcW w:w="3749" w:type="dxa"/>
            <w:vAlign w:val="center"/>
          </w:tcPr>
          <w:p w14:paraId="7359F2EB">
            <w:pPr>
              <w:pStyle w:val="5"/>
              <w:spacing w:before="43" w:line="235" w:lineRule="auto"/>
              <w:ind w:left="92"/>
              <w:jc w:val="both"/>
              <w:rPr>
                <w:rFonts w:hint="eastAsia" w:ascii="国标宋体" w:hAnsi="国标宋体" w:eastAsia="国标宋体" w:cs="国标宋体"/>
              </w:rPr>
            </w:pPr>
            <w:r>
              <w:rPr>
                <w:rFonts w:hint="eastAsia" w:ascii="国标宋体" w:hAnsi="国标宋体" w:eastAsia="国标宋体" w:cs="国标宋体"/>
                <w:spacing w:val="3"/>
              </w:rPr>
              <w:t>《政府投资条例》</w:t>
            </w:r>
            <w:r>
              <w:rPr>
                <w:rFonts w:hint="eastAsia" w:ascii="国标宋体" w:hAnsi="国标宋体" w:eastAsia="国标宋体" w:cs="国标宋体"/>
                <w:spacing w:val="3"/>
                <w:lang w:eastAsia="zh-CN"/>
              </w:rPr>
              <w:t>（</w:t>
            </w:r>
            <w:r>
              <w:rPr>
                <w:rFonts w:hint="eastAsia" w:ascii="国标宋体" w:hAnsi="国标宋体" w:eastAsia="国标宋体" w:cs="国标宋体"/>
                <w:spacing w:val="3"/>
              </w:rPr>
              <w:t>国务院令第</w:t>
            </w:r>
            <w:r>
              <w:rPr>
                <w:rFonts w:hint="eastAsia" w:ascii="国标宋体" w:hAnsi="国标宋体" w:eastAsia="国标宋体" w:cs="国标宋体"/>
                <w:spacing w:val="35"/>
                <w:lang w:val="en-US" w:eastAsia="zh-CN"/>
              </w:rPr>
              <w:t>712</w:t>
            </w:r>
            <w:r>
              <w:rPr>
                <w:rFonts w:hint="eastAsia" w:ascii="国标宋体" w:hAnsi="国标宋体" w:eastAsia="国标宋体" w:cs="国标宋体"/>
                <w:spacing w:val="3"/>
              </w:rPr>
              <w:t>号</w:t>
            </w:r>
            <w:r>
              <w:rPr>
                <w:rFonts w:hint="eastAsia" w:ascii="国标宋体" w:hAnsi="国标宋体" w:eastAsia="国标宋体" w:cs="国标宋体"/>
                <w:spacing w:val="3"/>
                <w:lang w:eastAsia="zh-CN"/>
              </w:rPr>
              <w:t>）</w:t>
            </w:r>
          </w:p>
        </w:tc>
        <w:tc>
          <w:tcPr>
            <w:tcW w:w="977" w:type="dxa"/>
            <w:vAlign w:val="center"/>
          </w:tcPr>
          <w:p w14:paraId="703CF535">
            <w:pPr>
              <w:pStyle w:val="5"/>
              <w:spacing w:before="73" w:line="239" w:lineRule="auto"/>
              <w:ind w:left="385"/>
              <w:jc w:val="both"/>
              <w:rPr>
                <w:rFonts w:hint="eastAsia" w:ascii="国标宋体" w:hAnsi="国标宋体" w:eastAsia="国标宋体" w:cs="国标宋体"/>
                <w:spacing w:val="4"/>
              </w:rPr>
            </w:pPr>
            <w:r>
              <w:rPr>
                <w:rFonts w:hint="eastAsia" w:ascii="国标宋体" w:hAnsi="国标宋体" w:eastAsia="国标宋体" w:cs="国标宋体"/>
                <w:spacing w:val="4"/>
              </w:rPr>
              <w:t>是</w:t>
            </w:r>
          </w:p>
        </w:tc>
      </w:tr>
      <w:tr w14:paraId="7CB10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0" w:type="dxa"/>
            <w:vAlign w:val="center"/>
          </w:tcPr>
          <w:p w14:paraId="05E1E370">
            <w:pPr>
              <w:spacing w:line="248" w:lineRule="auto"/>
              <w:jc w:val="center"/>
              <w:rPr>
                <w:rFonts w:hint="eastAsia" w:ascii="国标宋体" w:hAnsi="国标宋体" w:eastAsia="国标宋体" w:cs="国标宋体"/>
                <w:sz w:val="21"/>
                <w:lang w:val="en-US" w:eastAsia="zh-CN"/>
              </w:rPr>
            </w:pPr>
            <w:r>
              <w:rPr>
                <w:rFonts w:hint="eastAsia" w:ascii="国标宋体" w:hAnsi="国标宋体" w:eastAsia="国标宋体" w:cs="国标宋体"/>
                <w:sz w:val="21"/>
                <w:lang w:val="en-US" w:eastAsia="zh-CN"/>
              </w:rPr>
              <w:t>5</w:t>
            </w:r>
          </w:p>
        </w:tc>
        <w:tc>
          <w:tcPr>
            <w:tcW w:w="1574" w:type="dxa"/>
            <w:vAlign w:val="center"/>
          </w:tcPr>
          <w:p w14:paraId="2F872F21">
            <w:pPr>
              <w:pStyle w:val="5"/>
              <w:spacing w:before="40" w:line="246" w:lineRule="auto"/>
              <w:ind w:left="105" w:right="108"/>
              <w:jc w:val="both"/>
              <w:rPr>
                <w:rFonts w:hint="eastAsia" w:ascii="国标宋体" w:hAnsi="国标宋体" w:eastAsia="国标宋体" w:cs="国标宋体"/>
                <w:spacing w:val="25"/>
              </w:rPr>
            </w:pPr>
            <w:r>
              <w:rPr>
                <w:rFonts w:hint="eastAsia" w:ascii="国标宋体" w:hAnsi="国标宋体" w:eastAsia="国标宋体" w:cs="国标宋体"/>
                <w:spacing w:val="25"/>
              </w:rPr>
              <w:t>对土地使用权的出让、转让、出租、抵押、终止的行政检查</w:t>
            </w:r>
          </w:p>
        </w:tc>
        <w:tc>
          <w:tcPr>
            <w:tcW w:w="1559" w:type="dxa"/>
            <w:vAlign w:val="center"/>
          </w:tcPr>
          <w:p w14:paraId="5A757F4E">
            <w:pPr>
              <w:pStyle w:val="5"/>
              <w:spacing w:before="40" w:line="246" w:lineRule="auto"/>
              <w:ind w:left="105" w:right="109"/>
              <w:jc w:val="both"/>
              <w:rPr>
                <w:rFonts w:hint="eastAsia" w:ascii="国标宋体" w:hAnsi="国标宋体" w:eastAsia="国标宋体" w:cs="国标宋体"/>
                <w:spacing w:val="23"/>
              </w:rPr>
            </w:pPr>
            <w:r>
              <w:rPr>
                <w:rFonts w:hint="eastAsia" w:ascii="国标宋体" w:hAnsi="国标宋体" w:eastAsia="国标宋体" w:cs="国标宋体"/>
                <w:spacing w:val="23"/>
              </w:rPr>
              <w:t>对土地使用权的出让、转让、出租、抵押、终止的行政检查</w:t>
            </w:r>
          </w:p>
        </w:tc>
        <w:tc>
          <w:tcPr>
            <w:tcW w:w="1304" w:type="dxa"/>
            <w:vAlign w:val="center"/>
          </w:tcPr>
          <w:p w14:paraId="22D4F333">
            <w:pPr>
              <w:pStyle w:val="5"/>
              <w:spacing w:before="40" w:line="246" w:lineRule="auto"/>
              <w:ind w:left="106" w:right="108" w:firstLine="40"/>
              <w:jc w:val="both"/>
              <w:rPr>
                <w:rFonts w:hint="eastAsia" w:ascii="国标宋体" w:hAnsi="国标宋体" w:eastAsia="国标宋体" w:cs="国标宋体"/>
                <w:spacing w:val="1"/>
              </w:rPr>
            </w:pPr>
            <w:r>
              <w:rPr>
                <w:rFonts w:hint="eastAsia" w:ascii="国标宋体" w:hAnsi="国标宋体" w:eastAsia="国标宋体" w:cs="国标宋体"/>
                <w:spacing w:val="1"/>
              </w:rPr>
              <w:t>自然人、法</w:t>
            </w:r>
            <w:r>
              <w:rPr>
                <w:rFonts w:hint="eastAsia" w:ascii="国标宋体" w:hAnsi="国标宋体" w:eastAsia="国标宋体" w:cs="国标宋体"/>
                <w:spacing w:val="16"/>
              </w:rPr>
              <w:t>人和非法人</w:t>
            </w:r>
            <w:r>
              <w:rPr>
                <w:rFonts w:hint="eastAsia" w:ascii="国标宋体" w:hAnsi="国标宋体" w:eastAsia="国标宋体" w:cs="国标宋体"/>
                <w:spacing w:val="7"/>
              </w:rPr>
              <w:t>组织</w:t>
            </w:r>
          </w:p>
        </w:tc>
        <w:tc>
          <w:tcPr>
            <w:tcW w:w="1125" w:type="dxa"/>
            <w:vAlign w:val="center"/>
          </w:tcPr>
          <w:p w14:paraId="36E86214">
            <w:pPr>
              <w:pStyle w:val="5"/>
              <w:spacing w:before="43" w:line="249" w:lineRule="auto"/>
              <w:ind w:left="110" w:leftChars="0" w:right="107" w:rightChars="0"/>
              <w:jc w:val="both"/>
              <w:rPr>
                <w:rFonts w:hint="eastAsia" w:ascii="国标宋体" w:hAnsi="国标宋体" w:eastAsia="国标宋体" w:cs="国标宋体"/>
                <w:spacing w:val="25"/>
              </w:rPr>
            </w:pPr>
            <w:r>
              <w:rPr>
                <w:rFonts w:hint="eastAsia" w:ascii="国标宋体" w:hAnsi="国标宋体" w:eastAsia="国标宋体" w:cs="国标宋体"/>
                <w:spacing w:val="25"/>
              </w:rPr>
              <w:t>一般检查</w:t>
            </w:r>
            <w:r>
              <w:rPr>
                <w:rFonts w:hint="eastAsia" w:ascii="国标宋体" w:hAnsi="国标宋体" w:eastAsia="国标宋体" w:cs="国标宋体"/>
                <w:spacing w:val="6"/>
              </w:rPr>
              <w:t>事项</w:t>
            </w:r>
          </w:p>
        </w:tc>
        <w:tc>
          <w:tcPr>
            <w:tcW w:w="1319" w:type="dxa"/>
            <w:vAlign w:val="center"/>
          </w:tcPr>
          <w:p w14:paraId="456B67E6">
            <w:pPr>
              <w:pStyle w:val="5"/>
              <w:spacing w:before="43" w:line="249" w:lineRule="auto"/>
              <w:ind w:left="111" w:leftChars="0" w:right="106" w:rightChars="0" w:firstLine="1" w:firstLineChars="0"/>
              <w:jc w:val="both"/>
              <w:rPr>
                <w:rFonts w:hint="eastAsia" w:ascii="国标宋体" w:hAnsi="国标宋体" w:eastAsia="国标宋体" w:cs="国标宋体"/>
                <w:spacing w:val="18"/>
              </w:rPr>
            </w:pPr>
            <w:r>
              <w:rPr>
                <w:rFonts w:hint="eastAsia" w:ascii="国标宋体" w:hAnsi="国标宋体" w:eastAsia="国标宋体" w:cs="国标宋体"/>
                <w:spacing w:val="18"/>
              </w:rPr>
              <w:t>现场检查和</w:t>
            </w:r>
            <w:r>
              <w:rPr>
                <w:rFonts w:hint="eastAsia" w:ascii="国标宋体" w:hAnsi="国标宋体" w:eastAsia="国标宋体" w:cs="国标宋体"/>
                <w:spacing w:val="8"/>
              </w:rPr>
              <w:t>在线监管</w:t>
            </w:r>
          </w:p>
        </w:tc>
        <w:tc>
          <w:tcPr>
            <w:tcW w:w="1170" w:type="dxa"/>
            <w:vAlign w:val="center"/>
          </w:tcPr>
          <w:p w14:paraId="64F8A83F">
            <w:pPr>
              <w:pStyle w:val="5"/>
              <w:spacing w:before="43" w:line="249" w:lineRule="auto"/>
              <w:ind w:left="112" w:leftChars="0" w:right="105" w:rightChars="0"/>
              <w:jc w:val="both"/>
              <w:rPr>
                <w:rFonts w:hint="eastAsia" w:ascii="国标宋体" w:hAnsi="国标宋体" w:eastAsia="国标宋体" w:cs="国标宋体"/>
                <w:spacing w:val="-11"/>
                <w:lang w:eastAsia="zh-CN"/>
              </w:rPr>
            </w:pPr>
            <w:r>
              <w:rPr>
                <w:rFonts w:hint="eastAsia" w:ascii="国标宋体" w:hAnsi="国标宋体" w:eastAsia="国标宋体" w:cs="国标宋体"/>
                <w:spacing w:val="-11"/>
                <w:lang w:eastAsia="zh-CN"/>
              </w:rPr>
              <w:t>北京城市副中心管委会</w:t>
            </w:r>
          </w:p>
        </w:tc>
        <w:tc>
          <w:tcPr>
            <w:tcW w:w="3749" w:type="dxa"/>
            <w:vAlign w:val="center"/>
          </w:tcPr>
          <w:p w14:paraId="6976B970">
            <w:pPr>
              <w:pStyle w:val="5"/>
              <w:spacing w:before="43" w:line="235" w:lineRule="auto"/>
              <w:ind w:left="92"/>
              <w:jc w:val="both"/>
              <w:rPr>
                <w:rFonts w:hint="eastAsia" w:ascii="国标宋体" w:hAnsi="国标宋体" w:eastAsia="国标宋体" w:cs="国标宋体"/>
                <w:spacing w:val="3"/>
                <w:lang w:eastAsia="zh-CN"/>
              </w:rPr>
            </w:pPr>
            <w:r>
              <w:rPr>
                <w:rFonts w:hint="eastAsia" w:ascii="国标宋体" w:hAnsi="国标宋体" w:eastAsia="国标宋体" w:cs="国标宋体"/>
                <w:spacing w:val="3"/>
                <w:lang w:eastAsia="zh-CN"/>
              </w:rPr>
              <w:t>《</w:t>
            </w:r>
            <w:r>
              <w:rPr>
                <w:rFonts w:hint="eastAsia" w:ascii="国标宋体" w:hAnsi="国标宋体" w:eastAsia="国标宋体" w:cs="国标宋体"/>
                <w:spacing w:val="3"/>
              </w:rPr>
              <w:t>中华人民共和国土地管理法</w:t>
            </w:r>
            <w:r>
              <w:rPr>
                <w:rFonts w:hint="eastAsia" w:ascii="国标宋体" w:hAnsi="国标宋体" w:eastAsia="国标宋体" w:cs="国标宋体"/>
                <w:spacing w:val="3"/>
                <w:lang w:eastAsia="zh-CN"/>
              </w:rPr>
              <w:t>》（2019年国家主席令第32号）</w:t>
            </w:r>
          </w:p>
          <w:p w14:paraId="215ED819">
            <w:pPr>
              <w:pStyle w:val="5"/>
              <w:spacing w:before="43" w:line="235" w:lineRule="auto"/>
              <w:ind w:left="92"/>
              <w:jc w:val="both"/>
              <w:rPr>
                <w:rFonts w:hint="eastAsia" w:ascii="国标宋体" w:hAnsi="国标宋体" w:eastAsia="国标宋体" w:cs="国标宋体"/>
                <w:spacing w:val="3"/>
                <w:lang w:eastAsia="zh-CN"/>
              </w:rPr>
            </w:pPr>
            <w:r>
              <w:rPr>
                <w:rFonts w:hint="eastAsia" w:ascii="国标宋体" w:hAnsi="国标宋体" w:eastAsia="国标宋体" w:cs="国标宋体"/>
                <w:spacing w:val="3"/>
                <w:lang w:eastAsia="zh-CN"/>
              </w:rPr>
              <w:t>《中华人民共和国城镇国有土地使用权出让和转让暂行条例》（中华人民共和国国务院令第55号）</w:t>
            </w:r>
          </w:p>
        </w:tc>
        <w:tc>
          <w:tcPr>
            <w:tcW w:w="977" w:type="dxa"/>
            <w:vAlign w:val="center"/>
          </w:tcPr>
          <w:p w14:paraId="7BAD59AA">
            <w:pPr>
              <w:pStyle w:val="5"/>
              <w:spacing w:before="73" w:line="239" w:lineRule="auto"/>
              <w:ind w:left="385"/>
              <w:jc w:val="both"/>
              <w:rPr>
                <w:rFonts w:hint="eastAsia" w:ascii="国标宋体" w:hAnsi="国标宋体" w:eastAsia="国标宋体" w:cs="国标宋体"/>
                <w:spacing w:val="4"/>
                <w:lang w:eastAsia="zh-CN"/>
              </w:rPr>
            </w:pPr>
            <w:r>
              <w:rPr>
                <w:rFonts w:hint="eastAsia" w:ascii="国标宋体" w:hAnsi="国标宋体" w:eastAsia="国标宋体" w:cs="国标宋体"/>
                <w:spacing w:val="4"/>
                <w:lang w:eastAsia="zh-CN"/>
              </w:rPr>
              <w:t>否</w:t>
            </w:r>
            <w:bookmarkStart w:id="0" w:name="_GoBack"/>
            <w:bookmarkEnd w:id="0"/>
          </w:p>
        </w:tc>
      </w:tr>
    </w:tbl>
    <w:p w14:paraId="3A8C76F8">
      <w:pPr>
        <w:rPr>
          <w:rFonts w:ascii="Noto Sans CJK SC Regular"/>
          <w:sz w:val="21"/>
        </w:rPr>
      </w:pPr>
    </w:p>
    <w:sectPr>
      <w:pgSz w:w="16837" w:h="23812"/>
      <w:pgMar w:top="1331" w:right="1687" w:bottom="0" w:left="16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Noto Sans CJK SC Regular">
    <w:panose1 w:val="020B0500000000000000"/>
    <w:charset w:val="86"/>
    <w:family w:val="auto"/>
    <w:pitch w:val="default"/>
    <w:sig w:usb0="30000003" w:usb1="2BDF3C10" w:usb2="00000016" w:usb3="00000000" w:csb0="602E0107" w:csb1="00000000"/>
  </w:font>
  <w:font w:name="FZShuSong-Z01">
    <w:panose1 w:val="02000000000000000000"/>
    <w:charset w:val="86"/>
    <w:family w:val="auto"/>
    <w:pitch w:val="default"/>
    <w:sig w:usb0="00000001" w:usb1="08000000" w:usb2="00000000" w:usb3="00000000" w:csb0="00040000" w:csb1="00000000"/>
  </w:font>
  <w:font w:name="GB_XBS_GB18030">
    <w:panose1 w:val="02000500000000000000"/>
    <w:charset w:val="86"/>
    <w:family w:val="auto"/>
    <w:pitch w:val="default"/>
    <w:sig w:usb0="00000001" w:usb1="08000000" w:usb2="00000000" w:usb3="00000000" w:csb0="00060007" w:csb1="00000000"/>
  </w:font>
  <w:font w:name="国标宋体">
    <w:panose1 w:val="02000500000000000000"/>
    <w:charset w:val="86"/>
    <w:family w:val="auto"/>
    <w:pitch w:val="default"/>
    <w:sig w:usb0="00000001" w:usb1="28000000" w:usb2="00000000" w:usb3="00000000" w:csb0="00060007" w:csb1="00000000"/>
  </w:font>
  <w:font w:name="国标宋体-超大字符集扩">
    <w:panose1 w:val="000005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1FE5D247"/>
    <w:rsid w:val="477348A4"/>
    <w:rsid w:val="F37E16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Noto Sans CJK SC Regular" w:hAnsi="Noto Sans CJK SC Regular" w:eastAsia="Noto Sans CJK SC Regular" w:cs="Noto Sans CJK SC Regular"/>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FZShuSong-Z01" w:hAnsi="FZShuSong-Z01" w:eastAsia="FZShuSong-Z01" w:cs="FZShuSong-Z01"/>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TotalTime>6</TotalTime>
  <ScaleCrop>false</ScaleCrop>
  <LinksUpToDate>false</LinksUpToDate>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2025-11-18T08:40:00Z</dcterms:created>
  <dc:creator>user</dc:creator>
  <cp:lastModifiedBy>超</cp:lastModifiedBy>
  <dcterms:modified xsi:type="dcterms:W3CDTF">2026-06-29T18:01:25Z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2026-06-25T10:42:29Z</vt:filetime>
  </property>
  <property fmtid="{D5CDD505-2E9C-101B-9397-08002B2CF9AE}" pid="4" name="KSOProductBuildVer">
    <vt:lpwstr>2052-12.8.2.1119</vt:lpwstr>
  </property>
  <property fmtid="{D5CDD505-2E9C-101B-9397-08002B2CF9AE}" pid="5" name="ICV">
    <vt:lpwstr>07A09A7D7C9DC3A9E63B426AB4CB4B68_43</vt:lpwstr>
  </property>
</Properties>
</file>