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D72C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附件2：</w:t>
      </w:r>
    </w:p>
    <w:p w14:paraId="4A5FAA4D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《〈关于北京城市副中心支持农业产业高质量发展的若干措施〉政策兑现实施方案》</w:t>
      </w:r>
    </w:p>
    <w:p w14:paraId="69C20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说明</w:t>
      </w:r>
    </w:p>
    <w:p w14:paraId="47B43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3B35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制定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背景</w:t>
      </w:r>
    </w:p>
    <w:p w14:paraId="6CE7D67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 xml:space="preserve">    为深入贯彻落实《国务院关于支持北京城市副中心高质量发展的意见》《北京种业振兴实施方案》《关于推动种业企业高质量发展的工作意见》等文件精神，进一步推进农业产业高质量发展，培育农业新质生产力，根据《关于北京城市副中心支持农业产业高质量发展的若干措施》，现拟组织开展政策兑现申报工作，特制定《〈关于北京城市副中心支持农业产业高质量发展的若干措施〉政策兑现实施方案》。</w:t>
      </w:r>
    </w:p>
    <w:p w14:paraId="11680AF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643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主要内容</w:t>
      </w:r>
    </w:p>
    <w:p w14:paraId="6F6FC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《公平竞争审查条例》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相关规定，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实施方案》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共涉及五方面内容，包括：适用范围、支持方向、申报条件、申报时间和方式和联系方式。</w:t>
      </w:r>
    </w:p>
    <w:p w14:paraId="2A1E4978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此次政策兑现征集时间根据政府网站挂网的具体时间确定，涉及8个支持方向，针对每个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支持方向的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申报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条件、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支持方式和标准、申报材料清单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予以说明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依法登记注册、正常开展生产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经营的种业、种植业、养殖业企业及农业专业服务机构均可按要求申报。申报工作将按照线上申报－资料初审－纸质版报送－专家评审的流程进行最终支持单位和项目的评选。</w:t>
      </w:r>
    </w:p>
    <w:p w14:paraId="01318B2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申报单位可根据自身实际情况择优申报，同一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项目、同一事项同时符合本措施多项条款或通州区其他扶持政策的，按照“从优不重复”原则给予支持。</w:t>
      </w:r>
    </w:p>
    <w:p w14:paraId="36DAE66F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C173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289DB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289DB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25CAB"/>
    <w:rsid w:val="0E1111CE"/>
    <w:rsid w:val="2BEB15F3"/>
    <w:rsid w:val="55290E38"/>
    <w:rsid w:val="62574C7E"/>
    <w:rsid w:val="6A5B188A"/>
    <w:rsid w:val="7982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ceec71-453f-43b0-93ab-337e55b337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530</Words>
  <Characters>530</Characters>
  <Lines>0</Lines>
  <Paragraphs>0</Paragraphs>
  <TotalTime>4</TotalTime>
  <ScaleCrop>false</ScaleCrop>
  <LinksUpToDate>false</LinksUpToDate>
  <CharactersWithSpaces>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2026-09-29T02:58:00Z</dcterms:created>
  <dc:creator>Kim</dc:creator>
  <cp:lastModifiedBy>Kim</cp:lastModifiedBy>
  <dcterms:modified xsi:type="dcterms:W3CDTF">2026-09-30T07:39:17Z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EC8CE301520143A59006FB92DDCEE4EA_11</vt:lpwstr>
  </property>
  <property fmtid="{D5CDD505-2E9C-101B-9397-08002B2CF9AE}" pid="4" name="KSOTemplateDocerSaveRecord">
    <vt:lpwstr>eyJoZGlkIjoiNGMyNGIwYjVlN2M1YWQ5NjlkYjVlNmJmZWNkZmFlMjIiLCJ1c2VySWQiOiIzNDEyMzc1OTMifQ==</vt:lpwstr>
  </property>
</Properties>
</file>