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2BCFA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关于《通州区水预算管理办法（试行）》等7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项制度文件的起草说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明</w:t>
      </w:r>
    </w:p>
    <w:p w14:paraId="012862D2">
      <w:r>
        <w:rPr>
          <w:rFonts w:hint="eastAsia"/>
        </w:rPr>
        <w:t xml:space="preserve"> </w:t>
      </w:r>
    </w:p>
    <w:p w14:paraId="0E70008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为深入推进通州区水预算管理试点工作，建立健全水预算管理制度体系，区水务局研究起草了《通州区水预算管理办法（试行）》等7</w:t>
      </w:r>
      <w:r>
        <w:rPr>
          <w:rFonts w:ascii="仿宋_GB2312" w:hAnsi="仿宋_GB2312" w:eastAsia="仿宋_GB2312" w:cs="仿宋_GB2312"/>
          <w:sz w:val="32"/>
          <w:szCs w:val="32"/>
        </w:rPr>
        <w:t>项制度文件。现将有关起草情况说明如下。</w:t>
      </w:r>
    </w:p>
    <w:p w14:paraId="0563B4E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一、起草背景</w:t>
      </w:r>
    </w:p>
    <w:p w14:paraId="4DFD8AA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2025年9月29日，水利部办公厅印发《水利部办公厅关于公布水预算管理第二批试点地区的通知》，确定北京市通州区为水预算管理第二批市域试点地区。</w:t>
      </w:r>
    </w:p>
    <w:p w14:paraId="0A8312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水利部《水预算管理试点方案》，市域、县域试点地区重点探索行业水预算管理和用水单位预算管理。试点主要包括合理确定预算管理层级和对象、科学设置预算基准额度、加强用水结构化配置、强化水预算执行监督、推行节余用水市场化交易、加强数字化信息化手段应用、推进水预算管理制度建设等任务。</w:t>
      </w:r>
    </w:p>
    <w:p w14:paraId="5D200D5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水预算管理试点建设任务，进一步强化水资源刚性约束，统筹供给侧与需求侧管理，促进水资源优化配置和节约集约利用，结合通州区水资源管理工作实际，区水务局研究构建覆盖预算编制、审核、下达、执行、调整、决算、考核全过程的水预算管理制度体系，为水预算管理试点工作规范有序开展提供制度保障。</w:t>
      </w:r>
    </w:p>
    <w:p w14:paraId="31ACDF0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二、起草思路及过程</w:t>
      </w:r>
    </w:p>
    <w:p w14:paraId="5BC3788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按照通州区水预算管理试点建设总体安排，坚持试点实践与制度建设同步推进。</w:t>
      </w:r>
      <w:r>
        <w:rPr>
          <w:rFonts w:ascii="仿宋_GB2312" w:hAnsi="仿宋_GB2312" w:eastAsia="仿宋_GB2312" w:cs="仿宋_GB2312"/>
          <w:sz w:val="32"/>
          <w:szCs w:val="32"/>
        </w:rPr>
        <w:t>2025年，成立水预算试点专项工作组，明确部门分工和工作推进机制，制定水预算管理试点实施方案，并开展水预算管理对象摸底，初步建立水预算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单元</w:t>
      </w:r>
      <w:r>
        <w:rPr>
          <w:rFonts w:ascii="仿宋_GB2312" w:hAnsi="仿宋_GB2312" w:eastAsia="仿宋_GB2312" w:cs="仿宋_GB2312"/>
          <w:sz w:val="32"/>
          <w:szCs w:val="32"/>
        </w:rPr>
        <w:t>名录库，为后续试点工作奠定基础。</w:t>
      </w:r>
    </w:p>
    <w:p w14:paraId="6125D3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2026年以来，围绕水预算管理基础支撑和全过程管理要求，持续推进各项试点任务。目前，水源、用水户等水预算基础台账已基本建成，地表水、地下水、再生水、外调水等水源总量核算已完成，水预算额度核算方法已基本形成，预算执行评估已完成，年度决算工作正在推进。农业节水精细化管理新范式建设、水预算监测计量提升、水预算管理模块建设等工作也在持续推进；同时，与北京银行、华夏银行对接水预算贷款实施路径，初步确定水预算贷款产品设计思路，持续探索节余额度抵（质）押贷款模式。</w:t>
      </w:r>
    </w:p>
    <w:p w14:paraId="4FF600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上述试点实践基础上，区水务局对形成的管理流程、技术方法和监管要求进行系统总结，围绕预算编制、审核、下达、执行、调整、决算、考核等内容，研究形成《通州区水预算管理办法（试行）》《通州区特殊用水行业取用水管理办法（试行）》等</w:t>
      </w:r>
      <w:r>
        <w:rPr>
          <w:rFonts w:ascii="仿宋_GB2312" w:hAnsi="仿宋_GB2312" w:eastAsia="仿宋_GB2312" w:cs="仿宋_GB2312"/>
          <w:sz w:val="32"/>
          <w:szCs w:val="32"/>
        </w:rPr>
        <w:t>7项制度文件。经持续研究、讨论和修改完善，形成此次征求意见稿。</w:t>
      </w:r>
    </w:p>
    <w:p w14:paraId="2B6F452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三、主要内容</w:t>
      </w:r>
    </w:p>
    <w:p w14:paraId="67AD4E7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本次形成的水预算管理制度体系共包括</w:t>
      </w:r>
      <w:r>
        <w:rPr>
          <w:rFonts w:ascii="仿宋_GB2312" w:hAnsi="仿宋_GB2312" w:eastAsia="仿宋_GB2312" w:cs="仿宋_GB2312"/>
          <w:sz w:val="32"/>
          <w:szCs w:val="32"/>
        </w:rPr>
        <w:t>7项制度文件，分别为《通州区水预算管理办法（试行）》《通州区特殊用水行业取用水管理办法（试行）》《通州区水预算名录库管理实施细则（试行）》《通州区水预算管理考核实施细则（试行）》《通州区水预算管理领域“风险+信用”评价实施细则（试行）》《通州区水预算额度核算技术指南（试行）》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《通州区水预算决算技术指南（试行）》。</w:t>
      </w:r>
      <w:r>
        <w:rPr>
          <w:rFonts w:hint="eastAsia" w:ascii="仿宋_GB2312" w:hAnsi="仿宋_GB2312" w:eastAsia="仿宋_GB2312" w:cs="仿宋_GB2312"/>
          <w:sz w:val="32"/>
          <w:szCs w:val="32"/>
        </w:rPr>
        <w:t>其中，《通州区水预算管理办法（试行）》是全区水预算管理的基础性、综合性制度；名录库管理、额度核算、年度决算、“风险</w:t>
      </w:r>
      <w:r>
        <w:rPr>
          <w:rFonts w:ascii="仿宋_GB2312" w:hAnsi="仿宋_GB2312" w:eastAsia="仿宋_GB2312" w:cs="仿宋_GB2312"/>
          <w:sz w:val="32"/>
          <w:szCs w:val="32"/>
        </w:rPr>
        <w:t>+信用”评价和年度考核等5项实施细则和技术指南，分别对《通州区水预算管理办法（试行）》规定的重点管理环节作出细化；《通州区特殊用水行业取用水管理办法（试行）》是针对特殊用水行业制定的专项管理制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各项制度相互衔接、各有侧重，共同构成覆盖基础管理、额度核算、预算编制、审核、下达、执行、调整、决算、考核及结果应用等环节的水预算管理制度体系。</w:t>
      </w:r>
    </w:p>
    <w:p w14:paraId="3A5174B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1.《通州区水预算管理办法（试行）》。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对全区水预算管理的基本制度、管理程序和工作要求作出总体规定</w:t>
      </w:r>
      <w:r>
        <w:rPr>
          <w:rFonts w:ascii="仿宋_GB2312" w:hAnsi="仿宋_GB2312" w:eastAsia="仿宋_GB2312" w:cs="仿宋_GB2312"/>
          <w:sz w:val="32"/>
          <w:szCs w:val="32"/>
        </w:rPr>
        <w:t>。一是明确水预算管理的适用范围、管理对象、管理原则、预算年度，以及相关部门、街道（乡镇）、供水企业和水预算单元的职责。二是建立分水源、分层级的水预算管理体系，明确地表水、地下水、再生水、外调水等水源类型，以及区级、街道（乡镇）、用水户三级预算管理层级，管理对象涵盖行政区域、用水行业和用水户。三是按照“一年一预算、一年一决算”实施年度管理，明确预算编制、审核、下达、执行、调整、决算、考核7个基本程序。四是建立名录库管理、额度核算、执行预</w:t>
      </w:r>
      <w:r>
        <w:rPr>
          <w:rFonts w:hint="eastAsia" w:ascii="仿宋_GB2312" w:hAnsi="仿宋_GB2312" w:eastAsia="仿宋_GB2312" w:cs="仿宋_GB2312"/>
          <w:sz w:val="32"/>
          <w:szCs w:val="32"/>
        </w:rPr>
        <w:t>警、预算调整、额度收储、年度决算、节水诊断、“风险</w:t>
      </w:r>
      <w:r>
        <w:rPr>
          <w:rFonts w:ascii="仿宋_GB2312" w:hAnsi="仿宋_GB2312" w:eastAsia="仿宋_GB2312" w:cs="仿宋_GB2312"/>
          <w:sz w:val="32"/>
          <w:szCs w:val="32"/>
        </w:rPr>
        <w:t>+信用”评价、绿色金融服务和年度考核等管理机制，构建从水源端到用水户端、从预算编制到考核评价的全过程管理框架。</w:t>
      </w:r>
    </w:p>
    <w:p w14:paraId="0991D1C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《通州区特殊用水行业取用水管理办法（试行）》。依据有关水资源管理、节约用水、供水管理、水资源税和价格管理等规定，结合通州区特殊用水行业管理实际，对特殊用水行业取用水管理作出专项规定。一是明确适用范围和管理原则，适用于洗车业、高档洗浴业、纯净水生产、高尔夫球场、人造滑雪场等特殊用水行业，实行依法监管、权责统一、数据赋能、协同共治、闭环管控。二是明确城乡公共供水、自建设施供水和再生水供应单位职责，规范取水许可、水资源税缴纳、分类计量、计量收费、用水数据报送、供水设施巡检和再生水利用等要求。三是建立水务、城管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、税务、发展改革、市场监管、商务、卫生健康、体育以及乡镇街道等多部门协同管理机制，明确涉水审批、行政检查与违法行为查处、水资源税征收、分类定价、市场准入、行业基础数据共享和属地巡查等职责。四是强化部门协同和台账共享，推进非现场监管，合理控制检查频次，加强政策宣传和行政指导，提升特殊用水行业依法取用水和节约用水水平。</w:t>
      </w:r>
    </w:p>
    <w:p w14:paraId="6A0490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ascii="仿宋_GB2312" w:hAnsi="仿宋_GB2312" w:eastAsia="仿宋_GB2312" w:cs="仿宋_GB2312"/>
          <w:sz w:val="32"/>
          <w:szCs w:val="32"/>
        </w:rPr>
        <w:t>.《通州区水预算名录库管理实施细则（试行）》。依据《通州区水预算管理办法（试行）》关于水预算名录库建设管理的有关规定，对名录库建设、运行、维护和管理作出细化。一是建立供给端和需求端两类名录库，明确地下水、外调水、再生水等供给端主体和设施，以及规模以上非居民用水户、取水许可管理用水户、打捆非居民用水户、打捆居民生活用水户、独立供水的行政村用水户等需求端水预算单元的纳入范围。二是明确供给端和需求端的信息登记要素，以及不同类型水预算单元的责任主体和部门数据共享要求。三是建立年度更新、日常变更、专项更新、新增纳入</w:t>
      </w:r>
      <w:r>
        <w:rPr>
          <w:rFonts w:hint="eastAsia" w:ascii="仿宋_GB2312" w:hAnsi="仿宋_GB2312" w:eastAsia="仿宋_GB2312" w:cs="仿宋_GB2312"/>
          <w:sz w:val="32"/>
          <w:szCs w:val="32"/>
        </w:rPr>
        <w:t>、退出注销等动态管理机制。四是明确数据质量核查和人员培训等要求，形成分级负责、动态更新、数据共享、闭环管理的名录库管理机制，为预算编制、执行、决算、考核和监督管理提供基础数据支撑。</w:t>
      </w:r>
    </w:p>
    <w:p w14:paraId="479E528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.《通州区水预算管理考核实施细则（试行）》。依据《通州区水预算管理办法（试行）》关于年度考核的有关规定，对考核对象、考核内容、考核程序和结果应用作出细化。一是明确街道（乡镇）和规模以上用水户两类水预算考核对象，分别设置预算编制（申报）、预算执行、决算编制（申报）和日常监督管理等考核内容。二是明确考核数据来源、考核方式和赋分规则，采取数据核验、资料审查和必要现场核查相结合的方式开展考核。三是规范自查自评、审核核验、综合评分、异议复核、结果认定等考核程序，并将考核结果划分为优秀、良好、合格、不合格四个等级。四</w:t>
      </w:r>
      <w:r>
        <w:rPr>
          <w:rFonts w:hint="eastAsia" w:ascii="仿宋_GB2312" w:hAnsi="仿宋_GB2312" w:eastAsia="仿宋_GB2312" w:cs="仿宋_GB2312"/>
          <w:sz w:val="32"/>
          <w:szCs w:val="32"/>
        </w:rPr>
        <w:t>是根据考核结果实行差异化应用，建立问题清单、整改、销号和跟踪核验机制，将考核结果及整改情况作为后续年度预算编制、预算调整审核和监督管理的重要参考。</w:t>
      </w:r>
    </w:p>
    <w:p w14:paraId="401C521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《通州区水预算管理领域“风险+信用”评价实施细则（试行）》。依据《通州区水预算管理办法（试行）》关于风险和信用评价的有关规定，对评价规则、评价程序和结果应用作出细化。一是明确评价对象、评价信息、信息来源和归集方式，建立风险信息、信用信息归集和管理机制。二是分别构建风险评价和信用评价指标体系，明确赋分标准、风险等级、信用等级，并综合形成“风险+信用”综合监管类别。三是规范信息采集、台账建立、综合评价、结果公示、异议处理、信用修复和动态调整等程序。四是根据不同综合监管类别实施差异化监管，并与绿色金融等服务相</w:t>
      </w:r>
      <w:r>
        <w:rPr>
          <w:rFonts w:hint="eastAsia" w:ascii="仿宋_GB2312" w:hAnsi="仿宋_GB2312" w:eastAsia="仿宋_GB2312" w:cs="仿宋_GB2312"/>
          <w:sz w:val="32"/>
          <w:szCs w:val="32"/>
        </w:rPr>
        <w:t>衔接，推动水预算监管由统一监管向分级分类、精准监管转变。</w:t>
      </w:r>
    </w:p>
    <w:p w14:paraId="12A5109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ascii="仿宋_GB2312" w:hAnsi="仿宋_GB2312" w:eastAsia="仿宋_GB2312" w:cs="仿宋_GB2312"/>
          <w:sz w:val="32"/>
          <w:szCs w:val="32"/>
        </w:rPr>
        <w:t>.《通州区水预算额度核算技术指南（试行）》。依据《通州区水预算管理办法（试行）》关于水预算额度核算的有关规定，对水预算额度核算方法和技术要求作出细化。一是明确区、街道（乡镇）两级行政区域以及水源、行业和水预算单元的额度核算对象和核算方法。二是按照“总量控制、定额管控、分级核算、区域平衡”的技术路径，根据不同预算对象的水源结构、用水特点和数据基础，综合采用定额法、统计法、趋势法等方法开展核算。三是明确区域总量、分水源额度、行业额度、预留额度以及不同类型水预算单元的核算规则，并以取水许可量、区域水预算总量等作</w:t>
      </w:r>
      <w:r>
        <w:rPr>
          <w:rFonts w:hint="eastAsia" w:ascii="仿宋_GB2312" w:hAnsi="仿宋_GB2312" w:eastAsia="仿宋_GB2312" w:cs="仿宋_GB2312"/>
          <w:sz w:val="32"/>
          <w:szCs w:val="32"/>
        </w:rPr>
        <w:t>为约束条件。四是对申报需求超过区域预算总量的，按照“丰增枯减、保障刚需、优化配置”的原则进行总量平衡和核减，并对水源配置、预留额度和节余额度收储等作出技术规定。</w:t>
      </w:r>
    </w:p>
    <w:p w14:paraId="22E8240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</w:t>
      </w:r>
      <w:r>
        <w:rPr>
          <w:rFonts w:ascii="仿宋_GB2312" w:hAnsi="仿宋_GB2312" w:eastAsia="仿宋_GB2312" w:cs="仿宋_GB2312"/>
          <w:sz w:val="32"/>
          <w:szCs w:val="32"/>
        </w:rPr>
        <w:t>.《通州区水预算决算技术指南（试行）》。依据《通州区水预算管理办法（试行）》关于年度水预算决算的有关规定，对决算程序、编报要求和结果应用作出细化。一是明确区、街道（乡镇）两级行政区域以及水源、行业和水预算单元的年度水预算决算范围，并提出账实相符、应编尽编、口径统一、平衡闭合等基本原则。二是建立“数据核实—额度核定—对账平衡—决算编报—审核确认—结果应用”的决算流程，明确决算期水预算额度重新核定规则。三是统一决算报告、决算报表和佐证资料的编报内容、格式要求和时间节点。四是根据年度实际用水量、年初预算额度和决</w:t>
      </w:r>
      <w:r>
        <w:rPr>
          <w:rFonts w:hint="eastAsia" w:ascii="仿宋_GB2312" w:hAnsi="仿宋_GB2312" w:eastAsia="仿宋_GB2312" w:cs="仿宋_GB2312"/>
          <w:sz w:val="32"/>
          <w:szCs w:val="32"/>
        </w:rPr>
        <w:t>算核定额度的比较结果，对水预算执行情况进行分类认定，并将决算结果作为下一年度预算额度核定、预算调整、额度收储、重点监管和节水整改等工作的重要依据。</w:t>
      </w:r>
    </w:p>
    <w:p w14:paraId="66BDDE1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通过上述制度建设，进一步健全通州区水预算管理制度体系，推动水预算管理与现行水资源管理制度有效衔接，为水预算管理试点各项任务规范有序实施提供制度保障。</w:t>
      </w:r>
    </w:p>
    <w:p w14:paraId="1CFDCCCF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FA6DA5E">
      <w:pPr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通州区水务局</w:t>
      </w:r>
    </w:p>
    <w:p w14:paraId="4F1438B1">
      <w:pPr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5CFB165"/>
    <w:p w14:paraId="3673B0D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22"/>
    <w:rsid w:val="000966D8"/>
    <w:rsid w:val="000C5ECB"/>
    <w:rsid w:val="001779D6"/>
    <w:rsid w:val="001801CE"/>
    <w:rsid w:val="001B5197"/>
    <w:rsid w:val="002458A3"/>
    <w:rsid w:val="00276FA7"/>
    <w:rsid w:val="00330A7C"/>
    <w:rsid w:val="00377BE7"/>
    <w:rsid w:val="003E677E"/>
    <w:rsid w:val="004830F6"/>
    <w:rsid w:val="004B0D1C"/>
    <w:rsid w:val="00532822"/>
    <w:rsid w:val="006036E4"/>
    <w:rsid w:val="00617949"/>
    <w:rsid w:val="006E6B6E"/>
    <w:rsid w:val="00770DB3"/>
    <w:rsid w:val="00792967"/>
    <w:rsid w:val="007D397C"/>
    <w:rsid w:val="0087304F"/>
    <w:rsid w:val="00883281"/>
    <w:rsid w:val="0089654C"/>
    <w:rsid w:val="00913A56"/>
    <w:rsid w:val="00996AD0"/>
    <w:rsid w:val="009A3108"/>
    <w:rsid w:val="00A3277E"/>
    <w:rsid w:val="00A73136"/>
    <w:rsid w:val="00B53BA6"/>
    <w:rsid w:val="00BC2780"/>
    <w:rsid w:val="00C04C8C"/>
    <w:rsid w:val="00C329AA"/>
    <w:rsid w:val="00C449E3"/>
    <w:rsid w:val="00E05703"/>
    <w:rsid w:val="00E13B92"/>
    <w:rsid w:val="00E140CF"/>
    <w:rsid w:val="00F046FF"/>
    <w:rsid w:val="00F75A38"/>
    <w:rsid w:val="00FA037A"/>
    <w:rsid w:val="00FD0A2F"/>
    <w:rsid w:val="2E052F7A"/>
    <w:rsid w:val="5B4B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3825</Words>
  <Characters>3846</Characters>
  <Lines>84</Lines>
  <Paragraphs>22</Paragraphs>
  <TotalTime>142</TotalTime>
  <ScaleCrop>false</ScaleCrop>
  <LinksUpToDate>false</LinksUpToDate>
  <CharactersWithSpaces>3848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2026-09-20T10:22:00Z</dcterms:created>
  <dc:creator>玉静 郭</dc:creator>
  <cp:lastModifiedBy>王小喵</cp:lastModifiedBy>
  <dcterms:modified xsi:type="dcterms:W3CDTF">2026-09-29T01:32:59Z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eyJoZGlkIjoiNzAyYzg2ZGI5ODcxNmNiZTA1ZjI0Zjk0MGI4OWZkYzMiLCJ1c2VySWQiOiIzNjcxOTQ4NTIifQ==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403270A32D7D4EC6951230841CD3881F_12</vt:lpwstr>
  </property>
</Properties>
</file>