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F587D">
      <w:pPr>
        <w:pStyle w:val="26"/>
        <w:spacing w:line="720" w:lineRule="auto"/>
        <w:jc w:val="both"/>
        <w:rPr>
          <w:rFonts w:ascii="Times New Roman" w:hAnsi="Times New Roman" w:eastAsia="方正小标宋简体" w:cs="Times New Roman"/>
          <w:b/>
          <w:bCs/>
          <w:color w:val="auto"/>
          <w:kern w:val="2"/>
          <w:sz w:val="44"/>
          <w:szCs w:val="44"/>
        </w:rPr>
      </w:pPr>
      <w:bookmarkStart w:id="2" w:name="_GoBack"/>
      <w:bookmarkEnd w:id="2"/>
    </w:p>
    <w:p w14:paraId="57927379">
      <w:pPr>
        <w:pStyle w:val="26"/>
        <w:spacing w:line="720" w:lineRule="auto"/>
        <w:jc w:val="center"/>
        <w:rPr>
          <w:rFonts w:ascii="Times New Roman" w:hAnsi="Times New Roman" w:eastAsia="黑体" w:cs="Times New Roman"/>
          <w:b/>
          <w:bCs/>
          <w:color w:val="auto"/>
          <w:kern w:val="2"/>
          <w:sz w:val="48"/>
          <w:szCs w:val="48"/>
        </w:rPr>
      </w:pPr>
      <w:r>
        <w:rPr>
          <w:rFonts w:ascii="Times New Roman" w:hAnsi="Times New Roman" w:eastAsia="黑体" w:cs="Times New Roman"/>
          <w:b/>
          <w:bCs/>
          <w:color w:val="auto"/>
          <w:kern w:val="2"/>
          <w:sz w:val="48"/>
          <w:szCs w:val="48"/>
        </w:rPr>
        <w:t>通州区水预算管理领域</w:t>
      </w:r>
    </w:p>
    <w:p w14:paraId="2864CE69">
      <w:pPr>
        <w:pStyle w:val="26"/>
        <w:spacing w:line="720" w:lineRule="auto"/>
        <w:jc w:val="center"/>
        <w:rPr>
          <w:rFonts w:ascii="Times New Roman" w:hAnsi="Times New Roman" w:eastAsia="黑体" w:cs="Times New Roman"/>
          <w:b/>
          <w:bCs/>
          <w:color w:val="auto"/>
          <w:kern w:val="2"/>
          <w:sz w:val="48"/>
          <w:szCs w:val="48"/>
        </w:rPr>
      </w:pPr>
      <w:r>
        <w:rPr>
          <w:rFonts w:hint="eastAsia" w:ascii="Times New Roman" w:hAnsi="Times New Roman" w:eastAsia="黑体" w:cs="Times New Roman"/>
          <w:b/>
          <w:bCs/>
          <w:color w:val="auto"/>
          <w:kern w:val="2"/>
          <w:sz w:val="48"/>
          <w:szCs w:val="48"/>
        </w:rPr>
        <w:t>“</w:t>
      </w:r>
      <w:r>
        <w:rPr>
          <w:rFonts w:ascii="Times New Roman" w:hAnsi="Times New Roman" w:eastAsia="黑体" w:cs="Times New Roman"/>
          <w:b/>
          <w:bCs/>
          <w:color w:val="auto"/>
          <w:kern w:val="2"/>
          <w:sz w:val="48"/>
          <w:szCs w:val="48"/>
        </w:rPr>
        <w:t>风险+信用</w:t>
      </w:r>
      <w:r>
        <w:rPr>
          <w:rFonts w:hint="eastAsia" w:ascii="Times New Roman" w:hAnsi="Times New Roman" w:eastAsia="黑体" w:cs="Times New Roman"/>
          <w:b/>
          <w:bCs/>
          <w:color w:val="auto"/>
          <w:kern w:val="2"/>
          <w:sz w:val="48"/>
          <w:szCs w:val="48"/>
        </w:rPr>
        <w:t>”</w:t>
      </w:r>
      <w:r>
        <w:rPr>
          <w:rFonts w:ascii="Times New Roman" w:hAnsi="Times New Roman" w:eastAsia="黑体" w:cs="Times New Roman"/>
          <w:b/>
          <w:bCs/>
          <w:color w:val="auto"/>
          <w:kern w:val="2"/>
          <w:sz w:val="48"/>
          <w:szCs w:val="48"/>
        </w:rPr>
        <w:t>评价实施细则（试行）</w:t>
      </w:r>
    </w:p>
    <w:p w14:paraId="3E4F69BC">
      <w:pPr>
        <w:pStyle w:val="26"/>
        <w:spacing w:line="360" w:lineRule="auto"/>
        <w:jc w:val="center"/>
        <w:rPr>
          <w:rFonts w:ascii="Times New Roman" w:hAnsi="Times New Roman" w:eastAsia="方正小标宋简体" w:cs="Times New Roman"/>
          <w:b/>
          <w:bCs/>
          <w:color w:val="auto"/>
          <w:kern w:val="2"/>
          <w:sz w:val="44"/>
          <w:szCs w:val="44"/>
        </w:rPr>
      </w:pPr>
    </w:p>
    <w:p w14:paraId="0798381A">
      <w:pPr>
        <w:pStyle w:val="26"/>
        <w:spacing w:line="360" w:lineRule="auto"/>
        <w:jc w:val="center"/>
        <w:rPr>
          <w:rFonts w:ascii="Times New Roman" w:hAnsi="Times New Roman" w:eastAsia="方正小标宋简体" w:cs="Times New Roman"/>
          <w:b/>
          <w:bCs/>
          <w:color w:val="auto"/>
          <w:kern w:val="2"/>
          <w:sz w:val="44"/>
          <w:szCs w:val="44"/>
        </w:rPr>
      </w:pPr>
    </w:p>
    <w:p w14:paraId="75ACF903">
      <w:pPr>
        <w:pStyle w:val="26"/>
        <w:spacing w:line="360" w:lineRule="auto"/>
        <w:jc w:val="center"/>
        <w:rPr>
          <w:rFonts w:ascii="Times New Roman" w:hAnsi="Times New Roman" w:eastAsia="方正小标宋简体" w:cs="Times New Roman"/>
          <w:b/>
          <w:bCs/>
          <w:color w:val="auto"/>
          <w:kern w:val="2"/>
          <w:sz w:val="44"/>
          <w:szCs w:val="44"/>
        </w:rPr>
      </w:pPr>
    </w:p>
    <w:p w14:paraId="07D9D171">
      <w:pPr>
        <w:pStyle w:val="26"/>
        <w:spacing w:line="360" w:lineRule="auto"/>
        <w:jc w:val="center"/>
        <w:rPr>
          <w:rFonts w:ascii="Times New Roman" w:hAnsi="Times New Roman" w:eastAsia="方正小标宋简体" w:cs="Times New Roman"/>
          <w:b/>
          <w:bCs/>
          <w:color w:val="auto"/>
          <w:kern w:val="2"/>
          <w:sz w:val="44"/>
          <w:szCs w:val="44"/>
        </w:rPr>
      </w:pPr>
    </w:p>
    <w:p w14:paraId="4A449E83">
      <w:pPr>
        <w:pStyle w:val="26"/>
        <w:spacing w:line="360" w:lineRule="auto"/>
        <w:jc w:val="center"/>
        <w:rPr>
          <w:rFonts w:ascii="Times New Roman" w:hAnsi="Times New Roman" w:eastAsia="方正小标宋简体" w:cs="Times New Roman"/>
          <w:b/>
          <w:bCs/>
          <w:color w:val="auto"/>
          <w:kern w:val="2"/>
          <w:sz w:val="44"/>
          <w:szCs w:val="44"/>
        </w:rPr>
      </w:pPr>
    </w:p>
    <w:p w14:paraId="4581E5DA">
      <w:pPr>
        <w:pStyle w:val="26"/>
        <w:spacing w:line="360" w:lineRule="auto"/>
        <w:jc w:val="center"/>
        <w:rPr>
          <w:rFonts w:ascii="Times New Roman" w:hAnsi="Times New Roman" w:eastAsia="方正小标宋简体" w:cs="Times New Roman"/>
          <w:b/>
          <w:bCs/>
          <w:color w:val="auto"/>
          <w:kern w:val="2"/>
          <w:sz w:val="44"/>
          <w:szCs w:val="44"/>
        </w:rPr>
      </w:pPr>
    </w:p>
    <w:p w14:paraId="235BA301">
      <w:pPr>
        <w:pStyle w:val="26"/>
        <w:spacing w:line="360" w:lineRule="auto"/>
        <w:jc w:val="center"/>
        <w:rPr>
          <w:rFonts w:ascii="Times New Roman" w:hAnsi="Times New Roman" w:eastAsia="方正小标宋简体" w:cs="Times New Roman"/>
          <w:b/>
          <w:bCs/>
          <w:color w:val="auto"/>
          <w:kern w:val="2"/>
          <w:sz w:val="44"/>
          <w:szCs w:val="44"/>
        </w:rPr>
      </w:pPr>
    </w:p>
    <w:p w14:paraId="0D8929CB">
      <w:pPr>
        <w:pStyle w:val="26"/>
        <w:spacing w:line="360" w:lineRule="auto"/>
        <w:jc w:val="center"/>
        <w:rPr>
          <w:rFonts w:ascii="Times New Roman" w:hAnsi="Times New Roman" w:eastAsia="方正小标宋简体" w:cs="Times New Roman"/>
          <w:b/>
          <w:bCs/>
          <w:color w:val="auto"/>
          <w:kern w:val="2"/>
          <w:sz w:val="44"/>
          <w:szCs w:val="44"/>
        </w:rPr>
      </w:pPr>
    </w:p>
    <w:p w14:paraId="62150EB6">
      <w:pPr>
        <w:pStyle w:val="26"/>
        <w:spacing w:line="360" w:lineRule="auto"/>
        <w:jc w:val="center"/>
        <w:rPr>
          <w:rFonts w:ascii="Times New Roman" w:hAnsi="Times New Roman" w:eastAsia="方正小标宋简体" w:cs="Times New Roman"/>
          <w:b/>
          <w:bCs/>
          <w:color w:val="auto"/>
          <w:kern w:val="2"/>
          <w:sz w:val="44"/>
          <w:szCs w:val="44"/>
        </w:rPr>
      </w:pPr>
    </w:p>
    <w:p w14:paraId="5CE23E46">
      <w:pPr>
        <w:pStyle w:val="26"/>
        <w:spacing w:line="360" w:lineRule="auto"/>
        <w:jc w:val="center"/>
        <w:rPr>
          <w:rFonts w:ascii="Times New Roman" w:hAnsi="Times New Roman" w:eastAsia="方正小标宋简体" w:cs="Times New Roman"/>
          <w:b/>
          <w:bCs/>
          <w:color w:val="auto"/>
          <w:kern w:val="2"/>
          <w:sz w:val="44"/>
          <w:szCs w:val="44"/>
        </w:rPr>
      </w:pPr>
    </w:p>
    <w:p w14:paraId="6E7BDB51">
      <w:pPr>
        <w:pStyle w:val="26"/>
        <w:spacing w:line="360" w:lineRule="auto"/>
        <w:jc w:val="center"/>
        <w:rPr>
          <w:rFonts w:ascii="Times New Roman" w:hAnsi="Times New Roman" w:eastAsia="方正小标宋简体" w:cs="Times New Roman"/>
          <w:b/>
          <w:bCs/>
          <w:color w:val="auto"/>
          <w:kern w:val="2"/>
          <w:sz w:val="44"/>
          <w:szCs w:val="44"/>
        </w:rPr>
      </w:pPr>
    </w:p>
    <w:p w14:paraId="2099B51A">
      <w:pPr>
        <w:pStyle w:val="26"/>
        <w:spacing w:line="360" w:lineRule="auto"/>
        <w:jc w:val="center"/>
        <w:rPr>
          <w:rFonts w:ascii="Times New Roman" w:hAnsi="Times New Roman" w:eastAsia="方正小标宋简体" w:cs="Times New Roman"/>
          <w:b/>
          <w:bCs/>
          <w:color w:val="auto"/>
          <w:kern w:val="2"/>
          <w:sz w:val="44"/>
          <w:szCs w:val="44"/>
        </w:rPr>
      </w:pPr>
    </w:p>
    <w:p w14:paraId="43C577E4">
      <w:pPr>
        <w:pStyle w:val="26"/>
        <w:spacing w:line="360" w:lineRule="auto"/>
        <w:jc w:val="center"/>
        <w:rPr>
          <w:rFonts w:ascii="Times New Roman" w:hAnsi="Times New Roman" w:eastAsia="方正小标宋简体" w:cs="Times New Roman"/>
          <w:b/>
          <w:bCs/>
          <w:color w:val="auto"/>
          <w:kern w:val="2"/>
          <w:sz w:val="44"/>
          <w:szCs w:val="44"/>
        </w:rPr>
      </w:pPr>
    </w:p>
    <w:p w14:paraId="099550AE">
      <w:pPr>
        <w:pStyle w:val="26"/>
        <w:spacing w:line="360" w:lineRule="auto"/>
        <w:jc w:val="center"/>
        <w:rPr>
          <w:rFonts w:ascii="Times New Roman" w:hAnsi="Times New Roman" w:eastAsia="方正小标宋简体" w:cs="Times New Roman"/>
          <w:b/>
          <w:bCs/>
          <w:color w:val="auto"/>
          <w:kern w:val="2"/>
          <w:sz w:val="32"/>
          <w:szCs w:val="32"/>
        </w:rPr>
      </w:pPr>
      <w:r>
        <w:rPr>
          <w:rFonts w:hint="eastAsia" w:ascii="Times New Roman" w:hAnsi="Times New Roman" w:eastAsia="方正小标宋简体" w:cs="Times New Roman"/>
          <w:b/>
          <w:bCs/>
          <w:color w:val="auto"/>
          <w:kern w:val="2"/>
          <w:sz w:val="32"/>
          <w:szCs w:val="32"/>
        </w:rPr>
        <w:t>通州区水务局</w:t>
      </w:r>
    </w:p>
    <w:p w14:paraId="4044D770">
      <w:pPr>
        <w:pStyle w:val="26"/>
        <w:spacing w:line="360" w:lineRule="auto"/>
        <w:jc w:val="center"/>
        <w:rPr>
          <w:rFonts w:ascii="Times New Roman" w:hAnsi="Times New Roman" w:eastAsia="方正小标宋简体" w:cs="Times New Roman"/>
          <w:b/>
          <w:bCs/>
          <w:color w:val="auto"/>
          <w:kern w:val="2"/>
          <w:sz w:val="32"/>
          <w:szCs w:val="32"/>
        </w:rPr>
      </w:pPr>
      <w:r>
        <w:rPr>
          <w:rFonts w:hint="eastAsia" w:ascii="Times New Roman" w:hAnsi="Times New Roman" w:eastAsia="方正小标宋简体" w:cs="Times New Roman"/>
          <w:b/>
          <w:bCs/>
          <w:color w:val="auto"/>
          <w:kern w:val="2"/>
          <w:sz w:val="32"/>
          <w:szCs w:val="32"/>
        </w:rPr>
        <w:t>2026年9月</w:t>
      </w:r>
    </w:p>
    <w:p w14:paraId="2C09AE51">
      <w:pPr>
        <w:pStyle w:val="26"/>
        <w:spacing w:line="360" w:lineRule="auto"/>
        <w:jc w:val="center"/>
        <w:rPr>
          <w:rFonts w:ascii="Times New Roman" w:hAnsi="Times New Roman" w:eastAsia="方正小标宋简体" w:cs="Times New Roman"/>
          <w:b/>
          <w:bCs/>
          <w:color w:val="auto"/>
          <w:kern w:val="2"/>
          <w:sz w:val="32"/>
          <w:szCs w:val="32"/>
        </w:rPr>
        <w:sectPr>
          <w:pgSz w:w="11906" w:h="16838"/>
          <w:pgMar w:top="2098" w:right="1531" w:bottom="1985" w:left="1531" w:header="851" w:footer="1191" w:gutter="0"/>
          <w:pgNumType w:fmt="numberInDash"/>
          <w:cols w:space="720" w:num="1"/>
          <w:docGrid w:type="lines" w:linePitch="312" w:charSpace="0"/>
        </w:sectPr>
      </w:pPr>
    </w:p>
    <w:p w14:paraId="0A712FF9">
      <w:pPr>
        <w:pStyle w:val="26"/>
        <w:spacing w:line="360" w:lineRule="auto"/>
        <w:jc w:val="center"/>
        <w:rPr>
          <w:rFonts w:ascii="Times New Roman" w:hAnsi="Times New Roman" w:eastAsia="方正小标宋简体" w:cs="Times New Roman"/>
          <w:b/>
          <w:bCs/>
          <w:color w:val="auto"/>
          <w:kern w:val="2"/>
          <w:sz w:val="32"/>
          <w:szCs w:val="32"/>
        </w:rPr>
        <w:sectPr>
          <w:pgSz w:w="11906" w:h="16838"/>
          <w:pgMar w:top="2098" w:right="1531" w:bottom="1985" w:left="1531" w:header="851" w:footer="1191" w:gutter="0"/>
          <w:pgNumType w:fmt="numberInDash"/>
          <w:cols w:space="720" w:num="1"/>
          <w:docGrid w:type="lines" w:linePitch="312" w:charSpace="0"/>
        </w:sectPr>
      </w:pPr>
    </w:p>
    <w:p w14:paraId="334A0F11">
      <w:pPr>
        <w:pStyle w:val="26"/>
        <w:spacing w:line="560" w:lineRule="exact"/>
        <w:jc w:val="center"/>
        <w:rPr>
          <w:rFonts w:ascii="黑体" w:hAnsi="黑体" w:eastAsia="黑体" w:cs="黑体"/>
          <w:color w:val="auto"/>
          <w:kern w:val="2"/>
          <w:sz w:val="44"/>
          <w:szCs w:val="44"/>
        </w:rPr>
      </w:pPr>
      <w:r>
        <w:rPr>
          <w:rFonts w:hint="eastAsia" w:ascii="黑体" w:hAnsi="黑体" w:eastAsia="黑体" w:cs="黑体"/>
          <w:color w:val="auto"/>
          <w:kern w:val="2"/>
          <w:sz w:val="44"/>
          <w:szCs w:val="44"/>
        </w:rPr>
        <w:t>通州区水预算管理领域“风险+信用”评价</w:t>
      </w:r>
    </w:p>
    <w:p w14:paraId="3B30CE13">
      <w:pPr>
        <w:pStyle w:val="26"/>
        <w:spacing w:line="560" w:lineRule="exact"/>
        <w:jc w:val="center"/>
        <w:rPr>
          <w:rFonts w:ascii="黑体" w:hAnsi="黑体" w:eastAsia="黑体" w:cs="黑体"/>
          <w:color w:val="auto"/>
          <w:kern w:val="2"/>
          <w:sz w:val="44"/>
          <w:szCs w:val="44"/>
        </w:rPr>
      </w:pPr>
      <w:r>
        <w:rPr>
          <w:rFonts w:hint="eastAsia" w:ascii="黑体" w:hAnsi="黑体" w:eastAsia="黑体" w:cs="黑体"/>
          <w:color w:val="auto"/>
          <w:kern w:val="2"/>
          <w:sz w:val="44"/>
          <w:szCs w:val="44"/>
        </w:rPr>
        <w:t>实施细则（试行）</w:t>
      </w:r>
    </w:p>
    <w:p w14:paraId="5A5E9301">
      <w:pPr>
        <w:spacing w:line="560" w:lineRule="exact"/>
        <w:jc w:val="center"/>
        <w:rPr>
          <w:rFonts w:ascii="Times New Roman" w:hAnsi="Times New Roman" w:eastAsia="黑体"/>
          <w:bCs/>
          <w:sz w:val="32"/>
          <w:szCs w:val="32"/>
        </w:rPr>
      </w:pPr>
    </w:p>
    <w:p w14:paraId="793A80F9">
      <w:pPr>
        <w:spacing w:line="560" w:lineRule="exact"/>
        <w:jc w:val="center"/>
        <w:outlineLvl w:val="0"/>
        <w:rPr>
          <w:rFonts w:ascii="Times New Roman" w:hAnsi="Times New Roman" w:eastAsia="黑体"/>
          <w:bCs/>
          <w:sz w:val="32"/>
          <w:szCs w:val="32"/>
        </w:rPr>
      </w:pPr>
      <w:r>
        <w:rPr>
          <w:rFonts w:ascii="Times New Roman" w:hAnsi="Times New Roman" w:eastAsia="黑体"/>
          <w:bCs/>
          <w:sz w:val="32"/>
          <w:szCs w:val="32"/>
        </w:rPr>
        <w:t>第一章   总  则</w:t>
      </w:r>
    </w:p>
    <w:p w14:paraId="5472DB13">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第一条  （制定目的）</w:t>
      </w:r>
      <w:r>
        <w:rPr>
          <w:rFonts w:ascii="Times New Roman" w:hAnsi="Times New Roman" w:eastAsia="仿宋_GB2312"/>
          <w:sz w:val="32"/>
          <w:szCs w:val="32"/>
        </w:rPr>
        <w:t>为贯彻落实水资源刚性约束制度，加快建立</w:t>
      </w:r>
      <w:r>
        <w:rPr>
          <w:rFonts w:hint="eastAsia" w:ascii="Times New Roman" w:hAnsi="Times New Roman" w:eastAsia="仿宋_GB2312"/>
          <w:sz w:val="32"/>
          <w:szCs w:val="32"/>
        </w:rPr>
        <w:t>水预算管理</w:t>
      </w:r>
      <w:r>
        <w:rPr>
          <w:rFonts w:ascii="Times New Roman" w:hAnsi="Times New Roman" w:eastAsia="仿宋_GB2312"/>
          <w:sz w:val="32"/>
          <w:szCs w:val="32"/>
        </w:rPr>
        <w:t>领域信用</w:t>
      </w:r>
      <w:r>
        <w:rPr>
          <w:rFonts w:hint="eastAsia" w:ascii="Times New Roman" w:hAnsi="Times New Roman" w:eastAsia="仿宋_GB2312"/>
          <w:sz w:val="32"/>
          <w:szCs w:val="32"/>
        </w:rPr>
        <w:t>和风险管控</w:t>
      </w:r>
      <w:r>
        <w:rPr>
          <w:rFonts w:ascii="Times New Roman" w:hAnsi="Times New Roman" w:eastAsia="仿宋_GB2312"/>
          <w:sz w:val="32"/>
          <w:szCs w:val="32"/>
        </w:rPr>
        <w:t>体系，强化</w:t>
      </w:r>
      <w:r>
        <w:rPr>
          <w:rFonts w:hint="eastAsia" w:ascii="Times New Roman" w:hAnsi="Times New Roman" w:eastAsia="仿宋_GB2312"/>
          <w:sz w:val="32"/>
          <w:szCs w:val="32"/>
        </w:rPr>
        <w:t>水预算</w:t>
      </w:r>
      <w:r>
        <w:rPr>
          <w:rFonts w:ascii="Times New Roman" w:hAnsi="Times New Roman" w:eastAsia="仿宋_GB2312"/>
          <w:sz w:val="32"/>
          <w:szCs w:val="32"/>
        </w:rPr>
        <w:t>信用</w:t>
      </w:r>
      <w:r>
        <w:rPr>
          <w:rFonts w:hint="eastAsia" w:ascii="Times New Roman" w:hAnsi="Times New Roman" w:eastAsia="仿宋_GB2312"/>
          <w:sz w:val="32"/>
          <w:szCs w:val="32"/>
        </w:rPr>
        <w:t>与风险</w:t>
      </w:r>
      <w:r>
        <w:rPr>
          <w:rFonts w:ascii="Times New Roman" w:hAnsi="Times New Roman" w:eastAsia="仿宋_GB2312"/>
          <w:sz w:val="32"/>
          <w:szCs w:val="32"/>
        </w:rPr>
        <w:t>监管，引导和激励水预算管理对象自觉节约用水、优化用水方式、提高用水效率，依据《中华人民共和国水法》《取水许可和水资源费征收管理条例》</w:t>
      </w:r>
      <w:r>
        <w:rPr>
          <w:rFonts w:hint="eastAsia" w:ascii="Times New Roman" w:hAnsi="Times New Roman" w:eastAsia="仿宋_GB2312"/>
          <w:sz w:val="32"/>
        </w:rPr>
        <w:t>《北京市节水条例》</w:t>
      </w:r>
      <w:r>
        <w:rPr>
          <w:rFonts w:ascii="Times New Roman" w:hAnsi="Times New Roman" w:eastAsia="仿宋_GB2312"/>
          <w:sz w:val="32"/>
          <w:szCs w:val="32"/>
        </w:rPr>
        <w:t>《水利部 国家发展改革委关于实施取用水领域信用评价的指导意见》</w:t>
      </w:r>
      <w:r>
        <w:rPr>
          <w:rFonts w:hint="eastAsia" w:ascii="Times New Roman" w:hAnsi="Times New Roman" w:eastAsia="仿宋_GB2312"/>
          <w:sz w:val="32"/>
        </w:rPr>
        <w:t>《水预算管理试点方案》《北京市关于加强风险分类管理提升监管效能的实施意见》《北京市开展信用分级分类监管工作的实施意见》《北京市通州区水预算管理试点实施方案》等法律法规和政策文件</w:t>
      </w:r>
      <w:r>
        <w:rPr>
          <w:rFonts w:hint="eastAsia" w:ascii="Times New Roman" w:hAnsi="Times New Roman" w:eastAsia="仿宋_GB2312"/>
          <w:sz w:val="32"/>
          <w:szCs w:val="32"/>
        </w:rPr>
        <w:t>，结合本区</w:t>
      </w:r>
      <w:r>
        <w:rPr>
          <w:rFonts w:ascii="Times New Roman" w:hAnsi="Times New Roman" w:eastAsia="仿宋_GB2312"/>
          <w:sz w:val="32"/>
          <w:szCs w:val="32"/>
        </w:rPr>
        <w:t>实际情况，制定本实施细则。</w:t>
      </w:r>
    </w:p>
    <w:p w14:paraId="554B433D">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 xml:space="preserve">第二条  </w:t>
      </w:r>
      <w:r>
        <w:rPr>
          <w:rFonts w:hint="eastAsia" w:ascii="黑体" w:hAnsi="黑体" w:eastAsia="黑体" w:cs="黑体"/>
          <w:sz w:val="32"/>
          <w:szCs w:val="32"/>
        </w:rPr>
        <w:t>（适用范围）</w:t>
      </w:r>
      <w:r>
        <w:rPr>
          <w:rFonts w:ascii="Times New Roman" w:hAnsi="Times New Roman" w:eastAsia="仿宋_GB2312"/>
          <w:sz w:val="32"/>
          <w:szCs w:val="32"/>
        </w:rPr>
        <w:t>本细则适用于</w:t>
      </w:r>
      <w:r>
        <w:rPr>
          <w:rFonts w:hint="eastAsia" w:ascii="Times New Roman" w:hAnsi="Times New Roman" w:eastAsia="仿宋_GB2312"/>
          <w:sz w:val="32"/>
          <w:szCs w:val="32"/>
        </w:rPr>
        <w:t>通州区行政区域内</w:t>
      </w:r>
      <w:r>
        <w:rPr>
          <w:rFonts w:hint="eastAsia" w:ascii="Times New Roman" w:hAnsi="Times New Roman" w:eastAsia="仿宋_GB2312"/>
          <w:sz w:val="32"/>
        </w:rPr>
        <w:t>用水户水预算管理对象</w:t>
      </w:r>
      <w:r>
        <w:rPr>
          <w:rFonts w:ascii="Times New Roman" w:hAnsi="Times New Roman" w:eastAsia="仿宋_GB2312"/>
          <w:sz w:val="32"/>
          <w:szCs w:val="32"/>
        </w:rPr>
        <w:t>的</w:t>
      </w:r>
      <w:r>
        <w:rPr>
          <w:rFonts w:hint="eastAsia" w:ascii="Times New Roman" w:hAnsi="Times New Roman" w:eastAsia="仿宋_GB2312"/>
          <w:sz w:val="32"/>
          <w:szCs w:val="32"/>
        </w:rPr>
        <w:t>“</w:t>
      </w:r>
      <w:r>
        <w:rPr>
          <w:rFonts w:ascii="Times New Roman" w:hAnsi="Times New Roman" w:eastAsia="仿宋_GB2312"/>
          <w:sz w:val="32"/>
          <w:szCs w:val="32"/>
        </w:rPr>
        <w:t>风险+信用</w:t>
      </w:r>
      <w:r>
        <w:rPr>
          <w:rFonts w:hint="eastAsia" w:ascii="Times New Roman" w:hAnsi="Times New Roman" w:eastAsia="仿宋_GB2312"/>
          <w:sz w:val="32"/>
          <w:szCs w:val="32"/>
        </w:rPr>
        <w:t>”</w:t>
      </w:r>
      <w:r>
        <w:rPr>
          <w:rFonts w:ascii="Times New Roman" w:hAnsi="Times New Roman" w:eastAsia="仿宋_GB2312"/>
          <w:sz w:val="32"/>
          <w:szCs w:val="32"/>
        </w:rPr>
        <w:t>管理</w:t>
      </w:r>
      <w:r>
        <w:rPr>
          <w:rFonts w:hint="eastAsia" w:ascii="Times New Roman" w:hAnsi="Times New Roman" w:eastAsia="仿宋_GB2312"/>
          <w:sz w:val="32"/>
          <w:szCs w:val="32"/>
        </w:rPr>
        <w:t>，</w:t>
      </w:r>
      <w:r>
        <w:rPr>
          <w:rFonts w:hint="eastAsia" w:ascii="Times New Roman" w:hAnsi="Times New Roman" w:eastAsia="仿宋_GB2312"/>
          <w:sz w:val="32"/>
        </w:rPr>
        <w:t>包括依法纳入许可管理的用水户、公共供水管网年用水量5000立方米以上的非居民用水户</w:t>
      </w:r>
      <w:r>
        <w:rPr>
          <w:rFonts w:ascii="Times New Roman" w:hAnsi="Times New Roman" w:eastAsia="仿宋_GB2312"/>
          <w:sz w:val="32"/>
          <w:szCs w:val="32"/>
        </w:rPr>
        <w:t>。上述评价对象覆盖农业、工业、服务业、建筑业、环境卫生、园林绿化等行业领域</w:t>
      </w:r>
      <w:r>
        <w:rPr>
          <w:rFonts w:hint="eastAsia" w:ascii="Times New Roman" w:hAnsi="Times New Roman" w:eastAsia="仿宋_GB2312"/>
          <w:sz w:val="32"/>
          <w:szCs w:val="32"/>
        </w:rPr>
        <w:t>。后续根据水利部、北京市和通州区水预算试点建设要求，适时适度扩大评价范围。</w:t>
      </w:r>
    </w:p>
    <w:p w14:paraId="435F651C">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 xml:space="preserve">第三条  </w:t>
      </w:r>
      <w:r>
        <w:rPr>
          <w:rFonts w:hint="eastAsia" w:ascii="Times New Roman" w:hAnsi="Times New Roman" w:eastAsia="黑体"/>
          <w:sz w:val="32"/>
          <w:szCs w:val="32"/>
        </w:rPr>
        <w:t>（概念内涵）</w:t>
      </w:r>
      <w:r>
        <w:rPr>
          <w:rFonts w:ascii="Times New Roman" w:hAnsi="Times New Roman" w:eastAsia="仿宋_GB2312"/>
          <w:sz w:val="32"/>
          <w:szCs w:val="32"/>
        </w:rPr>
        <w:t>本细则所称水预算管理领域</w:t>
      </w:r>
      <w:r>
        <w:rPr>
          <w:rFonts w:hint="eastAsia" w:ascii="Times New Roman" w:hAnsi="Times New Roman" w:eastAsia="仿宋_GB2312"/>
          <w:sz w:val="32"/>
          <w:szCs w:val="32"/>
        </w:rPr>
        <w:t>“</w:t>
      </w:r>
      <w:r>
        <w:rPr>
          <w:rFonts w:ascii="Times New Roman" w:hAnsi="Times New Roman" w:eastAsia="仿宋_GB2312"/>
          <w:sz w:val="32"/>
          <w:szCs w:val="32"/>
        </w:rPr>
        <w:t>风险+信用</w:t>
      </w:r>
      <w:r>
        <w:rPr>
          <w:rFonts w:hint="eastAsia" w:ascii="Times New Roman" w:hAnsi="Times New Roman" w:eastAsia="仿宋_GB2312"/>
          <w:sz w:val="32"/>
          <w:szCs w:val="32"/>
        </w:rPr>
        <w:t>”</w:t>
      </w:r>
      <w:r>
        <w:rPr>
          <w:rFonts w:ascii="Times New Roman" w:hAnsi="Times New Roman" w:eastAsia="仿宋_GB2312"/>
          <w:sz w:val="32"/>
          <w:szCs w:val="32"/>
        </w:rPr>
        <w:t>评价，是指区水行政主管部门</w:t>
      </w:r>
      <w:r>
        <w:rPr>
          <w:rFonts w:hint="eastAsia" w:ascii="Times New Roman" w:hAnsi="Times New Roman" w:eastAsia="仿宋_GB2312"/>
          <w:sz w:val="32"/>
          <w:szCs w:val="32"/>
        </w:rPr>
        <w:t>依据</w:t>
      </w:r>
      <w:r>
        <w:rPr>
          <w:rFonts w:ascii="Times New Roman" w:hAnsi="Times New Roman" w:eastAsia="仿宋_GB2312"/>
          <w:sz w:val="32"/>
          <w:szCs w:val="32"/>
        </w:rPr>
        <w:t>水预算管理相关规定，对水预算管理对象的用水风险状况和信用状况进行综合评价，划分风险等级和信用等级</w:t>
      </w:r>
      <w:r>
        <w:rPr>
          <w:rFonts w:hint="eastAsia" w:ascii="Times New Roman" w:hAnsi="Times New Roman" w:eastAsia="仿宋_GB2312"/>
          <w:sz w:val="32"/>
          <w:szCs w:val="32"/>
        </w:rPr>
        <w:t>，</w:t>
      </w:r>
      <w:r>
        <w:rPr>
          <w:rFonts w:ascii="Times New Roman" w:hAnsi="Times New Roman" w:eastAsia="仿宋_GB2312"/>
          <w:sz w:val="32"/>
          <w:szCs w:val="32"/>
        </w:rPr>
        <w:t>实施分级分类监管的活动。</w:t>
      </w:r>
    </w:p>
    <w:p w14:paraId="3DB6B6DE">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 xml:space="preserve">第四条  </w:t>
      </w:r>
      <w:r>
        <w:rPr>
          <w:rFonts w:hint="eastAsia" w:ascii="Times New Roman" w:hAnsi="Times New Roman" w:eastAsia="黑体"/>
          <w:sz w:val="32"/>
          <w:szCs w:val="32"/>
        </w:rPr>
        <w:t>（工作实施）</w:t>
      </w:r>
      <w:r>
        <w:rPr>
          <w:rFonts w:hint="eastAsia" w:ascii="Times New Roman" w:hAnsi="Times New Roman" w:eastAsia="仿宋_GB2312"/>
          <w:sz w:val="32"/>
          <w:szCs w:val="32"/>
        </w:rPr>
        <w:t>区水务局可指定或者委托通州区水资源与节约用水事务中心具体承担数据归集、指标测算、初步评价、异议核实等日常工作。</w:t>
      </w:r>
    </w:p>
    <w:p w14:paraId="2592385E">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五</w:t>
      </w:r>
      <w:r>
        <w:rPr>
          <w:rFonts w:ascii="Times New Roman" w:hAnsi="Times New Roman" w:eastAsia="黑体"/>
          <w:sz w:val="32"/>
          <w:szCs w:val="32"/>
        </w:rPr>
        <w:t xml:space="preserve">条  </w:t>
      </w:r>
      <w:r>
        <w:rPr>
          <w:rFonts w:hint="eastAsia" w:ascii="Times New Roman" w:hAnsi="Times New Roman" w:eastAsia="黑体"/>
          <w:sz w:val="32"/>
          <w:szCs w:val="32"/>
        </w:rPr>
        <w:t>（评价原则）</w:t>
      </w:r>
      <w:r>
        <w:rPr>
          <w:rFonts w:hint="eastAsia" w:ascii="Times New Roman" w:hAnsi="Times New Roman" w:eastAsia="仿宋_GB2312"/>
          <w:sz w:val="32"/>
          <w:szCs w:val="32"/>
        </w:rPr>
        <w:t>水预算管理领域“风险+信用”评价</w:t>
      </w:r>
      <w:r>
        <w:rPr>
          <w:rFonts w:ascii="Times New Roman" w:hAnsi="Times New Roman" w:eastAsia="仿宋_GB2312"/>
          <w:sz w:val="32"/>
          <w:szCs w:val="32"/>
        </w:rPr>
        <w:t>坚持依法依规、以评促管、部门联动、稳慎适度、聚焦重点的原则。</w:t>
      </w:r>
    </w:p>
    <w:p w14:paraId="75894031">
      <w:pPr>
        <w:spacing w:before="156" w:beforeLines="50" w:line="560" w:lineRule="exact"/>
        <w:jc w:val="center"/>
        <w:outlineLvl w:val="0"/>
        <w:rPr>
          <w:rFonts w:ascii="Times New Roman" w:hAnsi="Times New Roman" w:eastAsia="黑体"/>
          <w:bCs/>
          <w:sz w:val="32"/>
          <w:szCs w:val="32"/>
        </w:rPr>
      </w:pPr>
      <w:r>
        <w:rPr>
          <w:rFonts w:ascii="Times New Roman" w:hAnsi="Times New Roman" w:eastAsia="黑体"/>
          <w:bCs/>
          <w:sz w:val="32"/>
          <w:szCs w:val="32"/>
        </w:rPr>
        <w:t>第</w:t>
      </w:r>
      <w:r>
        <w:rPr>
          <w:rFonts w:hint="eastAsia" w:ascii="Times New Roman" w:hAnsi="Times New Roman" w:eastAsia="黑体"/>
          <w:bCs/>
          <w:sz w:val="32"/>
          <w:szCs w:val="32"/>
        </w:rPr>
        <w:t>二</w:t>
      </w:r>
      <w:r>
        <w:rPr>
          <w:rFonts w:ascii="Times New Roman" w:hAnsi="Times New Roman" w:eastAsia="黑体"/>
          <w:bCs/>
          <w:sz w:val="32"/>
          <w:szCs w:val="32"/>
        </w:rPr>
        <w:t>章  信息</w:t>
      </w:r>
      <w:r>
        <w:rPr>
          <w:rFonts w:hint="eastAsia" w:ascii="Times New Roman" w:hAnsi="Times New Roman" w:eastAsia="黑体"/>
          <w:bCs/>
          <w:sz w:val="32"/>
          <w:szCs w:val="32"/>
        </w:rPr>
        <w:t>管理</w:t>
      </w:r>
    </w:p>
    <w:p w14:paraId="2D709409">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六</w:t>
      </w:r>
      <w:r>
        <w:rPr>
          <w:rFonts w:ascii="Times New Roman" w:hAnsi="Times New Roman" w:eastAsia="黑体"/>
          <w:sz w:val="32"/>
          <w:szCs w:val="32"/>
        </w:rPr>
        <w:t xml:space="preserve">条  </w:t>
      </w:r>
      <w:r>
        <w:rPr>
          <w:rFonts w:hint="eastAsia" w:ascii="Times New Roman" w:hAnsi="Times New Roman" w:eastAsia="黑体"/>
          <w:sz w:val="32"/>
          <w:szCs w:val="32"/>
        </w:rPr>
        <w:t>（信息内涵）</w:t>
      </w:r>
      <w:r>
        <w:rPr>
          <w:rFonts w:hint="eastAsia" w:ascii="Times New Roman" w:hAnsi="Times New Roman" w:eastAsia="仿宋_GB2312"/>
          <w:sz w:val="32"/>
          <w:szCs w:val="32"/>
        </w:rPr>
        <w:t>“风险+信用”评价信息</w:t>
      </w:r>
      <w:r>
        <w:rPr>
          <w:rFonts w:ascii="Times New Roman" w:hAnsi="Times New Roman" w:eastAsia="仿宋_GB2312"/>
          <w:sz w:val="32"/>
          <w:szCs w:val="32"/>
        </w:rPr>
        <w:t>是指</w:t>
      </w:r>
      <w:r>
        <w:rPr>
          <w:rFonts w:hint="eastAsia" w:ascii="Times New Roman" w:hAnsi="Times New Roman" w:eastAsia="仿宋_GB2312"/>
          <w:sz w:val="32"/>
          <w:szCs w:val="32"/>
        </w:rPr>
        <w:t>区</w:t>
      </w:r>
      <w:r>
        <w:rPr>
          <w:rFonts w:ascii="Times New Roman" w:hAnsi="Times New Roman" w:eastAsia="仿宋_GB2312"/>
          <w:sz w:val="32"/>
          <w:szCs w:val="32"/>
        </w:rPr>
        <w:t>水行政主管部门在水预算管理</w:t>
      </w:r>
      <w:r>
        <w:rPr>
          <w:rFonts w:hint="eastAsia" w:ascii="Times New Roman" w:hAnsi="Times New Roman" w:eastAsia="仿宋_GB2312"/>
          <w:sz w:val="32"/>
          <w:szCs w:val="32"/>
        </w:rPr>
        <w:t>过程中</w:t>
      </w:r>
      <w:r>
        <w:rPr>
          <w:rFonts w:ascii="Times New Roman" w:hAnsi="Times New Roman" w:eastAsia="仿宋_GB2312"/>
          <w:sz w:val="32"/>
          <w:szCs w:val="32"/>
        </w:rPr>
        <w:t>，针对</w:t>
      </w:r>
      <w:r>
        <w:rPr>
          <w:rFonts w:hint="eastAsia" w:ascii="Times New Roman" w:hAnsi="Times New Roman" w:eastAsia="仿宋_GB2312"/>
          <w:sz w:val="32"/>
          <w:szCs w:val="32"/>
        </w:rPr>
        <w:t>各类管理对象取用水行为收集、记录的相关信息。主要包括基本信息，风险信息和信用信息。</w:t>
      </w:r>
    </w:p>
    <w:p w14:paraId="52EBD70A">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（一）基本信息包括用水户名称、统一社会信用代码、所属行业、取水许可信息、用水水源类型、年度水预算信息（编制、申报、执行、调整、决算信息）等。</w:t>
      </w:r>
    </w:p>
    <w:p w14:paraId="3CA57632">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（二）风险信息</w:t>
      </w:r>
      <w:r>
        <w:rPr>
          <w:rFonts w:ascii="Times New Roman" w:hAnsi="Times New Roman" w:eastAsia="仿宋_GB2312"/>
          <w:sz w:val="32"/>
          <w:szCs w:val="32"/>
        </w:rPr>
        <w:t>指</w:t>
      </w:r>
      <w:r>
        <w:rPr>
          <w:rFonts w:hint="eastAsia" w:ascii="Times New Roman" w:hAnsi="Times New Roman" w:eastAsia="仿宋_GB2312"/>
          <w:sz w:val="32"/>
          <w:szCs w:val="32"/>
        </w:rPr>
        <w:t>反映用水户用水行为偏离度、用水效率、节水设施状况等可能导致超预算用水</w:t>
      </w:r>
      <w:r>
        <w:rPr>
          <w:rFonts w:hint="eastAsia" w:ascii="Times New Roman" w:hAnsi="Times New Roman" w:eastAsia="仿宋_GB2312"/>
          <w:sz w:val="32"/>
          <w:szCs w:val="32"/>
          <w:lang w:val="en-US" w:eastAsia="zh-CN"/>
        </w:rPr>
        <w:t>或不符合水预算管理要求</w:t>
      </w:r>
      <w:r>
        <w:rPr>
          <w:rFonts w:hint="eastAsia" w:ascii="Times New Roman" w:hAnsi="Times New Roman" w:eastAsia="仿宋_GB2312"/>
          <w:sz w:val="32"/>
          <w:szCs w:val="32"/>
        </w:rPr>
        <w:t>的风险特征数据。</w:t>
      </w:r>
    </w:p>
    <w:p w14:paraId="32B434A8">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w:t>
      </w:r>
      <w:r>
        <w:rPr>
          <w:rFonts w:ascii="Times New Roman" w:hAnsi="Times New Roman" w:eastAsia="仿宋_GB2312"/>
          <w:sz w:val="32"/>
          <w:szCs w:val="32"/>
        </w:rPr>
        <w:t>信用信息指反映用水户守法履约、诚信经营状况的相关信息</w:t>
      </w:r>
      <w:r>
        <w:rPr>
          <w:rFonts w:hint="eastAsia" w:ascii="Times New Roman" w:hAnsi="Times New Roman" w:eastAsia="仿宋_GB2312"/>
          <w:sz w:val="32"/>
          <w:szCs w:val="32"/>
        </w:rPr>
        <w:t>，包含用水户公共及行业信用状况的信息。</w:t>
      </w:r>
    </w:p>
    <w:p w14:paraId="4654D85D">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七</w:t>
      </w:r>
      <w:r>
        <w:rPr>
          <w:rFonts w:ascii="Times New Roman" w:hAnsi="Times New Roman" w:eastAsia="黑体"/>
          <w:sz w:val="32"/>
          <w:szCs w:val="32"/>
        </w:rPr>
        <w:t xml:space="preserve">条  </w:t>
      </w:r>
      <w:r>
        <w:rPr>
          <w:rFonts w:hint="eastAsia" w:ascii="Times New Roman" w:hAnsi="Times New Roman" w:eastAsia="黑体"/>
          <w:sz w:val="32"/>
          <w:szCs w:val="32"/>
        </w:rPr>
        <w:t>（信息来源）</w:t>
      </w:r>
      <w:r>
        <w:rPr>
          <w:rFonts w:hint="eastAsia" w:ascii="Times New Roman" w:hAnsi="Times New Roman" w:eastAsia="仿宋_GB2312"/>
          <w:sz w:val="32"/>
          <w:szCs w:val="32"/>
        </w:rPr>
        <w:t>水预算管理信用信息和风险信息实行清单制管理，以生效的相关行政决定文书和其他权威、准确的数据、文件或记录为依据。信息来源主要包括：</w:t>
      </w:r>
    </w:p>
    <w:p w14:paraId="3FFD3EA1">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业务管理数据：北京市、通州区水预算管理平台汇聚的日常管理和监测数据，包括用水行为信息（用水总量、用水强度）、计量设施状况信息（安装、运行、检定、数据传输）等等。管理对象按要求报送的相关数据，包括用水统计报表、节水工作计划与总结、水平衡测试报告以及其他相关证明材料。</w:t>
      </w:r>
    </w:p>
    <w:p w14:paraId="71586DF8">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（二）现场监督检查数据：</w:t>
      </w:r>
      <w:r>
        <w:rPr>
          <w:rFonts w:ascii="Times New Roman" w:hAnsi="Times New Roman" w:eastAsia="仿宋_GB2312"/>
          <w:sz w:val="32"/>
          <w:szCs w:val="32"/>
        </w:rPr>
        <w:t>区水行政主管部门</w:t>
      </w:r>
      <w:r>
        <w:rPr>
          <w:rFonts w:hint="eastAsia" w:ascii="Times New Roman" w:hAnsi="Times New Roman" w:eastAsia="仿宋_GB2312"/>
          <w:sz w:val="32"/>
          <w:szCs w:val="32"/>
        </w:rPr>
        <w:t>在日常巡查、专项检查、执法行动中形成的检查记录、笔录、影像资料和处理决定，如对</w:t>
      </w:r>
      <w:r>
        <w:rPr>
          <w:rFonts w:ascii="Times New Roman" w:hAnsi="Times New Roman" w:eastAsia="仿宋_GB2312"/>
          <w:sz w:val="32"/>
          <w:szCs w:val="32"/>
        </w:rPr>
        <w:t>违法违规和弄虚作假等失信行为作出的行政处罚、行政强制文书证据材料以及相关的执法检查记录</w:t>
      </w:r>
      <w:bookmarkStart w:id="0" w:name="OLE_LINK4"/>
      <w:r>
        <w:rPr>
          <w:rFonts w:hint="eastAsia" w:ascii="Times New Roman" w:hAnsi="Times New Roman" w:eastAsia="仿宋_GB2312"/>
          <w:sz w:val="32"/>
          <w:szCs w:val="32"/>
        </w:rPr>
        <w:t>。</w:t>
      </w:r>
    </w:p>
    <w:p w14:paraId="687FA7DF">
      <w:pPr>
        <w:spacing w:line="560" w:lineRule="exact"/>
        <w:ind w:firstLine="640" w:firstLineChars="200"/>
        <w:rPr>
          <w:rFonts w:ascii="Times New Roman" w:hAnsi="Times New Roman" w:eastAsia="仿宋_GB2312"/>
          <w:b/>
          <w:bCs/>
          <w:sz w:val="32"/>
          <w:szCs w:val="32"/>
        </w:rPr>
      </w:pPr>
      <w:r>
        <w:rPr>
          <w:rFonts w:hint="eastAsia" w:ascii="Times New Roman" w:hAnsi="Times New Roman" w:eastAsia="仿宋_GB2312"/>
          <w:sz w:val="32"/>
          <w:szCs w:val="32"/>
        </w:rPr>
        <w:t>（三）跨部门共享数据：通过“信用中国”、市区两级数据共享交换平台等渠道，获取由各部门提供的公共信用信息。各级</w:t>
      </w:r>
      <w:r>
        <w:rPr>
          <w:rFonts w:ascii="Times New Roman" w:hAnsi="Times New Roman" w:eastAsia="仿宋_GB2312"/>
          <w:sz w:val="32"/>
          <w:szCs w:val="32"/>
        </w:rPr>
        <w:t>行政管理和公共服务</w:t>
      </w:r>
      <w:r>
        <w:rPr>
          <w:rFonts w:hint="eastAsia" w:ascii="Times New Roman" w:hAnsi="Times New Roman" w:eastAsia="仿宋_GB2312"/>
          <w:sz w:val="32"/>
          <w:szCs w:val="32"/>
        </w:rPr>
        <w:t>平台披露</w:t>
      </w:r>
      <w:r>
        <w:rPr>
          <w:rFonts w:ascii="Times New Roman" w:hAnsi="Times New Roman" w:eastAsia="仿宋_GB2312"/>
          <w:sz w:val="32"/>
          <w:szCs w:val="32"/>
        </w:rPr>
        <w:t>的公共信用信息</w:t>
      </w:r>
      <w:r>
        <w:rPr>
          <w:rFonts w:hint="eastAsia" w:ascii="Times New Roman" w:hAnsi="Times New Roman" w:eastAsia="仿宋_GB2312"/>
          <w:sz w:val="32"/>
          <w:szCs w:val="32"/>
        </w:rPr>
        <w:t>、违法违规和弄虚作假信息，</w:t>
      </w:r>
      <w:r>
        <w:rPr>
          <w:rFonts w:ascii="Times New Roman" w:hAnsi="Times New Roman" w:eastAsia="仿宋_GB2312"/>
          <w:sz w:val="32"/>
          <w:szCs w:val="32"/>
        </w:rPr>
        <w:t>经举报查实的证明文件</w:t>
      </w:r>
      <w:r>
        <w:rPr>
          <w:rFonts w:hint="eastAsia" w:ascii="Times New Roman" w:hAnsi="Times New Roman" w:eastAsia="仿宋_GB2312"/>
          <w:sz w:val="32"/>
          <w:szCs w:val="32"/>
        </w:rPr>
        <w:t>等</w:t>
      </w:r>
      <w:r>
        <w:rPr>
          <w:rFonts w:ascii="Times New Roman" w:hAnsi="Times New Roman" w:eastAsia="仿宋_GB2312"/>
          <w:sz w:val="32"/>
          <w:szCs w:val="32"/>
        </w:rPr>
        <w:t>。</w:t>
      </w:r>
    </w:p>
    <w:p w14:paraId="0457FBB2">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w:t>
      </w:r>
      <w:bookmarkEnd w:id="0"/>
      <w:r>
        <w:rPr>
          <w:rFonts w:hint="eastAsia" w:ascii="Times New Roman" w:hAnsi="Times New Roman" w:eastAsia="仿宋_GB2312"/>
          <w:sz w:val="32"/>
          <w:szCs w:val="32"/>
        </w:rPr>
        <w:t>其他经核实确认的与水预算管理相关的信息数据。</w:t>
      </w:r>
    </w:p>
    <w:p w14:paraId="3E5F7B6F">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八</w:t>
      </w:r>
      <w:r>
        <w:rPr>
          <w:rFonts w:ascii="Times New Roman" w:hAnsi="Times New Roman" w:eastAsia="黑体"/>
          <w:sz w:val="32"/>
          <w:szCs w:val="32"/>
        </w:rPr>
        <w:t xml:space="preserve">条  </w:t>
      </w:r>
      <w:r>
        <w:rPr>
          <w:rFonts w:hint="eastAsia" w:ascii="Times New Roman" w:hAnsi="Times New Roman" w:eastAsia="黑体"/>
          <w:sz w:val="32"/>
          <w:szCs w:val="32"/>
        </w:rPr>
        <w:t>（信息归集）</w:t>
      </w:r>
      <w:r>
        <w:rPr>
          <w:rFonts w:hint="eastAsia" w:ascii="Times New Roman" w:hAnsi="Times New Roman" w:eastAsia="仿宋_GB2312"/>
          <w:sz w:val="32"/>
          <w:szCs w:val="32"/>
        </w:rPr>
        <w:t>“风险+信用”评价信息以统一社会信用代码为标识进行归集，逐步形成全区水预算管理对象“风险+信用”评价档案库，确保信息完整、准确、及时。</w:t>
      </w:r>
    </w:p>
    <w:p w14:paraId="700F2BC3">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九</w:t>
      </w:r>
      <w:r>
        <w:rPr>
          <w:rFonts w:ascii="Times New Roman" w:hAnsi="Times New Roman" w:eastAsia="黑体"/>
          <w:sz w:val="32"/>
          <w:szCs w:val="32"/>
        </w:rPr>
        <w:t xml:space="preserve">条  </w:t>
      </w:r>
      <w:r>
        <w:rPr>
          <w:rFonts w:hint="eastAsia" w:ascii="Times New Roman" w:hAnsi="Times New Roman" w:eastAsia="黑体"/>
          <w:sz w:val="32"/>
          <w:szCs w:val="32"/>
        </w:rPr>
        <w:t>（信用承诺）</w:t>
      </w:r>
      <w:r>
        <w:rPr>
          <w:rFonts w:ascii="Times New Roman" w:hAnsi="Times New Roman" w:eastAsia="仿宋_GB2312"/>
          <w:sz w:val="32"/>
          <w:szCs w:val="32"/>
        </w:rPr>
        <w:t>鼓励</w:t>
      </w:r>
      <w:r>
        <w:rPr>
          <w:rFonts w:hint="eastAsia" w:ascii="Times New Roman" w:hAnsi="Times New Roman" w:eastAsia="仿宋_GB2312"/>
          <w:sz w:val="32"/>
          <w:szCs w:val="32"/>
        </w:rPr>
        <w:t>水预算管理对象</w:t>
      </w:r>
      <w:r>
        <w:rPr>
          <w:rFonts w:ascii="Times New Roman" w:hAnsi="Times New Roman" w:eastAsia="仿宋_GB2312"/>
          <w:sz w:val="32"/>
          <w:szCs w:val="32"/>
        </w:rPr>
        <w:t>主动向社会作出信用承诺。</w:t>
      </w:r>
      <w:r>
        <w:rPr>
          <w:rFonts w:hint="eastAsia" w:ascii="Times New Roman" w:hAnsi="Times New Roman" w:eastAsia="仿宋_GB2312"/>
          <w:sz w:val="32"/>
          <w:szCs w:val="32"/>
        </w:rPr>
        <w:t>区水务局</w:t>
      </w:r>
      <w:r>
        <w:rPr>
          <w:rFonts w:ascii="Times New Roman" w:hAnsi="Times New Roman" w:eastAsia="仿宋_GB2312"/>
          <w:sz w:val="32"/>
          <w:szCs w:val="32"/>
        </w:rPr>
        <w:t>在办理专项资金申请、信用修复等工作中积极推行信用承诺制度，并将</w:t>
      </w:r>
      <w:r>
        <w:rPr>
          <w:rFonts w:hint="eastAsia" w:ascii="Times New Roman" w:hAnsi="Times New Roman" w:eastAsia="仿宋_GB2312"/>
          <w:sz w:val="32"/>
          <w:szCs w:val="32"/>
        </w:rPr>
        <w:t>水预算管理对象</w:t>
      </w:r>
      <w:r>
        <w:rPr>
          <w:rFonts w:ascii="Times New Roman" w:hAnsi="Times New Roman" w:eastAsia="仿宋_GB2312"/>
          <w:sz w:val="32"/>
          <w:szCs w:val="32"/>
        </w:rPr>
        <w:t>的承诺信息、履约情况纳入信用记录，作为信用评价结果应用的重要依据</w:t>
      </w:r>
      <w:r>
        <w:rPr>
          <w:rFonts w:hint="eastAsia" w:ascii="Times New Roman" w:hAnsi="Times New Roman" w:eastAsia="仿宋_GB2312"/>
          <w:sz w:val="32"/>
          <w:szCs w:val="32"/>
        </w:rPr>
        <w:t>，</w:t>
      </w:r>
      <w:r>
        <w:rPr>
          <w:rFonts w:ascii="Times New Roman" w:hAnsi="Times New Roman" w:eastAsia="仿宋_GB2312"/>
          <w:sz w:val="32"/>
          <w:szCs w:val="32"/>
        </w:rPr>
        <w:t>实现信用承诺及履约情况的闭环管理。</w:t>
      </w:r>
    </w:p>
    <w:p w14:paraId="110EBAE6">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第十条  （平台建设）</w:t>
      </w:r>
      <w:r>
        <w:rPr>
          <w:rFonts w:hint="eastAsia" w:ascii="Times New Roman" w:hAnsi="Times New Roman" w:eastAsia="仿宋_GB2312"/>
          <w:sz w:val="32"/>
          <w:szCs w:val="32"/>
        </w:rPr>
        <w:t>依托水预算管理信息化平台，实现“风险+信用”评价信息归集、共享、评价和成果展示等功能。</w:t>
      </w:r>
    </w:p>
    <w:p w14:paraId="7D24C21F">
      <w:pPr>
        <w:spacing w:before="156" w:beforeLines="50" w:line="560" w:lineRule="exact"/>
        <w:jc w:val="center"/>
        <w:outlineLvl w:val="0"/>
        <w:rPr>
          <w:rFonts w:ascii="Times New Roman" w:hAnsi="Times New Roman" w:eastAsia="黑体"/>
          <w:bCs/>
          <w:sz w:val="32"/>
          <w:szCs w:val="32"/>
        </w:rPr>
      </w:pPr>
      <w:r>
        <w:rPr>
          <w:rFonts w:ascii="Times New Roman" w:hAnsi="Times New Roman" w:eastAsia="黑体"/>
          <w:bCs/>
          <w:sz w:val="32"/>
          <w:szCs w:val="32"/>
        </w:rPr>
        <w:t>第</w:t>
      </w:r>
      <w:r>
        <w:rPr>
          <w:rFonts w:hint="eastAsia" w:ascii="Times New Roman" w:hAnsi="Times New Roman" w:eastAsia="黑体"/>
          <w:bCs/>
          <w:sz w:val="32"/>
          <w:szCs w:val="32"/>
        </w:rPr>
        <w:t>三</w:t>
      </w:r>
      <w:r>
        <w:rPr>
          <w:rFonts w:ascii="Times New Roman" w:hAnsi="Times New Roman" w:eastAsia="黑体"/>
          <w:bCs/>
          <w:sz w:val="32"/>
          <w:szCs w:val="32"/>
        </w:rPr>
        <w:t>章  评价规则</w:t>
      </w:r>
    </w:p>
    <w:p w14:paraId="063824CA">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第十一条  （评价体系）</w:t>
      </w:r>
      <w:r>
        <w:rPr>
          <w:rFonts w:hint="eastAsia" w:ascii="Times New Roman" w:hAnsi="Times New Roman" w:eastAsia="仿宋_GB2312"/>
          <w:sz w:val="32"/>
          <w:szCs w:val="32"/>
        </w:rPr>
        <w:t>“风险+信用”评价体系包括风险评价和信用评价，最后统筹考虑风险评价结果和信用评价结果，确定用水户的“风险+信用”综合评价结果。指标的选定遵循指标权威性、数据可得性、科学性和可操作性原则，确保指标定义内涵明确、数据来源可靠。评价指标根据水预算管理工作推进情况进行动态调整。</w:t>
      </w:r>
    </w:p>
    <w:p w14:paraId="32E800DF">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（一）风险评价体系由共性风险评价指标和个性风险评价指标构成。共性风险评价指标聚焦所有</w:t>
      </w:r>
      <w:r>
        <w:rPr>
          <w:rFonts w:hint="eastAsia" w:ascii="Times New Roman" w:hAnsi="Times New Roman" w:eastAsia="仿宋_GB2312"/>
          <w:sz w:val="32"/>
          <w:szCs w:val="32"/>
          <w:lang w:val="en-US" w:eastAsia="zh-CN"/>
        </w:rPr>
        <w:t>评价</w:t>
      </w:r>
      <w:r>
        <w:rPr>
          <w:rFonts w:hint="eastAsia" w:ascii="Times New Roman" w:hAnsi="Times New Roman" w:eastAsia="仿宋_GB2312"/>
          <w:sz w:val="32"/>
          <w:szCs w:val="32"/>
        </w:rPr>
        <w:t>对象均存在的、与取用水行为直接相关的风险；个性风险评价指标聚焦</w:t>
      </w:r>
      <w:r>
        <w:rPr>
          <w:rFonts w:hint="eastAsia" w:ascii="Times New Roman" w:hAnsi="Times New Roman" w:eastAsia="仿宋_GB2312"/>
          <w:sz w:val="32"/>
          <w:szCs w:val="32"/>
          <w:lang w:val="en-US" w:eastAsia="zh-CN"/>
        </w:rPr>
        <w:t>不同</w:t>
      </w:r>
      <w:r>
        <w:rPr>
          <w:rFonts w:hint="eastAsia" w:ascii="Times New Roman" w:hAnsi="Times New Roman" w:eastAsia="仿宋_GB2312"/>
          <w:sz w:val="32"/>
          <w:szCs w:val="32"/>
        </w:rPr>
        <w:t>行业对象特有风险。</w:t>
      </w:r>
    </w:p>
    <w:p w14:paraId="09763A4A">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（二）信用评价体系由公共信用评价指标和行业信用评价指标构成。公共信用评价指标的选择应符合国家公共信用综合评价规范的有关要求，确保指标可共享、可查询。行业信用评价指标以</w:t>
      </w:r>
      <w:r>
        <w:rPr>
          <w:rFonts w:ascii="Times New Roman" w:hAnsi="Times New Roman" w:eastAsia="仿宋_GB2312"/>
          <w:sz w:val="32"/>
          <w:szCs w:val="32"/>
        </w:rPr>
        <w:t>《水利部 国家发展改革委关于实施取用水领域信用评价的指导意见》</w:t>
      </w:r>
      <w:r>
        <w:rPr>
          <w:rFonts w:hint="eastAsia" w:ascii="Times New Roman" w:hAnsi="Times New Roman" w:eastAsia="仿宋_GB2312"/>
          <w:sz w:val="32"/>
          <w:szCs w:val="32"/>
        </w:rPr>
        <w:t>和《北京市取用水领域信用评价实施细则（征求意见稿）》中的评价指标为基础。</w:t>
      </w:r>
    </w:p>
    <w:p w14:paraId="17A6E31B">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第十</w:t>
      </w:r>
      <w:r>
        <w:rPr>
          <w:rFonts w:hint="eastAsia" w:ascii="Times New Roman" w:hAnsi="Times New Roman" w:eastAsia="黑体"/>
          <w:sz w:val="32"/>
          <w:szCs w:val="32"/>
        </w:rPr>
        <w:t>二</w:t>
      </w:r>
      <w:r>
        <w:rPr>
          <w:rFonts w:ascii="Times New Roman" w:hAnsi="Times New Roman" w:eastAsia="黑体"/>
          <w:sz w:val="32"/>
          <w:szCs w:val="32"/>
        </w:rPr>
        <w:t xml:space="preserve">条  </w:t>
      </w:r>
      <w:r>
        <w:rPr>
          <w:rFonts w:hint="eastAsia" w:ascii="Times New Roman" w:hAnsi="Times New Roman" w:eastAsia="黑体"/>
          <w:sz w:val="32"/>
          <w:szCs w:val="32"/>
        </w:rPr>
        <w:t>（赋分标准）</w:t>
      </w:r>
      <w:r>
        <w:rPr>
          <w:rFonts w:hint="eastAsia" w:ascii="Times New Roman" w:hAnsi="Times New Roman" w:eastAsia="仿宋_GB2312"/>
          <w:sz w:val="32"/>
          <w:szCs w:val="32"/>
        </w:rPr>
        <w:t>“风险+信用”</w:t>
      </w:r>
      <w:r>
        <w:rPr>
          <w:rFonts w:ascii="Times New Roman" w:hAnsi="Times New Roman" w:eastAsia="仿宋_GB2312"/>
          <w:sz w:val="32"/>
          <w:szCs w:val="32"/>
        </w:rPr>
        <w:t>评价实行扣分制，初始分值为100分，扣完为止。依据</w:t>
      </w:r>
      <w:r>
        <w:rPr>
          <w:rFonts w:hint="eastAsia" w:ascii="Times New Roman" w:hAnsi="Times New Roman" w:eastAsia="仿宋_GB2312"/>
          <w:sz w:val="32"/>
          <w:szCs w:val="32"/>
        </w:rPr>
        <w:t>“风险+信用”评价标准</w:t>
      </w:r>
      <w:r>
        <w:rPr>
          <w:rFonts w:ascii="Times New Roman" w:hAnsi="Times New Roman" w:eastAsia="仿宋_GB2312"/>
          <w:sz w:val="32"/>
          <w:szCs w:val="32"/>
        </w:rPr>
        <w:t>进行扣分，根据评分情况确定对应的</w:t>
      </w:r>
      <w:r>
        <w:rPr>
          <w:rFonts w:hint="eastAsia" w:ascii="Times New Roman" w:hAnsi="Times New Roman" w:eastAsia="仿宋_GB2312"/>
          <w:sz w:val="32"/>
          <w:szCs w:val="32"/>
        </w:rPr>
        <w:t>风险和信用</w:t>
      </w:r>
      <w:r>
        <w:rPr>
          <w:rFonts w:ascii="Times New Roman" w:hAnsi="Times New Roman" w:eastAsia="仿宋_GB2312"/>
          <w:sz w:val="32"/>
          <w:szCs w:val="32"/>
        </w:rPr>
        <w:t>评价等级。</w:t>
      </w:r>
    </w:p>
    <w:p w14:paraId="78633B74">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失信</w:t>
      </w:r>
      <w:r>
        <w:rPr>
          <w:rFonts w:hint="eastAsia" w:ascii="Times New Roman" w:hAnsi="Times New Roman" w:eastAsia="仿宋_GB2312"/>
          <w:sz w:val="32"/>
          <w:szCs w:val="32"/>
        </w:rPr>
        <w:t>（风险）</w:t>
      </w:r>
      <w:r>
        <w:rPr>
          <w:rFonts w:ascii="Times New Roman" w:hAnsi="Times New Roman" w:eastAsia="仿宋_GB2312"/>
          <w:sz w:val="32"/>
          <w:szCs w:val="32"/>
        </w:rPr>
        <w:t>扣分应当遵循行为事实清楚、处罚决定依据充分、处罚程序合规、司法裁决和行政决定等文档齐全的原则，具体依失信</w:t>
      </w:r>
      <w:r>
        <w:rPr>
          <w:rFonts w:hint="eastAsia" w:ascii="Times New Roman" w:hAnsi="Times New Roman" w:eastAsia="仿宋_GB2312"/>
          <w:sz w:val="32"/>
          <w:szCs w:val="32"/>
        </w:rPr>
        <w:t>（风险）</w:t>
      </w:r>
      <w:r>
        <w:rPr>
          <w:rFonts w:ascii="Times New Roman" w:hAnsi="Times New Roman" w:eastAsia="仿宋_GB2312"/>
          <w:sz w:val="32"/>
          <w:szCs w:val="32"/>
        </w:rPr>
        <w:t>行为不同危害程度认定为一般、较重、严重三种情形。一般失信</w:t>
      </w:r>
      <w:r>
        <w:rPr>
          <w:rFonts w:hint="eastAsia" w:ascii="Times New Roman" w:hAnsi="Times New Roman" w:eastAsia="仿宋_GB2312"/>
          <w:sz w:val="32"/>
          <w:szCs w:val="32"/>
        </w:rPr>
        <w:t>（风险）</w:t>
      </w:r>
      <w:r>
        <w:rPr>
          <w:rFonts w:ascii="Times New Roman" w:hAnsi="Times New Roman" w:eastAsia="仿宋_GB2312"/>
          <w:sz w:val="32"/>
          <w:szCs w:val="32"/>
        </w:rPr>
        <w:t>行为扣5分，较重失信</w:t>
      </w:r>
      <w:r>
        <w:rPr>
          <w:rFonts w:hint="eastAsia" w:ascii="Times New Roman" w:hAnsi="Times New Roman" w:eastAsia="仿宋_GB2312"/>
          <w:sz w:val="32"/>
          <w:szCs w:val="32"/>
        </w:rPr>
        <w:t>（风险）</w:t>
      </w:r>
      <w:r>
        <w:rPr>
          <w:rFonts w:ascii="Times New Roman" w:hAnsi="Times New Roman" w:eastAsia="仿宋_GB2312"/>
          <w:sz w:val="32"/>
          <w:szCs w:val="32"/>
        </w:rPr>
        <w:t>行为扣10分，严重失信</w:t>
      </w:r>
      <w:r>
        <w:rPr>
          <w:rFonts w:hint="eastAsia" w:ascii="Times New Roman" w:hAnsi="Times New Roman" w:eastAsia="仿宋_GB2312"/>
          <w:sz w:val="32"/>
          <w:szCs w:val="32"/>
        </w:rPr>
        <w:t>（风险）</w:t>
      </w:r>
      <w:r>
        <w:rPr>
          <w:rFonts w:ascii="Times New Roman" w:hAnsi="Times New Roman" w:eastAsia="仿宋_GB2312"/>
          <w:sz w:val="32"/>
          <w:szCs w:val="32"/>
        </w:rPr>
        <w:t>行为扣20分。对情节严重、影响恶劣、拒不整改或者整改不力的违法行为，应从严从重扣分。</w:t>
      </w:r>
    </w:p>
    <w:p w14:paraId="11ECB745">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失信</w:t>
      </w:r>
      <w:r>
        <w:rPr>
          <w:rFonts w:hint="eastAsia" w:ascii="Times New Roman" w:hAnsi="Times New Roman" w:eastAsia="仿宋_GB2312"/>
          <w:sz w:val="32"/>
          <w:szCs w:val="32"/>
        </w:rPr>
        <w:t>（风险）</w:t>
      </w:r>
      <w:r>
        <w:rPr>
          <w:rFonts w:ascii="Times New Roman" w:hAnsi="Times New Roman" w:eastAsia="仿宋_GB2312"/>
          <w:sz w:val="32"/>
          <w:szCs w:val="32"/>
        </w:rPr>
        <w:t>行为涉及一项评价指标的，对该项指标扣分；涉及两项及以上评价指标的，累计扣分，扣完为止。</w:t>
      </w:r>
    </w:p>
    <w:p w14:paraId="413F9BB9">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第十</w:t>
      </w:r>
      <w:r>
        <w:rPr>
          <w:rFonts w:hint="eastAsia" w:ascii="Times New Roman" w:hAnsi="Times New Roman" w:eastAsia="黑体"/>
          <w:sz w:val="32"/>
          <w:szCs w:val="32"/>
        </w:rPr>
        <w:t>三</w:t>
      </w:r>
      <w:r>
        <w:rPr>
          <w:rFonts w:ascii="Times New Roman" w:hAnsi="Times New Roman" w:eastAsia="黑体"/>
          <w:sz w:val="32"/>
          <w:szCs w:val="32"/>
        </w:rPr>
        <w:t xml:space="preserve">条  </w:t>
      </w:r>
      <w:r>
        <w:rPr>
          <w:rFonts w:hint="eastAsia" w:ascii="Times New Roman" w:hAnsi="Times New Roman" w:eastAsia="黑体"/>
          <w:sz w:val="32"/>
          <w:szCs w:val="32"/>
        </w:rPr>
        <w:t>（信用评级）</w:t>
      </w:r>
      <w:r>
        <w:rPr>
          <w:rFonts w:ascii="Times New Roman" w:hAnsi="Times New Roman" w:eastAsia="仿宋_GB2312"/>
          <w:sz w:val="32"/>
          <w:szCs w:val="32"/>
        </w:rPr>
        <w:t>信用评价结果按照信用状况从高到低划分为四个等级，分别是信用优秀（A级）、信用良好（B级）、信用一般（C级）、信用较差（D级）。各信用等级对应的分值（N）分别为：</w:t>
      </w:r>
    </w:p>
    <w:p w14:paraId="4045D0E3">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信用优秀（A级）：N=100；</w:t>
      </w:r>
    </w:p>
    <w:p w14:paraId="516B75A5">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信用良好（B级）：85≤N＜100；</w:t>
      </w:r>
    </w:p>
    <w:p w14:paraId="228D2B56">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信用一般（C级）：60≤N＜85；</w:t>
      </w:r>
    </w:p>
    <w:p w14:paraId="1CC44767">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信用较差（D级）：0≤N＜60。</w:t>
      </w:r>
    </w:p>
    <w:p w14:paraId="30F406FF">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第十</w:t>
      </w:r>
      <w:r>
        <w:rPr>
          <w:rFonts w:hint="eastAsia" w:ascii="Times New Roman" w:hAnsi="Times New Roman" w:eastAsia="黑体"/>
          <w:sz w:val="32"/>
          <w:szCs w:val="32"/>
        </w:rPr>
        <w:t>四</w:t>
      </w:r>
      <w:r>
        <w:rPr>
          <w:rFonts w:ascii="Times New Roman" w:hAnsi="Times New Roman" w:eastAsia="黑体"/>
          <w:sz w:val="32"/>
          <w:szCs w:val="32"/>
        </w:rPr>
        <w:t xml:space="preserve">条  </w:t>
      </w:r>
      <w:r>
        <w:rPr>
          <w:rFonts w:hint="eastAsia" w:ascii="Times New Roman" w:hAnsi="Times New Roman" w:eastAsia="黑体"/>
          <w:sz w:val="32"/>
          <w:szCs w:val="32"/>
        </w:rPr>
        <w:t>（信用限级）</w:t>
      </w:r>
      <w:r>
        <w:rPr>
          <w:rFonts w:ascii="Times New Roman" w:hAnsi="Times New Roman" w:eastAsia="仿宋_GB2312"/>
          <w:sz w:val="32"/>
          <w:szCs w:val="32"/>
        </w:rPr>
        <w:t>对以下情形设定</w:t>
      </w:r>
      <w:r>
        <w:rPr>
          <w:rFonts w:hint="eastAsia" w:ascii="Times New Roman" w:hAnsi="Times New Roman" w:eastAsia="仿宋_GB2312"/>
          <w:sz w:val="32"/>
          <w:szCs w:val="32"/>
        </w:rPr>
        <w:t>信用</w:t>
      </w:r>
      <w:r>
        <w:rPr>
          <w:rFonts w:ascii="Times New Roman" w:hAnsi="Times New Roman" w:eastAsia="仿宋_GB2312"/>
          <w:sz w:val="32"/>
          <w:szCs w:val="32"/>
        </w:rPr>
        <w:t>等级限制：</w:t>
      </w:r>
    </w:p>
    <w:p w14:paraId="1CBD308B">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（一）水行政主管部门已下达停止违法违规行为责令整改通知书，且仍未在规定期限内完成整改的，直接评定为C级；</w:t>
      </w:r>
    </w:p>
    <w:p w14:paraId="20FBF80D">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二</w:t>
      </w:r>
      <w:r>
        <w:rPr>
          <w:rFonts w:ascii="Times New Roman" w:hAnsi="Times New Roman" w:eastAsia="仿宋_GB2312"/>
          <w:sz w:val="32"/>
          <w:szCs w:val="32"/>
        </w:rPr>
        <w:t>）对在其他领域信用评价结果为最低等级的或被列入其他领域严重失信主体名单的</w:t>
      </w:r>
      <w:r>
        <w:rPr>
          <w:rFonts w:hint="eastAsia" w:ascii="Times New Roman" w:hAnsi="Times New Roman" w:eastAsia="仿宋_GB2312"/>
          <w:sz w:val="32"/>
          <w:szCs w:val="32"/>
        </w:rPr>
        <w:t>对象</w:t>
      </w:r>
      <w:r>
        <w:rPr>
          <w:rFonts w:ascii="Times New Roman" w:hAnsi="Times New Roman" w:eastAsia="仿宋_GB2312"/>
          <w:sz w:val="32"/>
          <w:szCs w:val="32"/>
        </w:rPr>
        <w:t>，其信用评价等级不能高于C级</w:t>
      </w:r>
      <w:r>
        <w:rPr>
          <w:rFonts w:hint="eastAsia" w:ascii="Times New Roman" w:hAnsi="Times New Roman" w:eastAsia="仿宋_GB2312"/>
          <w:sz w:val="32"/>
          <w:szCs w:val="32"/>
        </w:rPr>
        <w:t>；</w:t>
      </w:r>
    </w:p>
    <w:p w14:paraId="7D67BCFF">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三</w:t>
      </w:r>
      <w:r>
        <w:rPr>
          <w:rFonts w:ascii="Times New Roman" w:hAnsi="Times New Roman" w:eastAsia="仿宋_GB2312"/>
          <w:sz w:val="32"/>
          <w:szCs w:val="32"/>
        </w:rPr>
        <w:t>）虚报、瞒报、伪造、篡改用水原始记录、统计台账等资料，或提供虚假材料的</w:t>
      </w:r>
      <w:r>
        <w:rPr>
          <w:rFonts w:hint="eastAsia" w:ascii="Times New Roman" w:hAnsi="Times New Roman" w:eastAsia="仿宋_GB2312"/>
          <w:sz w:val="32"/>
          <w:szCs w:val="32"/>
        </w:rPr>
        <w:t>，</w:t>
      </w:r>
      <w:r>
        <w:rPr>
          <w:rFonts w:ascii="Times New Roman" w:hAnsi="Times New Roman" w:eastAsia="仿宋_GB2312"/>
          <w:sz w:val="32"/>
          <w:szCs w:val="32"/>
        </w:rPr>
        <w:t>虚报产量产能或经营（服务）规模，骗取水预算额度的</w:t>
      </w:r>
      <w:r>
        <w:rPr>
          <w:rFonts w:hint="eastAsia" w:ascii="Times New Roman" w:hAnsi="Times New Roman" w:eastAsia="仿宋_GB2312"/>
          <w:sz w:val="32"/>
          <w:szCs w:val="32"/>
        </w:rPr>
        <w:t>；存在拒缴或者拖欠水费、水资源税情形的；</w:t>
      </w:r>
      <w:r>
        <w:rPr>
          <w:rFonts w:ascii="Times New Roman" w:hAnsi="Times New Roman" w:eastAsia="仿宋_GB2312"/>
          <w:sz w:val="32"/>
          <w:szCs w:val="32"/>
        </w:rPr>
        <w:t>失信行为涉及的评价指标为严重等级，水行政主管部门已下达停止违法违规行为责令整改通知书，且仍未在规定期限内完成整改的；失信行为被省级及以上水行政主管部门或其他有关部门实施挂牌督办的；因违法违规，相关责任人被追究刑事责任的；被列入取用水严重失信主体名单的；其他造成与取用水相关的严重恶劣社会影响的，直接</w:t>
      </w:r>
      <w:r>
        <w:rPr>
          <w:rFonts w:hint="eastAsia" w:ascii="Times New Roman" w:hAnsi="Times New Roman" w:eastAsia="仿宋_GB2312"/>
          <w:sz w:val="32"/>
          <w:szCs w:val="32"/>
        </w:rPr>
        <w:t>评</w:t>
      </w:r>
      <w:r>
        <w:rPr>
          <w:rFonts w:ascii="Times New Roman" w:hAnsi="Times New Roman" w:eastAsia="仿宋_GB2312"/>
          <w:sz w:val="32"/>
          <w:szCs w:val="32"/>
        </w:rPr>
        <w:t>定为D级；</w:t>
      </w:r>
    </w:p>
    <w:p w14:paraId="0FCA7E46">
      <w:pPr>
        <w:pStyle w:val="27"/>
        <w:spacing w:line="56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十五</w:t>
      </w:r>
      <w:r>
        <w:rPr>
          <w:rFonts w:ascii="Times New Roman" w:hAnsi="Times New Roman" w:eastAsia="黑体" w:cs="Times New Roman"/>
          <w:sz w:val="32"/>
          <w:szCs w:val="32"/>
        </w:rPr>
        <w:t>条</w:t>
      </w:r>
      <w:r>
        <w:rPr>
          <w:rFonts w:hint="eastAsia" w:ascii="Times New Roman" w:hAnsi="Times New Roman" w:eastAsia="黑体" w:cs="Times New Roman"/>
          <w:sz w:val="32"/>
          <w:szCs w:val="32"/>
        </w:rPr>
        <w:t xml:space="preserve">  （风险评级）</w:t>
      </w:r>
      <w:r>
        <w:rPr>
          <w:rFonts w:hint="eastAsia" w:ascii="Times New Roman" w:hAnsi="Times New Roman" w:eastAsia="仿宋_GB2312" w:cs="Times New Roman"/>
          <w:sz w:val="32"/>
          <w:szCs w:val="32"/>
        </w:rPr>
        <w:t>风险</w:t>
      </w:r>
      <w:r>
        <w:rPr>
          <w:rFonts w:ascii="Times New Roman" w:hAnsi="Times New Roman" w:eastAsia="仿宋_GB2312" w:cs="Times New Roman"/>
          <w:sz w:val="32"/>
          <w:szCs w:val="32"/>
        </w:rPr>
        <w:t>评价结果按照</w:t>
      </w:r>
      <w:r>
        <w:rPr>
          <w:rFonts w:hint="eastAsia" w:ascii="Times New Roman" w:hAnsi="Times New Roman" w:eastAsia="仿宋_GB2312" w:cs="Times New Roman"/>
          <w:sz w:val="32"/>
          <w:szCs w:val="32"/>
        </w:rPr>
        <w:t>风险程度</w:t>
      </w:r>
      <w:r>
        <w:rPr>
          <w:rFonts w:ascii="Times New Roman" w:hAnsi="Times New Roman" w:eastAsia="仿宋_GB2312" w:cs="Times New Roman"/>
          <w:sz w:val="32"/>
          <w:szCs w:val="32"/>
        </w:rPr>
        <w:t>从</w:t>
      </w:r>
      <w:r>
        <w:rPr>
          <w:rFonts w:hint="eastAsia" w:ascii="Times New Roman" w:hAnsi="Times New Roman" w:eastAsia="仿宋_GB2312" w:cs="Times New Roman"/>
          <w:sz w:val="32"/>
          <w:szCs w:val="32"/>
        </w:rPr>
        <w:t>低</w:t>
      </w:r>
      <w:r>
        <w:rPr>
          <w:rFonts w:ascii="Times New Roman" w:hAnsi="Times New Roman" w:eastAsia="仿宋_GB2312" w:cs="Times New Roman"/>
          <w:sz w:val="32"/>
          <w:szCs w:val="32"/>
        </w:rPr>
        <w:t>到</w:t>
      </w:r>
      <w:r>
        <w:rPr>
          <w:rFonts w:hint="eastAsia" w:ascii="Times New Roman" w:hAnsi="Times New Roman" w:eastAsia="仿宋_GB2312" w:cs="Times New Roman"/>
          <w:sz w:val="32"/>
          <w:szCs w:val="32"/>
        </w:rPr>
        <w:t>高</w:t>
      </w:r>
      <w:r>
        <w:rPr>
          <w:rFonts w:ascii="Times New Roman" w:hAnsi="Times New Roman" w:eastAsia="仿宋_GB2312" w:cs="Times New Roman"/>
          <w:sz w:val="32"/>
          <w:szCs w:val="32"/>
        </w:rPr>
        <w:t>划分为四个等级，分别是低风险（L级）、中风险（M级）、较高风险（H级）、高风险（S级）。各</w:t>
      </w:r>
      <w:r>
        <w:rPr>
          <w:rFonts w:hint="eastAsia" w:ascii="Times New Roman" w:hAnsi="Times New Roman" w:eastAsia="仿宋_GB2312" w:cs="Times New Roman"/>
          <w:sz w:val="32"/>
          <w:szCs w:val="32"/>
        </w:rPr>
        <w:t>风险</w:t>
      </w:r>
      <w:r>
        <w:rPr>
          <w:rFonts w:ascii="Times New Roman" w:hAnsi="Times New Roman" w:eastAsia="仿宋_GB2312" w:cs="Times New Roman"/>
          <w:sz w:val="32"/>
          <w:szCs w:val="32"/>
        </w:rPr>
        <w:t>等级对应的分值（N）分别为：</w:t>
      </w:r>
    </w:p>
    <w:p w14:paraId="665AEBD0">
      <w:pPr>
        <w:pStyle w:val="27"/>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低风险（L级）：90≤得分≤100</w:t>
      </w:r>
    </w:p>
    <w:p w14:paraId="49158718">
      <w:pPr>
        <w:pStyle w:val="27"/>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中风险（M级）：75≤得分＜90</w:t>
      </w:r>
    </w:p>
    <w:p w14:paraId="59EC7936">
      <w:pPr>
        <w:pStyle w:val="27"/>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较高风险（H级）：60≤得分＜75</w:t>
      </w:r>
    </w:p>
    <w:p w14:paraId="5FF2F01F">
      <w:pPr>
        <w:pStyle w:val="27"/>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高风险（S级）：得分＜60</w:t>
      </w:r>
    </w:p>
    <w:p w14:paraId="05F2B77F">
      <w:pPr>
        <w:pStyle w:val="27"/>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第十</w:t>
      </w:r>
      <w:r>
        <w:rPr>
          <w:rFonts w:hint="eastAsia" w:ascii="Times New Roman" w:hAnsi="Times New Roman" w:eastAsia="黑体" w:cs="Times New Roman"/>
          <w:sz w:val="32"/>
          <w:szCs w:val="32"/>
        </w:rPr>
        <w:t>六</w:t>
      </w:r>
      <w:r>
        <w:rPr>
          <w:rFonts w:ascii="Times New Roman" w:hAnsi="Times New Roman" w:eastAsia="黑体" w:cs="Times New Roman"/>
          <w:sz w:val="32"/>
          <w:szCs w:val="32"/>
        </w:rPr>
        <w:t xml:space="preserve">条  </w:t>
      </w:r>
      <w:r>
        <w:rPr>
          <w:rFonts w:hint="eastAsia" w:ascii="Times New Roman" w:hAnsi="Times New Roman" w:eastAsia="黑体" w:cs="Times New Roman"/>
          <w:sz w:val="32"/>
          <w:szCs w:val="32"/>
        </w:rPr>
        <w:t>（风险限级）</w:t>
      </w:r>
      <w:r>
        <w:rPr>
          <w:rFonts w:ascii="Times New Roman" w:hAnsi="Times New Roman" w:eastAsia="仿宋_GB2312" w:cs="Times New Roman"/>
          <w:sz w:val="32"/>
          <w:szCs w:val="32"/>
        </w:rPr>
        <w:t>对以下情形设定</w:t>
      </w:r>
      <w:r>
        <w:rPr>
          <w:rFonts w:hint="eastAsia" w:ascii="Times New Roman" w:hAnsi="Times New Roman" w:eastAsia="仿宋_GB2312" w:cs="Times New Roman"/>
          <w:sz w:val="32"/>
          <w:szCs w:val="32"/>
        </w:rPr>
        <w:t>风险</w:t>
      </w:r>
      <w:r>
        <w:rPr>
          <w:rFonts w:ascii="Times New Roman" w:hAnsi="Times New Roman" w:eastAsia="仿宋_GB2312" w:cs="Times New Roman"/>
          <w:sz w:val="32"/>
          <w:szCs w:val="32"/>
        </w:rPr>
        <w:t>等级限制：</w:t>
      </w:r>
    </w:p>
    <w:p w14:paraId="4B763BA2">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w:t>
      </w:r>
      <w:r>
        <w:rPr>
          <w:rFonts w:ascii="Times New Roman" w:hAnsi="Times New Roman" w:eastAsia="仿宋_GB2312" w:cs="Times New Roman"/>
          <w:sz w:val="32"/>
          <w:szCs w:val="32"/>
        </w:rPr>
        <w:t>连续两次以上出现超预算用水行为且未在规定期限内完成整改的，直接调整为高风险（</w:t>
      </w:r>
      <w:r>
        <w:rPr>
          <w:rFonts w:hint="eastAsia" w:ascii="Times New Roman" w:hAnsi="Times New Roman" w:eastAsia="仿宋_GB2312" w:cs="Times New Roman"/>
          <w:sz w:val="32"/>
          <w:szCs w:val="32"/>
        </w:rPr>
        <w:t>S</w:t>
      </w:r>
      <w:r>
        <w:rPr>
          <w:rFonts w:ascii="Times New Roman" w:hAnsi="Times New Roman" w:eastAsia="仿宋_GB2312" w:cs="Times New Roman"/>
          <w:sz w:val="32"/>
          <w:szCs w:val="32"/>
        </w:rPr>
        <w:t>级）</w:t>
      </w:r>
      <w:r>
        <w:rPr>
          <w:rFonts w:hint="eastAsia" w:ascii="Times New Roman" w:hAnsi="Times New Roman" w:eastAsia="仿宋_GB2312" w:cs="Times New Roman"/>
          <w:sz w:val="32"/>
          <w:szCs w:val="32"/>
        </w:rPr>
        <w:t>。</w:t>
      </w:r>
    </w:p>
    <w:p w14:paraId="11DA8E0C">
      <w:pPr>
        <w:widowControl/>
        <w:spacing w:line="560" w:lineRule="exact"/>
        <w:ind w:firstLine="640" w:firstLineChars="200"/>
        <w:rPr>
          <w:rFonts w:ascii="Times New Roman" w:hAnsi="Times New Roman" w:eastAsia="仿宋_GB2312"/>
          <w:sz w:val="32"/>
        </w:rPr>
      </w:pPr>
      <w:r>
        <w:rPr>
          <w:rFonts w:hint="eastAsia" w:ascii="Times New Roman" w:hAnsi="Times New Roman" w:eastAsia="仿宋_GB2312"/>
          <w:sz w:val="32"/>
        </w:rPr>
        <w:t>（二）</w:t>
      </w:r>
      <w:r>
        <w:rPr>
          <w:rFonts w:hint="eastAsia" w:ascii="Times New Roman" w:hAnsi="Times New Roman" w:eastAsia="仿宋_GB2312"/>
          <w:sz w:val="32"/>
          <w:lang w:val="en-US" w:eastAsia="zh-CN"/>
        </w:rPr>
        <w:t>用水定额不达标的</w:t>
      </w:r>
      <w:r>
        <w:rPr>
          <w:rFonts w:ascii="Times New Roman" w:hAnsi="Times New Roman" w:eastAsia="仿宋_GB2312"/>
          <w:sz w:val="32"/>
        </w:rPr>
        <w:t>；存在使用国家明令淘汰的用水技术、工艺、产品、设备情形的</w:t>
      </w:r>
      <w:r>
        <w:rPr>
          <w:rFonts w:hint="eastAsia" w:ascii="Times New Roman" w:hAnsi="Times New Roman" w:eastAsia="仿宋_GB2312"/>
          <w:sz w:val="32"/>
        </w:rPr>
        <w:t>，</w:t>
      </w:r>
      <w:r>
        <w:rPr>
          <w:rFonts w:ascii="Times New Roman" w:hAnsi="Times New Roman" w:eastAsia="仿宋_GB2312"/>
          <w:sz w:val="32"/>
          <w:szCs w:val="32"/>
        </w:rPr>
        <w:t>其</w:t>
      </w:r>
      <w:r>
        <w:rPr>
          <w:rFonts w:hint="eastAsia" w:ascii="Times New Roman" w:hAnsi="Times New Roman" w:eastAsia="仿宋_GB2312"/>
          <w:sz w:val="32"/>
          <w:szCs w:val="32"/>
        </w:rPr>
        <w:t>风险</w:t>
      </w:r>
      <w:r>
        <w:rPr>
          <w:rFonts w:ascii="Times New Roman" w:hAnsi="Times New Roman" w:eastAsia="仿宋_GB2312"/>
          <w:sz w:val="32"/>
          <w:szCs w:val="32"/>
        </w:rPr>
        <w:t>评价等级不能</w:t>
      </w:r>
      <w:r>
        <w:rPr>
          <w:rFonts w:hint="eastAsia" w:ascii="Times New Roman" w:hAnsi="Times New Roman" w:eastAsia="仿宋_GB2312"/>
          <w:sz w:val="32"/>
          <w:szCs w:val="32"/>
          <w:lang w:val="en-US" w:eastAsia="zh-CN"/>
        </w:rPr>
        <w:t>低</w:t>
      </w:r>
      <w:r>
        <w:rPr>
          <w:rFonts w:ascii="Times New Roman" w:hAnsi="Times New Roman" w:eastAsia="仿宋_GB2312"/>
          <w:sz w:val="32"/>
          <w:szCs w:val="32"/>
        </w:rPr>
        <w:t>于中风险（M级）</w:t>
      </w:r>
      <w:r>
        <w:rPr>
          <w:rFonts w:hint="eastAsia" w:ascii="Times New Roman" w:hAnsi="Times New Roman" w:eastAsia="仿宋_GB2312"/>
          <w:sz w:val="32"/>
          <w:szCs w:val="32"/>
        </w:rPr>
        <w:t>。</w:t>
      </w:r>
    </w:p>
    <w:p w14:paraId="08880DD2">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 xml:space="preserve">第十七条  （综合评价） </w:t>
      </w:r>
      <w:r>
        <w:rPr>
          <w:rFonts w:hint="eastAsia" w:ascii="Times New Roman" w:hAnsi="Times New Roman" w:eastAsia="仿宋_GB2312" w:cs="Times New Roman"/>
          <w:sz w:val="32"/>
          <w:szCs w:val="32"/>
        </w:rPr>
        <w:t>统筹考虑风险评价结果和信用评价结果，利用综合评价矩阵，确定用水户的“风险+信用”综合监管类别。</w:t>
      </w:r>
      <w:r>
        <w:rPr>
          <w:rFonts w:ascii="Times New Roman" w:hAnsi="Times New Roman" w:eastAsia="仿宋_GB2312" w:cs="Times New Roman"/>
          <w:sz w:val="32"/>
          <w:szCs w:val="32"/>
        </w:rPr>
        <w:t>对于一个取用水户有多个取水许可证的，如发证机关相同，以取水许可证为单元分别评分，取最低分值对应的等级作为该取用水户的评价结果；如发证机关不同，由共同的上一级或最高一级发证机关综合所有发证机关的评价结果，取最低等级作为该取用水户最终的评价结果。</w:t>
      </w:r>
    </w:p>
    <w:p w14:paraId="6686F240">
      <w:pPr>
        <w:spacing w:before="156" w:beforeLines="50" w:line="560" w:lineRule="exact"/>
        <w:jc w:val="center"/>
        <w:outlineLvl w:val="0"/>
        <w:rPr>
          <w:rFonts w:ascii="Times New Roman" w:hAnsi="Times New Roman" w:eastAsia="黑体"/>
          <w:bCs/>
          <w:sz w:val="32"/>
          <w:szCs w:val="32"/>
        </w:rPr>
      </w:pPr>
      <w:r>
        <w:rPr>
          <w:rFonts w:ascii="Times New Roman" w:hAnsi="Times New Roman" w:eastAsia="黑体"/>
          <w:bCs/>
          <w:sz w:val="32"/>
          <w:szCs w:val="32"/>
        </w:rPr>
        <w:t>第四章  评价程序</w:t>
      </w:r>
    </w:p>
    <w:p w14:paraId="62086D98">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sz w:val="32"/>
          <w:szCs w:val="32"/>
        </w:rPr>
        <w:t>第十八条  （评价流程）</w:t>
      </w:r>
      <w:r>
        <w:rPr>
          <w:rFonts w:hint="eastAsia" w:ascii="Times New Roman" w:hAnsi="Times New Roman" w:eastAsia="仿宋_GB2312"/>
          <w:sz w:val="32"/>
          <w:szCs w:val="32"/>
        </w:rPr>
        <w:t>评价工作按照“信息采集—台账建立—综合评价—成果应用—结果反馈”全流程闭环监管机制运行：</w:t>
      </w:r>
    </w:p>
    <w:p w14:paraId="78615315">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（一）信息采集：区水务局和街道（乡镇）水务管理机构按照信用信息和风险信息清单，收集、核实用水户的相关信息，建立信息采集台账；</w:t>
      </w:r>
    </w:p>
    <w:p w14:paraId="48BD37ED">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（二）台账建立：将采集的信息按照统一标准进行归集整理，建立用水户信用信息档案和风险信息档案；</w:t>
      </w:r>
    </w:p>
    <w:p w14:paraId="1E175D23">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（三）综合评价：依据本细则规定的评价指标、标准和方法，对用水户进行风险评价和信用评价，确定综合监管类别；</w:t>
      </w:r>
    </w:p>
    <w:p w14:paraId="015CB99F">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（四）成果应用：将评价结果应用于分级分类监管，实施差异化监管措施；</w:t>
      </w:r>
    </w:p>
    <w:p w14:paraId="5D49BB30">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（五）结果反馈：收集评价结果应用过程中的反馈信息，持续优化评价指标和标准。</w:t>
      </w:r>
    </w:p>
    <w:p w14:paraId="709F03A4">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十九</w:t>
      </w:r>
      <w:r>
        <w:rPr>
          <w:rFonts w:ascii="Times New Roman" w:hAnsi="Times New Roman" w:eastAsia="黑体"/>
          <w:sz w:val="32"/>
          <w:szCs w:val="32"/>
        </w:rPr>
        <w:t xml:space="preserve">条  </w:t>
      </w:r>
      <w:r>
        <w:rPr>
          <w:rFonts w:hint="eastAsia" w:ascii="Times New Roman" w:hAnsi="Times New Roman" w:eastAsia="黑体"/>
          <w:sz w:val="32"/>
          <w:szCs w:val="32"/>
        </w:rPr>
        <w:t>（评价周期）</w:t>
      </w:r>
      <w:r>
        <w:rPr>
          <w:rFonts w:ascii="Times New Roman" w:hAnsi="Times New Roman" w:eastAsia="仿宋_GB2312"/>
          <w:sz w:val="32"/>
          <w:szCs w:val="32"/>
        </w:rPr>
        <w:t>水预算管理</w:t>
      </w:r>
      <w:r>
        <w:rPr>
          <w:rFonts w:hint="eastAsia" w:ascii="Times New Roman" w:hAnsi="Times New Roman" w:eastAsia="仿宋_GB2312"/>
          <w:sz w:val="32"/>
          <w:szCs w:val="32"/>
        </w:rPr>
        <w:t>“</w:t>
      </w:r>
      <w:r>
        <w:rPr>
          <w:rFonts w:ascii="Times New Roman" w:hAnsi="Times New Roman" w:eastAsia="仿宋_GB2312"/>
          <w:sz w:val="32"/>
          <w:szCs w:val="32"/>
        </w:rPr>
        <w:t>风险+信用</w:t>
      </w:r>
      <w:r>
        <w:rPr>
          <w:rFonts w:hint="eastAsia" w:ascii="Times New Roman" w:hAnsi="Times New Roman" w:eastAsia="仿宋_GB2312"/>
          <w:sz w:val="32"/>
          <w:szCs w:val="32"/>
        </w:rPr>
        <w:t>”</w:t>
      </w:r>
      <w:r>
        <w:rPr>
          <w:rFonts w:ascii="Times New Roman" w:hAnsi="Times New Roman" w:eastAsia="仿宋_GB2312"/>
          <w:sz w:val="32"/>
          <w:szCs w:val="32"/>
        </w:rPr>
        <w:t>评价工作每年开展一次</w:t>
      </w:r>
      <w:r>
        <w:rPr>
          <w:rFonts w:hint="eastAsia" w:ascii="Times New Roman" w:hAnsi="Times New Roman" w:eastAsia="仿宋_GB2312"/>
          <w:sz w:val="32"/>
          <w:szCs w:val="32"/>
        </w:rPr>
        <w:t>，</w:t>
      </w:r>
      <w:r>
        <w:rPr>
          <w:rFonts w:ascii="Times New Roman" w:hAnsi="Times New Roman" w:eastAsia="仿宋_GB2312"/>
          <w:sz w:val="32"/>
          <w:szCs w:val="32"/>
        </w:rPr>
        <w:t>评价结果重点反映用水户上一年度的水预算执行风险状况和信用状况。</w:t>
      </w:r>
    </w:p>
    <w:p w14:paraId="1F5BA2C4">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二十</w:t>
      </w:r>
      <w:r>
        <w:rPr>
          <w:rFonts w:ascii="Times New Roman" w:hAnsi="Times New Roman" w:eastAsia="黑体"/>
          <w:sz w:val="32"/>
          <w:szCs w:val="32"/>
        </w:rPr>
        <w:t xml:space="preserve">条  </w:t>
      </w:r>
      <w:r>
        <w:rPr>
          <w:rFonts w:hint="eastAsia" w:ascii="Times New Roman" w:hAnsi="Times New Roman" w:eastAsia="黑体"/>
          <w:sz w:val="32"/>
          <w:szCs w:val="32"/>
        </w:rPr>
        <w:t>（信息收集）</w:t>
      </w:r>
      <w:r>
        <w:rPr>
          <w:rFonts w:hint="eastAsia" w:ascii="Times New Roman" w:hAnsi="Times New Roman" w:eastAsia="仿宋_GB2312"/>
          <w:sz w:val="32"/>
          <w:szCs w:val="32"/>
        </w:rPr>
        <w:t>区水务局每年4月起开展本年度水预算管理“风险+信用”资料收集工作，对用水户的相关行为进行信息收集和核实。资料收集的时间范围为每年1月1日至12月31日，以行政处罚决定书、执法记录的落款日期为准。</w:t>
      </w:r>
    </w:p>
    <w:p w14:paraId="197FFA2B">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二十一</w:t>
      </w:r>
      <w:r>
        <w:rPr>
          <w:rFonts w:ascii="Times New Roman" w:hAnsi="Times New Roman" w:eastAsia="黑体"/>
          <w:sz w:val="32"/>
          <w:szCs w:val="32"/>
        </w:rPr>
        <w:t xml:space="preserve">条  </w:t>
      </w:r>
      <w:r>
        <w:rPr>
          <w:rFonts w:hint="eastAsia" w:ascii="Times New Roman" w:hAnsi="Times New Roman" w:eastAsia="黑体"/>
          <w:sz w:val="32"/>
          <w:szCs w:val="32"/>
        </w:rPr>
        <w:t>（动员部署）</w:t>
      </w:r>
      <w:r>
        <w:rPr>
          <w:rFonts w:hint="eastAsia" w:ascii="Times New Roman" w:hAnsi="Times New Roman" w:eastAsia="仿宋_GB2312"/>
          <w:sz w:val="32"/>
          <w:szCs w:val="32"/>
        </w:rPr>
        <w:t>区水务局每年12月底前召开动员部署会，明确本年度评价对象、评价指标、评价标准等内容，提出相关要求，做好动员部署与宣传培训。</w:t>
      </w:r>
    </w:p>
    <w:p w14:paraId="5DAD099A">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二十二</w:t>
      </w:r>
      <w:r>
        <w:rPr>
          <w:rFonts w:ascii="Times New Roman" w:hAnsi="Times New Roman" w:eastAsia="黑体"/>
          <w:sz w:val="32"/>
          <w:szCs w:val="32"/>
        </w:rPr>
        <w:t xml:space="preserve">条  </w:t>
      </w:r>
      <w:r>
        <w:rPr>
          <w:rFonts w:hint="eastAsia" w:ascii="Times New Roman" w:hAnsi="Times New Roman" w:eastAsia="黑体"/>
          <w:sz w:val="32"/>
          <w:szCs w:val="32"/>
        </w:rPr>
        <w:t>（初步结果）</w:t>
      </w:r>
      <w:r>
        <w:rPr>
          <w:rFonts w:hint="eastAsia" w:ascii="Times New Roman" w:hAnsi="Times New Roman" w:eastAsia="仿宋_GB2312"/>
          <w:sz w:val="32"/>
          <w:szCs w:val="32"/>
        </w:rPr>
        <w:t>评价机关于次年3月底前按照评价标准完成对本年度用水户“风险+信用”综合初步评价工作，形成初步结果。水预算管理“风险+信用”评价工作可以委托第三方机构实施。</w:t>
      </w:r>
    </w:p>
    <w:p w14:paraId="52564BCF">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二十三</w:t>
      </w:r>
      <w:r>
        <w:rPr>
          <w:rFonts w:ascii="Times New Roman" w:hAnsi="Times New Roman" w:eastAsia="黑体"/>
          <w:sz w:val="32"/>
          <w:szCs w:val="32"/>
        </w:rPr>
        <w:t xml:space="preserve">条  </w:t>
      </w:r>
      <w:r>
        <w:rPr>
          <w:rFonts w:hint="eastAsia" w:ascii="Times New Roman" w:hAnsi="Times New Roman" w:eastAsia="黑体"/>
          <w:sz w:val="32"/>
          <w:szCs w:val="32"/>
        </w:rPr>
        <w:t>（结果公示）</w:t>
      </w:r>
      <w:r>
        <w:rPr>
          <w:rFonts w:hint="eastAsia" w:ascii="Times New Roman" w:hAnsi="Times New Roman" w:eastAsia="仿宋_GB2312"/>
          <w:sz w:val="32"/>
          <w:szCs w:val="32"/>
        </w:rPr>
        <w:t>区水务局通过官方网站等渠道对“风险+信用”综合评价初步结果进行公示，公示期为15个工作日。对综合监管类别为一级和二级的，在公示期内及时通过平台、电话等方式告知用水户。</w:t>
      </w:r>
    </w:p>
    <w:p w14:paraId="53A72F7F">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二十四</w:t>
      </w:r>
      <w:r>
        <w:rPr>
          <w:rFonts w:ascii="Times New Roman" w:hAnsi="Times New Roman" w:eastAsia="黑体"/>
          <w:sz w:val="32"/>
          <w:szCs w:val="32"/>
        </w:rPr>
        <w:t xml:space="preserve">条  </w:t>
      </w:r>
      <w:r>
        <w:rPr>
          <w:rFonts w:hint="eastAsia" w:ascii="Times New Roman" w:hAnsi="Times New Roman" w:eastAsia="黑体"/>
          <w:sz w:val="32"/>
          <w:szCs w:val="32"/>
        </w:rPr>
        <w:t>（异议复核）</w:t>
      </w:r>
      <w:r>
        <w:rPr>
          <w:rFonts w:ascii="Times New Roman" w:hAnsi="Times New Roman" w:eastAsia="仿宋_GB2312"/>
          <w:sz w:val="32"/>
          <w:szCs w:val="32"/>
        </w:rPr>
        <w:t>对评价初步结果存在异议的用水户可在公示期内对评价结果提出核实申请，并提供相关材料和证据。区水务局在收到核实申请之日起 20个工作日（含公示期）内进行复核，并将复核意见告知相关用水户。经核实申请理由成立的，对评价结果予以调整。评价结果确定后用水户仍有异议的，可依法对评价结果申请行政复议。</w:t>
      </w:r>
    </w:p>
    <w:p w14:paraId="4FD5F92C">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二十五</w:t>
      </w:r>
      <w:r>
        <w:rPr>
          <w:rFonts w:ascii="Times New Roman" w:hAnsi="Times New Roman" w:eastAsia="黑体"/>
          <w:sz w:val="32"/>
          <w:szCs w:val="32"/>
        </w:rPr>
        <w:t>条</w:t>
      </w:r>
      <w:r>
        <w:rPr>
          <w:rFonts w:hint="eastAsia" w:ascii="Times New Roman" w:hAnsi="Times New Roman" w:eastAsia="黑体"/>
          <w:sz w:val="32"/>
          <w:szCs w:val="32"/>
        </w:rPr>
        <w:t xml:space="preserve">  （成果备案）</w:t>
      </w:r>
      <w:r>
        <w:rPr>
          <w:rFonts w:hint="eastAsia" w:ascii="Times New Roman" w:hAnsi="Times New Roman" w:eastAsia="仿宋_GB2312"/>
          <w:sz w:val="32"/>
          <w:szCs w:val="32"/>
        </w:rPr>
        <w:t>公示期结束后，区水务局依托官方网站于每年4月底前公布上一年度“风险+信用”综合评价等级，并将结果向市水务局备案</w:t>
      </w:r>
      <w:r>
        <w:rPr>
          <w:rFonts w:ascii="Times New Roman" w:hAnsi="Times New Roman" w:eastAsia="仿宋_GB2312"/>
          <w:sz w:val="32"/>
          <w:szCs w:val="32"/>
        </w:rPr>
        <w:t>。</w:t>
      </w:r>
      <w:r>
        <w:rPr>
          <w:rFonts w:hint="eastAsia" w:ascii="Times New Roman" w:hAnsi="Times New Roman" w:eastAsia="仿宋_GB2312"/>
          <w:sz w:val="32"/>
          <w:szCs w:val="32"/>
        </w:rPr>
        <w:t>信息公开原则上不得泄露用水户的商业秘密。</w:t>
      </w:r>
    </w:p>
    <w:p w14:paraId="5EC4E540">
      <w:pPr>
        <w:pStyle w:val="27"/>
        <w:spacing w:line="56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第二十</w:t>
      </w:r>
      <w:r>
        <w:rPr>
          <w:rFonts w:hint="eastAsia" w:ascii="Times New Roman" w:hAnsi="Times New Roman" w:eastAsia="黑体" w:cs="Times New Roman"/>
          <w:sz w:val="32"/>
          <w:szCs w:val="32"/>
        </w:rPr>
        <w:t>六</w:t>
      </w:r>
      <w:r>
        <w:rPr>
          <w:rFonts w:ascii="Times New Roman" w:hAnsi="Times New Roman" w:eastAsia="黑体" w:cs="Times New Roman"/>
          <w:sz w:val="32"/>
          <w:szCs w:val="32"/>
        </w:rPr>
        <w:t xml:space="preserve">条 </w:t>
      </w:r>
      <w:r>
        <w:rPr>
          <w:rFonts w:ascii="Times New Roman" w:hAnsi="Times New Roman" w:eastAsia="仿宋_GB2312" w:cs="Times New Roman"/>
          <w:sz w:val="32"/>
          <w:szCs w:val="32"/>
        </w:rPr>
        <w:t xml:space="preserve"> </w:t>
      </w:r>
      <w:r>
        <w:rPr>
          <w:rFonts w:hint="eastAsia" w:ascii="Times New Roman" w:hAnsi="Times New Roman" w:eastAsia="黑体" w:cs="Times New Roman"/>
          <w:sz w:val="32"/>
          <w:szCs w:val="32"/>
        </w:rPr>
        <w:t>（排名分析）</w:t>
      </w:r>
      <w:r>
        <w:rPr>
          <w:rFonts w:ascii="Times New Roman" w:hAnsi="Times New Roman" w:eastAsia="仿宋_GB2312" w:cs="Times New Roman"/>
          <w:sz w:val="32"/>
          <w:szCs w:val="32"/>
        </w:rPr>
        <w:t>根据全区</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风险+信用</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综合评价结果，对各街道（乡镇）用水户风险信用情况进行排名分析，加强对排名靠后街道（乡镇）的水预算管理工作指导</w:t>
      </w:r>
      <w:r>
        <w:rPr>
          <w:rFonts w:hint="eastAsia" w:ascii="Times New Roman" w:hAnsi="Times New Roman" w:eastAsia="仿宋_GB2312" w:cs="Times New Roman"/>
          <w:sz w:val="32"/>
          <w:szCs w:val="32"/>
        </w:rPr>
        <w:t>。</w:t>
      </w:r>
    </w:p>
    <w:p w14:paraId="429BA10A">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第二十七条  （信用修复）</w:t>
      </w:r>
      <w:r>
        <w:rPr>
          <w:rFonts w:hint="eastAsia" w:ascii="Times New Roman" w:hAnsi="Times New Roman" w:eastAsia="仿宋_GB2312" w:cs="Times New Roman"/>
          <w:sz w:val="32"/>
          <w:szCs w:val="32"/>
        </w:rPr>
        <w:t>用水户作为信用主体依法享有信用信息修复的权利。用水户为积极改善自身信用状况，在纠正失信行为、履行相关义务后，向认定失信行为的单位或者归集失信信息的信用平台网站的运行机构提出申请，由认定单位或者归集机构按照有关规定，移除或终止公示失信信息。</w:t>
      </w:r>
    </w:p>
    <w:p w14:paraId="677DDFD6">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（一）水预算管理信用信息修复现阶段按照国家发展改革委《失信行为纠正后的信用信息修复管理办法（试行）》（国家发展改革委令第58号）等有关规定执行。</w:t>
      </w:r>
    </w:p>
    <w:p w14:paraId="63010176">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（二）信用修复的方式包括移出严重失信主体名单、终止公示行政处罚信息和修复其他失信信息。</w:t>
      </w:r>
    </w:p>
    <w:p w14:paraId="38A1FB36">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水预算管理失信行为信息涉及行政处罚、行政强制等应自生效之日起即纳入“风险+信用”评价信息使用。用水户履行完相应行政处罚等明确的义务并完成信用修复后，相关信息在下一次“风险+信用”评价中不再使用，但予以留档。</w:t>
      </w:r>
    </w:p>
    <w:p w14:paraId="392F1D4F">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（四）用水户未履行完相应行政处罚等明确的义务而不能完成信用修复的，相关信息在下一次“风险+信用”评价中继续使用。</w:t>
      </w:r>
    </w:p>
    <w:p w14:paraId="5F843F9B">
      <w:pPr>
        <w:pStyle w:val="27"/>
        <w:spacing w:line="56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二十八</w:t>
      </w:r>
      <w:r>
        <w:rPr>
          <w:rFonts w:ascii="Times New Roman" w:hAnsi="Times New Roman" w:eastAsia="黑体" w:cs="Times New Roman"/>
          <w:sz w:val="32"/>
          <w:szCs w:val="32"/>
        </w:rPr>
        <w:t xml:space="preserve">条  </w:t>
      </w:r>
      <w:r>
        <w:rPr>
          <w:rFonts w:hint="eastAsia" w:ascii="Times New Roman" w:hAnsi="Times New Roman" w:eastAsia="黑体" w:cs="Times New Roman"/>
          <w:sz w:val="32"/>
          <w:szCs w:val="32"/>
        </w:rPr>
        <w:t>（动态调整）</w:t>
      </w:r>
      <w:r>
        <w:rPr>
          <w:rFonts w:hint="eastAsia" w:ascii="Times New Roman" w:hAnsi="Times New Roman" w:eastAsia="仿宋_GB2312" w:cs="Times New Roman"/>
          <w:sz w:val="32"/>
          <w:szCs w:val="32"/>
        </w:rPr>
        <w:t>除年度定期评价外，建立风险等级动态调整机制。当出现以下情形时，应当及时对用水户的风险等级进行调整：</w:t>
      </w:r>
    </w:p>
    <w:p w14:paraId="6F890A54">
      <w:pPr>
        <w:pStyle w:val="27"/>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一）用水户实际用水量连续三个月超过水预算核定量的，风险等级上调一级；</w:t>
      </w:r>
    </w:p>
    <w:p w14:paraId="70998BDE">
      <w:pPr>
        <w:pStyle w:val="27"/>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二</w:t>
      </w:r>
      <w:r>
        <w:rPr>
          <w:rFonts w:ascii="Times New Roman" w:hAnsi="Times New Roman" w:eastAsia="仿宋_GB2312" w:cs="Times New Roman"/>
          <w:sz w:val="32"/>
          <w:szCs w:val="32"/>
        </w:rPr>
        <w:t>）用水户计量设施运行不正常超过一个月，</w:t>
      </w:r>
      <w:r>
        <w:rPr>
          <w:rFonts w:hint="eastAsia" w:ascii="Times New Roman" w:hAnsi="Times New Roman" w:eastAsia="仿宋_GB2312" w:cs="Times New Roman"/>
          <w:sz w:val="32"/>
          <w:szCs w:val="32"/>
          <w:lang w:val="en-US" w:eastAsia="zh-CN"/>
        </w:rPr>
        <w:t>且未采取整改措施的，</w:t>
      </w:r>
      <w:r>
        <w:rPr>
          <w:rFonts w:ascii="Times New Roman" w:hAnsi="Times New Roman" w:eastAsia="仿宋_GB2312" w:cs="Times New Roman"/>
          <w:sz w:val="32"/>
          <w:szCs w:val="32"/>
        </w:rPr>
        <w:t>风险等级上调一级；</w:t>
      </w:r>
    </w:p>
    <w:p w14:paraId="4D97B311">
      <w:pPr>
        <w:pStyle w:val="27"/>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）用水户积极整改，消除风险因素，经区水务局核实确认的，风险等级可以下调一级；</w:t>
      </w:r>
    </w:p>
    <w:p w14:paraId="4FBD70E9">
      <w:pPr>
        <w:pStyle w:val="27"/>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）其他需要动态调整风险等级的情形</w:t>
      </w:r>
      <w:r>
        <w:rPr>
          <w:rFonts w:hint="eastAsia" w:ascii="Times New Roman" w:hAnsi="Times New Roman" w:eastAsia="仿宋_GB2312" w:cs="Times New Roman"/>
          <w:sz w:val="32"/>
          <w:szCs w:val="32"/>
        </w:rPr>
        <w:t>。</w:t>
      </w:r>
    </w:p>
    <w:p w14:paraId="31A17D67">
      <w:pPr>
        <w:spacing w:before="156" w:beforeLines="50" w:line="560" w:lineRule="exact"/>
        <w:jc w:val="center"/>
        <w:outlineLvl w:val="0"/>
        <w:rPr>
          <w:rFonts w:ascii="Times New Roman" w:hAnsi="Times New Roman" w:eastAsia="黑体"/>
          <w:bCs/>
          <w:sz w:val="32"/>
          <w:szCs w:val="32"/>
        </w:rPr>
      </w:pPr>
      <w:r>
        <w:rPr>
          <w:rFonts w:ascii="Times New Roman" w:hAnsi="Times New Roman" w:eastAsia="黑体"/>
          <w:bCs/>
          <w:sz w:val="32"/>
          <w:szCs w:val="32"/>
        </w:rPr>
        <w:t>第五章  结果应用</w:t>
      </w:r>
    </w:p>
    <w:p w14:paraId="1B549B55">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第二十</w:t>
      </w:r>
      <w:r>
        <w:rPr>
          <w:rFonts w:hint="eastAsia" w:ascii="Times New Roman" w:hAnsi="Times New Roman" w:eastAsia="黑体"/>
          <w:sz w:val="32"/>
          <w:szCs w:val="32"/>
        </w:rPr>
        <w:t>九</w:t>
      </w:r>
      <w:r>
        <w:rPr>
          <w:rFonts w:ascii="Times New Roman" w:hAnsi="Times New Roman" w:eastAsia="黑体"/>
          <w:sz w:val="32"/>
          <w:szCs w:val="32"/>
        </w:rPr>
        <w:t xml:space="preserve">条 </w:t>
      </w:r>
      <w:r>
        <w:rPr>
          <w:rFonts w:ascii="Times New Roman" w:hAnsi="Times New Roman" w:eastAsia="仿宋_GB2312"/>
          <w:sz w:val="32"/>
          <w:szCs w:val="32"/>
        </w:rPr>
        <w:t xml:space="preserve"> </w:t>
      </w:r>
      <w:r>
        <w:rPr>
          <w:rFonts w:hint="eastAsia" w:ascii="Times New Roman" w:hAnsi="Times New Roman" w:eastAsia="黑体"/>
          <w:sz w:val="32"/>
          <w:szCs w:val="32"/>
        </w:rPr>
        <w:t>（差异处置）</w:t>
      </w:r>
      <w:r>
        <w:rPr>
          <w:rFonts w:hint="eastAsia" w:ascii="Times New Roman" w:hAnsi="Times New Roman" w:eastAsia="仿宋_GB2312"/>
          <w:sz w:val="32"/>
          <w:szCs w:val="32"/>
        </w:rPr>
        <w:t>根据用水户“风险+信用”综合监管类别，依法采取差异化监管和相应管理措施。相关措施应当与综合监管类别、用水行为的性质、情节和社会影响程度相适应。实施惩戒措施时，应当告知法律依据、事实依据等。</w:t>
      </w:r>
    </w:p>
    <w:p w14:paraId="17D7C73A">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三十</w:t>
      </w:r>
      <w:r>
        <w:rPr>
          <w:rFonts w:ascii="Times New Roman" w:hAnsi="Times New Roman" w:eastAsia="黑体"/>
          <w:sz w:val="32"/>
          <w:szCs w:val="32"/>
        </w:rPr>
        <w:t xml:space="preserve">条 </w:t>
      </w:r>
      <w:r>
        <w:rPr>
          <w:rFonts w:ascii="Times New Roman" w:hAnsi="Times New Roman" w:eastAsia="仿宋_GB2312"/>
          <w:sz w:val="32"/>
          <w:szCs w:val="32"/>
        </w:rPr>
        <w:t xml:space="preserve"> </w:t>
      </w:r>
      <w:bookmarkStart w:id="1" w:name="OLE_LINK31"/>
      <w:r>
        <w:rPr>
          <w:rFonts w:hint="eastAsia" w:ascii="Times New Roman" w:hAnsi="Times New Roman" w:eastAsia="黑体"/>
          <w:sz w:val="32"/>
          <w:szCs w:val="32"/>
        </w:rPr>
        <w:t>（四级监管）</w:t>
      </w:r>
      <w:r>
        <w:rPr>
          <w:rFonts w:hint="eastAsia" w:ascii="Times New Roman" w:hAnsi="Times New Roman" w:eastAsia="仿宋_GB2312"/>
          <w:sz w:val="32"/>
          <w:szCs w:val="32"/>
        </w:rPr>
        <w:t>对“风险+信用”综合监管等级为“四级监管”的用水户，在下一个评价年度内实施以下激励措施。</w:t>
      </w:r>
      <w:bookmarkEnd w:id="1"/>
    </w:p>
    <w:p w14:paraId="4C02AA27">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（一）在办理取水许可审批、水预算方案审批等手续时，简化延续、变更程序，实施</w:t>
      </w:r>
      <w:r>
        <w:rPr>
          <w:rFonts w:hint="eastAsia" w:ascii="Times New Roman" w:hAnsi="Times New Roman" w:eastAsia="仿宋_GB2312"/>
          <w:sz w:val="32"/>
          <w:szCs w:val="32"/>
        </w:rPr>
        <w:t>“</w:t>
      </w:r>
      <w:r>
        <w:rPr>
          <w:rFonts w:ascii="Times New Roman" w:hAnsi="Times New Roman" w:eastAsia="仿宋_GB2312"/>
          <w:sz w:val="32"/>
          <w:szCs w:val="32"/>
        </w:rPr>
        <w:t>绿色通道</w:t>
      </w:r>
      <w:r>
        <w:rPr>
          <w:rFonts w:hint="eastAsia" w:ascii="Times New Roman" w:hAnsi="Times New Roman" w:eastAsia="仿宋_GB2312"/>
          <w:sz w:val="32"/>
          <w:szCs w:val="32"/>
        </w:rPr>
        <w:t>”</w:t>
      </w:r>
      <w:r>
        <w:rPr>
          <w:rFonts w:ascii="Times New Roman" w:hAnsi="Times New Roman" w:eastAsia="仿宋_GB2312"/>
          <w:sz w:val="32"/>
          <w:szCs w:val="32"/>
        </w:rPr>
        <w:t>等简化办理、快速办理的便利服务措施；</w:t>
      </w:r>
    </w:p>
    <w:p w14:paraId="1D4668D8">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（二）在日常监管或者专项检查中，降低抽查比例和频次，原则上每年不超过一次；</w:t>
      </w:r>
    </w:p>
    <w:p w14:paraId="3130F5AB">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（三）同等条件下，在取用水领域的招标和政府采购等方面给予一定的政策倾斜；</w:t>
      </w:r>
    </w:p>
    <w:p w14:paraId="3E4D7ABC">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（四）同等条件下，优先支持申请绿色金融，鼓励金融机构</w:t>
      </w:r>
      <w:r>
        <w:rPr>
          <w:rFonts w:hint="eastAsia" w:ascii="Times New Roman" w:hAnsi="Times New Roman" w:eastAsia="仿宋_GB2312"/>
          <w:sz w:val="32"/>
          <w:szCs w:val="32"/>
        </w:rPr>
        <w:t>设置“水预算贷款”，</w:t>
      </w:r>
      <w:r>
        <w:rPr>
          <w:rFonts w:ascii="Times New Roman" w:hAnsi="Times New Roman" w:eastAsia="仿宋_GB2312"/>
          <w:sz w:val="32"/>
          <w:szCs w:val="32"/>
        </w:rPr>
        <w:t>将用水户</w:t>
      </w:r>
      <w:r>
        <w:rPr>
          <w:rFonts w:hint="eastAsia" w:ascii="Times New Roman" w:hAnsi="Times New Roman" w:eastAsia="仿宋_GB2312"/>
          <w:sz w:val="32"/>
          <w:szCs w:val="32"/>
        </w:rPr>
        <w:t>“</w:t>
      </w:r>
      <w:r>
        <w:rPr>
          <w:rFonts w:ascii="Times New Roman" w:hAnsi="Times New Roman" w:eastAsia="仿宋_GB2312"/>
          <w:sz w:val="32"/>
          <w:szCs w:val="32"/>
        </w:rPr>
        <w:t>风险+信用</w:t>
      </w:r>
      <w:r>
        <w:rPr>
          <w:rFonts w:hint="eastAsia" w:ascii="Times New Roman" w:hAnsi="Times New Roman" w:eastAsia="仿宋_GB2312"/>
          <w:sz w:val="32"/>
          <w:szCs w:val="32"/>
        </w:rPr>
        <w:t>”</w:t>
      </w:r>
      <w:r>
        <w:rPr>
          <w:rFonts w:ascii="Times New Roman" w:hAnsi="Times New Roman" w:eastAsia="仿宋_GB2312"/>
          <w:sz w:val="32"/>
          <w:szCs w:val="32"/>
        </w:rPr>
        <w:t>评价结果纳入授信审批参考，在贷款利率、授信额度、审批效率等方面给予优惠</w:t>
      </w:r>
      <w:r>
        <w:rPr>
          <w:rFonts w:hint="eastAsia" w:ascii="Times New Roman" w:hAnsi="Times New Roman" w:eastAsia="仿宋_GB2312"/>
          <w:sz w:val="32"/>
          <w:szCs w:val="32"/>
        </w:rPr>
        <w:t>。</w:t>
      </w:r>
    </w:p>
    <w:p w14:paraId="3D6A616D">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（五）同等条件下，优先支持财政补助资金申请和节水奖励资金申请；</w:t>
      </w:r>
    </w:p>
    <w:p w14:paraId="3528785A">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（六）同等条件下，优先推荐参加取用水领域的评优评奖活动；</w:t>
      </w:r>
    </w:p>
    <w:p w14:paraId="6C9DE1CB">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（七）探索在财税优惠方面给予支持，对符合条件的用水户在水资源税等方面依法给予优惠；</w:t>
      </w:r>
    </w:p>
    <w:p w14:paraId="7FEC256C">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（八）国家和本市规定可以采取的其他激励措施。</w:t>
      </w:r>
    </w:p>
    <w:p w14:paraId="2164AA08">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三十一</w:t>
      </w:r>
      <w:r>
        <w:rPr>
          <w:rFonts w:ascii="Times New Roman" w:hAnsi="Times New Roman" w:eastAsia="黑体"/>
          <w:sz w:val="32"/>
          <w:szCs w:val="32"/>
        </w:rPr>
        <w:t xml:space="preserve">条  </w:t>
      </w:r>
      <w:r>
        <w:rPr>
          <w:rFonts w:hint="eastAsia" w:ascii="Times New Roman" w:hAnsi="Times New Roman" w:eastAsia="黑体"/>
          <w:sz w:val="32"/>
          <w:szCs w:val="32"/>
        </w:rPr>
        <w:t>（三级监管）</w:t>
      </w:r>
      <w:r>
        <w:rPr>
          <w:rFonts w:hint="eastAsia" w:ascii="Times New Roman" w:hAnsi="Times New Roman" w:eastAsia="仿宋_GB2312"/>
          <w:sz w:val="32"/>
          <w:szCs w:val="32"/>
        </w:rPr>
        <w:t>对“风险+信用”综合监管等级为“三级监管”的用水户，列为常规监管对象，可以依法采取下列监管措施：</w:t>
      </w:r>
    </w:p>
    <w:p w14:paraId="2DDBA9E2">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（一）采取工作提示、批评教育、责令改正等手段，督促其停止或者改正违法行为；</w:t>
      </w:r>
    </w:p>
    <w:p w14:paraId="5F1106AF">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（二）在日常监管或者专项检查中，按照常规抽查频次进行监督检查，原则上每年不超过两次；</w:t>
      </w:r>
    </w:p>
    <w:p w14:paraId="2B3A61A2">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（三）提供常规性指导和支持，帮助用水户提升水预算管理水平；</w:t>
      </w:r>
    </w:p>
    <w:p w14:paraId="79C05991">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（四）在审批过程中按标准流程处理，无特殊优待或限制；</w:t>
      </w:r>
    </w:p>
    <w:p w14:paraId="63390815">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（五）鼓励用水户通过改善信用状况和降低风险等级，争取升级为“四级监管”对象。</w:t>
      </w:r>
    </w:p>
    <w:p w14:paraId="1DF809F0">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三十二</w:t>
      </w:r>
      <w:r>
        <w:rPr>
          <w:rFonts w:ascii="Times New Roman" w:hAnsi="Times New Roman" w:eastAsia="黑体"/>
          <w:sz w:val="32"/>
          <w:szCs w:val="32"/>
        </w:rPr>
        <w:t xml:space="preserve">条  </w:t>
      </w:r>
      <w:r>
        <w:rPr>
          <w:rFonts w:hint="eastAsia" w:ascii="Times New Roman" w:hAnsi="Times New Roman" w:eastAsia="黑体"/>
          <w:sz w:val="32"/>
          <w:szCs w:val="32"/>
        </w:rPr>
        <w:t>（二级监管）</w:t>
      </w:r>
      <w:r>
        <w:rPr>
          <w:rFonts w:hint="eastAsia" w:ascii="Times New Roman" w:hAnsi="Times New Roman" w:eastAsia="仿宋_GB2312"/>
          <w:sz w:val="32"/>
          <w:szCs w:val="32"/>
        </w:rPr>
        <w:t>对“风险+信用”综合监管等级为“二级监管”的用水户，列为重要监管对象，可以依法采取下列监管措施：</w:t>
      </w:r>
    </w:p>
    <w:p w14:paraId="4FA1FCC6">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（一）采取工作提示、批评教育、责令改正等手段，督促其停止或者改正违法行为；</w:t>
      </w:r>
    </w:p>
    <w:p w14:paraId="146B27CD">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（二）在日常监管或者专项检查中，适当提高抽查比例和频次，原则上每季度不少于一次；</w:t>
      </w:r>
    </w:p>
    <w:p w14:paraId="6DE29E37">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（三）要求用水户定期提交水预算执行情况报告和整改计划；</w:t>
      </w:r>
    </w:p>
    <w:p w14:paraId="29DC8D68">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（四）在评比表彰中作出相应限制；</w:t>
      </w:r>
    </w:p>
    <w:p w14:paraId="0D299824">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（五）在取水许可延续、变更等审批事项中加强审查；</w:t>
      </w:r>
    </w:p>
    <w:p w14:paraId="0FBE49E3">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（六）国家和北京市规定可以采取的其他监管措施。</w:t>
      </w:r>
    </w:p>
    <w:p w14:paraId="122554C5">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三十三</w:t>
      </w:r>
      <w:r>
        <w:rPr>
          <w:rFonts w:ascii="Times New Roman" w:hAnsi="Times New Roman" w:eastAsia="黑体"/>
          <w:sz w:val="32"/>
          <w:szCs w:val="32"/>
        </w:rPr>
        <w:t xml:space="preserve">条  </w:t>
      </w:r>
      <w:r>
        <w:rPr>
          <w:rFonts w:hint="eastAsia" w:ascii="Times New Roman" w:hAnsi="Times New Roman" w:eastAsia="黑体"/>
          <w:sz w:val="32"/>
          <w:szCs w:val="32"/>
        </w:rPr>
        <w:t>（一级监管）</w:t>
      </w:r>
      <w:r>
        <w:rPr>
          <w:rFonts w:hint="eastAsia" w:ascii="Times New Roman" w:hAnsi="Times New Roman" w:eastAsia="仿宋_GB2312"/>
          <w:sz w:val="32"/>
          <w:szCs w:val="32"/>
        </w:rPr>
        <w:t>对“风险+信用”综合监管等级为“一级监管”的用水户，列为核心监管对象，加大日常监管力度，提高日常检查比例和频次等。</w:t>
      </w:r>
    </w:p>
    <w:p w14:paraId="3D31D219">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（一）剔除北京市场监管局“无事不扰”白名单，列为重点监管对象，提高抽查比例和频次，原则上每月不少于一次；</w:t>
      </w:r>
    </w:p>
    <w:p w14:paraId="3B55DC54">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（二）鼓励开展用水审计，对用水效率低下、超预算用水等问题进行督促整改，并定期报告整改进展情况。相关用水户应当积极配合本级水预算管理部门开展用水审计工作，如实提供相关资料。</w:t>
      </w:r>
    </w:p>
    <w:p w14:paraId="67F254C9">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（三）暂停取用水领域的各类专项资金补助等政府优惠政策；</w:t>
      </w:r>
    </w:p>
    <w:p w14:paraId="56AB8DCB">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（四）不享受《水资源税改革试点实施办法》第十六条第（六）款减征政策；</w:t>
      </w:r>
    </w:p>
    <w:p w14:paraId="0E6B785F">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（五）限制参加政府组织的节约用水表彰奖励活动；</w:t>
      </w:r>
    </w:p>
    <w:p w14:paraId="4BF57CE6">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（六）</w:t>
      </w:r>
      <w:r>
        <w:rPr>
          <w:rFonts w:ascii="Times New Roman" w:hAnsi="Times New Roman" w:eastAsia="仿宋_GB2312"/>
          <w:sz w:val="32"/>
          <w:szCs w:val="32"/>
        </w:rPr>
        <w:t>不纳入取用水领域的评比表彰对象</w:t>
      </w:r>
      <w:r>
        <w:rPr>
          <w:rFonts w:hint="eastAsia" w:ascii="Times New Roman" w:hAnsi="Times New Roman" w:eastAsia="仿宋_GB2312"/>
          <w:sz w:val="32"/>
          <w:szCs w:val="32"/>
        </w:rPr>
        <w:t>；</w:t>
      </w:r>
    </w:p>
    <w:p w14:paraId="23C559B9">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（七）在取水许可审批、水预算方案审批等事项中严格审查，必要时暂缓审批；</w:t>
      </w:r>
    </w:p>
    <w:p w14:paraId="650FE3B3">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（八）法律法规规定可以采取的其他惩戒措施。</w:t>
      </w:r>
    </w:p>
    <w:p w14:paraId="2D9F2D89">
      <w:pPr>
        <w:spacing w:before="156" w:beforeLines="50" w:line="560" w:lineRule="exact"/>
        <w:jc w:val="center"/>
        <w:outlineLvl w:val="0"/>
        <w:rPr>
          <w:rFonts w:ascii="Times New Roman" w:hAnsi="Times New Roman" w:eastAsia="黑体"/>
          <w:bCs/>
          <w:sz w:val="32"/>
          <w:szCs w:val="32"/>
        </w:rPr>
      </w:pPr>
      <w:r>
        <w:rPr>
          <w:rFonts w:ascii="Times New Roman" w:hAnsi="Times New Roman" w:eastAsia="黑体"/>
          <w:bCs/>
          <w:sz w:val="32"/>
          <w:szCs w:val="32"/>
        </w:rPr>
        <w:t>第</w:t>
      </w:r>
      <w:r>
        <w:rPr>
          <w:rFonts w:hint="eastAsia" w:ascii="Times New Roman" w:hAnsi="Times New Roman" w:eastAsia="黑体"/>
          <w:bCs/>
          <w:sz w:val="32"/>
          <w:szCs w:val="32"/>
        </w:rPr>
        <w:t>六</w:t>
      </w:r>
      <w:r>
        <w:rPr>
          <w:rFonts w:ascii="Times New Roman" w:hAnsi="Times New Roman" w:eastAsia="黑体"/>
          <w:bCs/>
          <w:sz w:val="32"/>
          <w:szCs w:val="32"/>
        </w:rPr>
        <w:t xml:space="preserve">章  </w:t>
      </w:r>
      <w:r>
        <w:rPr>
          <w:rFonts w:hint="eastAsia" w:ascii="Times New Roman" w:hAnsi="Times New Roman" w:eastAsia="黑体"/>
          <w:bCs/>
          <w:sz w:val="32"/>
          <w:szCs w:val="32"/>
        </w:rPr>
        <w:t>保障措施</w:t>
      </w:r>
    </w:p>
    <w:p w14:paraId="4EA29CA3">
      <w:p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第</w:t>
      </w:r>
      <w:r>
        <w:rPr>
          <w:rFonts w:hint="eastAsia" w:ascii="Times New Roman" w:hAnsi="Times New Roman" w:eastAsia="黑体"/>
          <w:sz w:val="32"/>
          <w:szCs w:val="32"/>
        </w:rPr>
        <w:t>三十四</w:t>
      </w:r>
      <w:r>
        <w:rPr>
          <w:rFonts w:ascii="Times New Roman" w:hAnsi="Times New Roman" w:eastAsia="黑体"/>
          <w:sz w:val="32"/>
          <w:szCs w:val="32"/>
        </w:rPr>
        <w:t xml:space="preserve">条  </w:t>
      </w:r>
      <w:r>
        <w:rPr>
          <w:rFonts w:hint="eastAsia" w:ascii="Times New Roman" w:hAnsi="Times New Roman" w:eastAsia="黑体"/>
          <w:sz w:val="32"/>
          <w:szCs w:val="32"/>
        </w:rPr>
        <w:t>（经验总结）</w:t>
      </w:r>
      <w:r>
        <w:rPr>
          <w:rFonts w:hint="eastAsia" w:ascii="仿宋_GB2312" w:hAnsi="Times New Roman" w:eastAsia="仿宋_GB2312"/>
          <w:sz w:val="32"/>
          <w:szCs w:val="32"/>
        </w:rPr>
        <w:t>鼓励各街道（乡镇）开展先行先试，及时总结推广典型经验做法，逐步将行之有效的做法上升为制度规范。</w:t>
      </w:r>
    </w:p>
    <w:p w14:paraId="4F5FF813">
      <w:pPr>
        <w:pStyle w:val="26"/>
        <w:spacing w:line="560" w:lineRule="exact"/>
        <w:ind w:firstLine="640" w:firstLineChars="200"/>
        <w:rPr>
          <w:rFonts w:ascii="仿宋_GB2312" w:hAnsi="Times New Roman" w:eastAsia="仿宋_GB2312" w:cs="Times New Roman"/>
          <w:color w:val="auto"/>
          <w:kern w:val="2"/>
          <w:sz w:val="32"/>
          <w:szCs w:val="32"/>
        </w:rPr>
      </w:pPr>
      <w:r>
        <w:rPr>
          <w:rFonts w:ascii="Times New Roman" w:hAnsi="Times New Roman" w:eastAsia="黑体" w:cs="Times New Roman"/>
          <w:color w:val="auto"/>
          <w:kern w:val="2"/>
          <w:sz w:val="32"/>
          <w:szCs w:val="32"/>
        </w:rPr>
        <w:t>第</w:t>
      </w:r>
      <w:r>
        <w:rPr>
          <w:rFonts w:hint="eastAsia" w:ascii="Times New Roman" w:hAnsi="Times New Roman" w:eastAsia="黑体" w:cs="Times New Roman"/>
          <w:color w:val="auto"/>
          <w:kern w:val="2"/>
          <w:sz w:val="32"/>
          <w:szCs w:val="32"/>
        </w:rPr>
        <w:t>三十五</w:t>
      </w:r>
      <w:r>
        <w:rPr>
          <w:rFonts w:ascii="Times New Roman" w:hAnsi="Times New Roman" w:eastAsia="黑体" w:cs="Times New Roman"/>
          <w:color w:val="auto"/>
          <w:kern w:val="2"/>
          <w:sz w:val="32"/>
          <w:szCs w:val="32"/>
        </w:rPr>
        <w:t>条</w:t>
      </w:r>
      <w:r>
        <w:rPr>
          <w:rFonts w:hint="eastAsia" w:ascii="Times New Roman" w:hAnsi="Times New Roman" w:eastAsia="黑体" w:cs="Times New Roman"/>
          <w:color w:val="auto"/>
          <w:kern w:val="2"/>
          <w:sz w:val="32"/>
          <w:szCs w:val="32"/>
        </w:rPr>
        <w:t xml:space="preserve">  </w:t>
      </w:r>
      <w:r>
        <w:rPr>
          <w:rFonts w:hint="eastAsia" w:ascii="Times New Roman" w:hAnsi="Times New Roman" w:eastAsia="黑体" w:cs="Times New Roman"/>
          <w:color w:val="auto"/>
          <w:sz w:val="32"/>
          <w:szCs w:val="32"/>
        </w:rPr>
        <w:t>（信息共享）</w:t>
      </w:r>
      <w:r>
        <w:rPr>
          <w:rFonts w:hint="eastAsia" w:ascii="仿宋_GB2312" w:hAnsi="Times New Roman" w:eastAsia="仿宋_GB2312" w:cs="Times New Roman"/>
          <w:color w:val="auto"/>
          <w:kern w:val="2"/>
          <w:sz w:val="32"/>
          <w:szCs w:val="32"/>
        </w:rPr>
        <w:t>依托北京市取供用排与再生循环利用协同管理平台和区级水预算管理平台，加快建立通州区水预算管理“风险+信用”评价信息系统，实现信用信息和风险信息的采集、归集、评价、公示和应用的全流程信息化管理。有关信息与全国信用信息共享平台等按需共享。充分发挥相关支撑单位、第三方信用服务机构作用，在信用信息共享、大数据分析等方面加强合作。</w:t>
      </w:r>
    </w:p>
    <w:p w14:paraId="2FBCC918">
      <w:pPr>
        <w:pStyle w:val="26"/>
        <w:spacing w:line="560" w:lineRule="exact"/>
        <w:ind w:firstLine="640" w:firstLineChars="200"/>
        <w:rPr>
          <w:rFonts w:ascii="Times New Roman" w:hAnsi="Times New Roman" w:eastAsia="黑体" w:cs="Times New Roman"/>
          <w:color w:val="auto"/>
          <w:kern w:val="2"/>
          <w:sz w:val="32"/>
          <w:szCs w:val="32"/>
        </w:rPr>
      </w:pPr>
      <w:r>
        <w:rPr>
          <w:rFonts w:ascii="Times New Roman" w:hAnsi="Times New Roman" w:eastAsia="黑体" w:cs="Times New Roman"/>
          <w:color w:val="auto"/>
          <w:kern w:val="2"/>
          <w:sz w:val="32"/>
          <w:szCs w:val="32"/>
        </w:rPr>
        <w:t>第</w:t>
      </w:r>
      <w:r>
        <w:rPr>
          <w:rFonts w:hint="eastAsia" w:ascii="Times New Roman" w:hAnsi="Times New Roman" w:eastAsia="黑体" w:cs="Times New Roman"/>
          <w:color w:val="auto"/>
          <w:kern w:val="2"/>
          <w:sz w:val="32"/>
          <w:szCs w:val="32"/>
        </w:rPr>
        <w:t>三十六</w:t>
      </w:r>
      <w:r>
        <w:rPr>
          <w:rFonts w:ascii="Times New Roman" w:hAnsi="Times New Roman" w:eastAsia="黑体" w:cs="Times New Roman"/>
          <w:color w:val="auto"/>
          <w:kern w:val="2"/>
          <w:sz w:val="32"/>
          <w:szCs w:val="32"/>
        </w:rPr>
        <w:t xml:space="preserve">条  </w:t>
      </w:r>
      <w:r>
        <w:rPr>
          <w:rFonts w:hint="eastAsia" w:ascii="Times New Roman" w:hAnsi="Times New Roman" w:eastAsia="黑体" w:cs="Times New Roman"/>
          <w:color w:val="auto"/>
          <w:sz w:val="32"/>
          <w:szCs w:val="32"/>
        </w:rPr>
        <w:t>（信息安全）</w:t>
      </w:r>
      <w:r>
        <w:rPr>
          <w:rFonts w:hint="eastAsia" w:ascii="仿宋_GB2312" w:hAnsi="Times New Roman" w:eastAsia="仿宋_GB2312" w:cs="Times New Roman"/>
          <w:color w:val="auto"/>
          <w:sz w:val="32"/>
          <w:szCs w:val="32"/>
        </w:rPr>
        <w:t>严格落实信息安全保护责任，加强水预算管理信用信息和风险信息安全管理，规范信息查询使用权限和程序，依法依规采集、归集、共享和使用相关信息，保护用水户的商业秘密和个人隐私。</w:t>
      </w:r>
    </w:p>
    <w:p w14:paraId="787B6F8A">
      <w:pPr>
        <w:pStyle w:val="26"/>
        <w:spacing w:line="560" w:lineRule="exact"/>
        <w:ind w:firstLine="640" w:firstLineChars="200"/>
        <w:rPr>
          <w:rFonts w:ascii="Times New Roman" w:hAnsi="Times New Roman" w:eastAsia="黑体" w:cs="Times New Roman"/>
          <w:color w:val="auto"/>
          <w:kern w:val="2"/>
          <w:sz w:val="32"/>
          <w:szCs w:val="32"/>
        </w:rPr>
      </w:pPr>
      <w:r>
        <w:rPr>
          <w:rFonts w:ascii="Times New Roman" w:hAnsi="Times New Roman" w:eastAsia="黑体" w:cs="Times New Roman"/>
          <w:color w:val="auto"/>
          <w:kern w:val="2"/>
          <w:sz w:val="32"/>
          <w:szCs w:val="32"/>
        </w:rPr>
        <w:t>第</w:t>
      </w:r>
      <w:r>
        <w:rPr>
          <w:rFonts w:hint="eastAsia" w:ascii="Times New Roman" w:hAnsi="Times New Roman" w:eastAsia="黑体" w:cs="Times New Roman"/>
          <w:color w:val="auto"/>
          <w:kern w:val="2"/>
          <w:sz w:val="32"/>
          <w:szCs w:val="32"/>
        </w:rPr>
        <w:t>三十七</w:t>
      </w:r>
      <w:r>
        <w:rPr>
          <w:rFonts w:ascii="Times New Roman" w:hAnsi="Times New Roman" w:eastAsia="黑体" w:cs="Times New Roman"/>
          <w:color w:val="auto"/>
          <w:kern w:val="2"/>
          <w:sz w:val="32"/>
          <w:szCs w:val="32"/>
        </w:rPr>
        <w:t xml:space="preserve">条  </w:t>
      </w:r>
      <w:r>
        <w:rPr>
          <w:rFonts w:hint="eastAsia" w:ascii="Times New Roman" w:hAnsi="Times New Roman" w:eastAsia="黑体" w:cs="Times New Roman"/>
          <w:color w:val="auto"/>
          <w:sz w:val="32"/>
          <w:szCs w:val="32"/>
        </w:rPr>
        <w:t>（政策宣贯）</w:t>
      </w:r>
      <w:r>
        <w:rPr>
          <w:rFonts w:hint="eastAsia" w:ascii="仿宋_GB2312" w:hAnsi="Times New Roman" w:eastAsia="仿宋_GB2312" w:cs="Times New Roman"/>
          <w:color w:val="auto"/>
          <w:sz w:val="32"/>
          <w:szCs w:val="32"/>
        </w:rPr>
        <w:t>做好政策宣传解读，加强工作指导培训，让基层水行政主管部门和广大用水户充分理解并积极配合水预算管理“风险+信用”评价工作。积极宣传报道水预算管理“风险+信用”监管措施及其成效，营造水预算管理和信用体系建设的良好社会氛围。</w:t>
      </w:r>
    </w:p>
    <w:p w14:paraId="3272E876">
      <w:pPr>
        <w:spacing w:before="156" w:beforeLines="50" w:line="560" w:lineRule="exact"/>
        <w:jc w:val="center"/>
        <w:outlineLvl w:val="0"/>
        <w:rPr>
          <w:rFonts w:ascii="Times New Roman" w:hAnsi="Times New Roman" w:eastAsia="黑体"/>
          <w:bCs/>
          <w:sz w:val="32"/>
          <w:szCs w:val="32"/>
        </w:rPr>
      </w:pPr>
      <w:r>
        <w:rPr>
          <w:rFonts w:ascii="Times New Roman" w:hAnsi="Times New Roman" w:eastAsia="黑体"/>
          <w:bCs/>
          <w:sz w:val="32"/>
          <w:szCs w:val="32"/>
        </w:rPr>
        <w:t>第</w:t>
      </w:r>
      <w:r>
        <w:rPr>
          <w:rFonts w:hint="eastAsia" w:ascii="Times New Roman" w:hAnsi="Times New Roman" w:eastAsia="黑体"/>
          <w:bCs/>
          <w:sz w:val="32"/>
          <w:szCs w:val="32"/>
        </w:rPr>
        <w:t>七</w:t>
      </w:r>
      <w:r>
        <w:rPr>
          <w:rFonts w:ascii="Times New Roman" w:hAnsi="Times New Roman" w:eastAsia="黑体"/>
          <w:bCs/>
          <w:sz w:val="32"/>
          <w:szCs w:val="32"/>
        </w:rPr>
        <w:t>章  附  则</w:t>
      </w:r>
    </w:p>
    <w:p w14:paraId="7D4CBCEC">
      <w:pPr>
        <w:spacing w:line="560" w:lineRule="exact"/>
        <w:ind w:firstLine="640" w:firstLineChars="200"/>
      </w:pPr>
      <w:r>
        <w:rPr>
          <w:rFonts w:ascii="Times New Roman" w:hAnsi="Times New Roman" w:eastAsia="黑体"/>
          <w:sz w:val="32"/>
          <w:szCs w:val="32"/>
        </w:rPr>
        <w:t>第</w:t>
      </w:r>
      <w:r>
        <w:rPr>
          <w:rFonts w:hint="eastAsia" w:ascii="Times New Roman" w:hAnsi="Times New Roman" w:eastAsia="黑体"/>
          <w:sz w:val="32"/>
          <w:szCs w:val="32"/>
        </w:rPr>
        <w:t>三十八</w:t>
      </w:r>
      <w:r>
        <w:rPr>
          <w:rFonts w:ascii="Times New Roman" w:hAnsi="Times New Roman" w:eastAsia="黑体"/>
          <w:sz w:val="32"/>
          <w:szCs w:val="32"/>
        </w:rPr>
        <w:t>条</w:t>
      </w:r>
      <w:r>
        <w:t xml:space="preserve">  </w:t>
      </w:r>
      <w:r>
        <w:rPr>
          <w:rFonts w:ascii="Times New Roman" w:hAnsi="Times New Roman" w:eastAsia="仿宋_GB2312"/>
          <w:sz w:val="32"/>
          <w:szCs w:val="32"/>
        </w:rPr>
        <w:t>本</w:t>
      </w:r>
      <w:r>
        <w:rPr>
          <w:rFonts w:hint="eastAsia" w:ascii="Times New Roman" w:hAnsi="Times New Roman" w:eastAsia="仿宋_GB2312"/>
          <w:sz w:val="32"/>
          <w:szCs w:val="32"/>
        </w:rPr>
        <w:t>细则</w:t>
      </w:r>
      <w:r>
        <w:rPr>
          <w:rFonts w:ascii="Times New Roman" w:hAnsi="Times New Roman" w:eastAsia="仿宋_GB2312"/>
          <w:sz w:val="32"/>
          <w:szCs w:val="32"/>
        </w:rPr>
        <w:t>由</w:t>
      </w:r>
      <w:r>
        <w:rPr>
          <w:rFonts w:hint="eastAsia" w:ascii="Times New Roman" w:hAnsi="Times New Roman" w:eastAsia="仿宋_GB2312"/>
          <w:sz w:val="32"/>
          <w:szCs w:val="32"/>
        </w:rPr>
        <w:t>区水务局</w:t>
      </w:r>
      <w:r>
        <w:rPr>
          <w:rFonts w:ascii="Times New Roman" w:hAnsi="Times New Roman" w:eastAsia="仿宋_GB2312"/>
          <w:sz w:val="32"/>
          <w:szCs w:val="32"/>
        </w:rPr>
        <w:t>负责解释。</w:t>
      </w:r>
    </w:p>
    <w:p w14:paraId="03F8A392">
      <w:pPr>
        <w:pStyle w:val="14"/>
        <w:snapToGrid/>
        <w:spacing w:line="560" w:lineRule="exact"/>
        <w:ind w:firstLine="640" w:firstLineChars="200"/>
        <w:jc w:val="both"/>
        <w:rPr>
          <w:rFonts w:ascii="Times New Roman" w:hAnsi="Times New Roman" w:eastAsia="黑体"/>
        </w:rPr>
      </w:pPr>
      <w:r>
        <w:rPr>
          <w:rFonts w:ascii="Times New Roman" w:hAnsi="Times New Roman" w:eastAsia="黑体"/>
          <w:sz w:val="32"/>
          <w:szCs w:val="32"/>
        </w:rPr>
        <w:t>第</w:t>
      </w:r>
      <w:r>
        <w:rPr>
          <w:rFonts w:hint="eastAsia" w:ascii="Times New Roman" w:hAnsi="Times New Roman" w:eastAsia="黑体"/>
          <w:sz w:val="32"/>
          <w:szCs w:val="32"/>
        </w:rPr>
        <w:t>三十九</w:t>
      </w:r>
      <w:r>
        <w:rPr>
          <w:rFonts w:ascii="Times New Roman" w:hAnsi="Times New Roman" w:eastAsia="黑体"/>
          <w:sz w:val="32"/>
          <w:szCs w:val="32"/>
        </w:rPr>
        <w:t xml:space="preserve">条  </w:t>
      </w:r>
      <w:r>
        <w:rPr>
          <w:rFonts w:ascii="Times New Roman" w:hAnsi="Times New Roman" w:eastAsia="仿宋_GB2312"/>
          <w:sz w:val="32"/>
          <w:szCs w:val="32"/>
        </w:rPr>
        <w:t>法律法规和国务院水行政主管部门对</w:t>
      </w:r>
      <w:r>
        <w:rPr>
          <w:rFonts w:hint="eastAsia" w:ascii="Times New Roman" w:hAnsi="Times New Roman" w:eastAsia="仿宋_GB2312"/>
          <w:sz w:val="32"/>
          <w:szCs w:val="32"/>
        </w:rPr>
        <w:t>水预算管理</w:t>
      </w:r>
      <w:r>
        <w:rPr>
          <w:rFonts w:ascii="Times New Roman" w:hAnsi="Times New Roman" w:eastAsia="仿宋_GB2312"/>
          <w:sz w:val="32"/>
          <w:szCs w:val="32"/>
        </w:rPr>
        <w:t>领域</w:t>
      </w:r>
      <w:r>
        <w:rPr>
          <w:rFonts w:hint="eastAsia" w:ascii="Times New Roman" w:hAnsi="Times New Roman" w:eastAsia="仿宋_GB2312"/>
          <w:sz w:val="32"/>
          <w:szCs w:val="32"/>
        </w:rPr>
        <w:t>“风险+信用”</w:t>
      </w:r>
      <w:r>
        <w:rPr>
          <w:rFonts w:ascii="Times New Roman" w:hAnsi="Times New Roman" w:eastAsia="仿宋_GB2312"/>
          <w:sz w:val="32"/>
          <w:szCs w:val="32"/>
        </w:rPr>
        <w:t>评价另有规定的，从其规定。</w:t>
      </w:r>
    </w:p>
    <w:p w14:paraId="74A7D900">
      <w:pPr>
        <w:spacing w:line="560" w:lineRule="exact"/>
        <w:ind w:firstLine="640" w:firstLineChars="200"/>
        <w:rPr>
          <w:rFonts w:ascii="Times New Roman" w:hAnsi="Times New Roman" w:eastAsia="仿宋_GB2312"/>
          <w:sz w:val="32"/>
          <w:szCs w:val="32"/>
        </w:rPr>
      </w:pPr>
      <w:r>
        <w:rPr>
          <w:rFonts w:ascii="Times New Roman" w:hAnsi="Times New Roman" w:eastAsia="黑体"/>
          <w:sz w:val="32"/>
          <w:szCs w:val="32"/>
        </w:rPr>
        <w:t>第</w:t>
      </w:r>
      <w:r>
        <w:rPr>
          <w:rFonts w:hint="eastAsia" w:ascii="Times New Roman" w:hAnsi="Times New Roman" w:eastAsia="黑体"/>
          <w:sz w:val="32"/>
          <w:szCs w:val="32"/>
        </w:rPr>
        <w:t>四十</w:t>
      </w:r>
      <w:r>
        <w:rPr>
          <w:rFonts w:ascii="Times New Roman" w:hAnsi="Times New Roman" w:eastAsia="黑体"/>
          <w:sz w:val="32"/>
          <w:szCs w:val="32"/>
        </w:rPr>
        <w:t xml:space="preserve">条  </w:t>
      </w:r>
      <w:r>
        <w:rPr>
          <w:rFonts w:ascii="Times New Roman" w:hAnsi="Times New Roman" w:eastAsia="仿宋_GB2312"/>
          <w:sz w:val="32"/>
          <w:szCs w:val="32"/>
        </w:rPr>
        <w:t>本细则自</w:t>
      </w:r>
      <w:r>
        <w:rPr>
          <w:rFonts w:hint="eastAsia" w:ascii="Times New Roman" w:hAnsi="Times New Roman" w:eastAsia="仿宋_GB2312"/>
          <w:sz w:val="32"/>
          <w:szCs w:val="32"/>
        </w:rPr>
        <w:t>印发之日</w:t>
      </w:r>
      <w:r>
        <w:rPr>
          <w:rFonts w:ascii="Times New Roman" w:hAnsi="Times New Roman" w:eastAsia="仿宋_GB2312"/>
          <w:sz w:val="32"/>
          <w:szCs w:val="32"/>
        </w:rPr>
        <w:t>起施行。</w:t>
      </w:r>
    </w:p>
    <w:p w14:paraId="663CC158">
      <w:pPr>
        <w:pStyle w:val="14"/>
        <w:snapToGrid/>
        <w:spacing w:line="560" w:lineRule="exact"/>
        <w:ind w:firstLine="640" w:firstLineChars="200"/>
        <w:jc w:val="both"/>
        <w:rPr>
          <w:rFonts w:ascii="Times New Roman" w:hAnsi="Times New Roman" w:eastAsia="仿宋_GB2312"/>
          <w:sz w:val="32"/>
          <w:szCs w:val="32"/>
        </w:rPr>
        <w:sectPr>
          <w:footerReference r:id="rId3" w:type="default"/>
          <w:pgSz w:w="11906" w:h="16838"/>
          <w:pgMar w:top="2098" w:right="1531" w:bottom="1985" w:left="1531" w:header="851" w:footer="1191" w:gutter="0"/>
          <w:pgNumType w:fmt="numberInDash" w:start="1"/>
          <w:cols w:space="720" w:num="1"/>
          <w:docGrid w:type="lines" w:linePitch="312" w:charSpace="0"/>
        </w:sectPr>
      </w:pPr>
    </w:p>
    <w:p w14:paraId="43D23FFC">
      <w:pPr>
        <w:pStyle w:val="14"/>
        <w:snapToGrid/>
        <w:spacing w:line="560" w:lineRule="exact"/>
        <w:jc w:val="both"/>
        <w:rPr>
          <w:rFonts w:ascii="黑体" w:hAnsi="黑体" w:eastAsia="黑体" w:cs="黑体"/>
          <w:sz w:val="32"/>
          <w:szCs w:val="32"/>
        </w:rPr>
      </w:pPr>
      <w:r>
        <w:rPr>
          <w:rFonts w:hint="eastAsia" w:ascii="黑体" w:hAnsi="黑体" w:eastAsia="黑体" w:cs="黑体"/>
          <w:sz w:val="32"/>
          <w:szCs w:val="32"/>
        </w:rPr>
        <w:t>附件 通州区水预算管理领域“风险+信用”评价指标及评分标准（初稿）</w:t>
      </w:r>
    </w:p>
    <w:p w14:paraId="73ED796A">
      <w:pPr>
        <w:spacing w:after="156" w:afterLines="50" w:line="560" w:lineRule="exact"/>
        <w:jc w:val="center"/>
        <w:outlineLvl w:val="0"/>
        <w:rPr>
          <w:rFonts w:ascii="黑体" w:hAnsi="黑体" w:eastAsia="黑体" w:cs="黑体"/>
          <w:bCs/>
          <w:sz w:val="24"/>
        </w:rPr>
      </w:pPr>
      <w:r>
        <w:rPr>
          <w:rFonts w:hint="eastAsia" w:ascii="黑体" w:hAnsi="黑体" w:eastAsia="黑体" w:cs="黑体"/>
          <w:bCs/>
          <w:sz w:val="24"/>
        </w:rPr>
        <w:t>表1风险评价指标及评分标准（共性风险）</w:t>
      </w:r>
    </w:p>
    <w:tbl>
      <w:tblPr>
        <w:tblStyle w:val="19"/>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1"/>
        <w:gridCol w:w="2589"/>
        <w:gridCol w:w="3074"/>
        <w:gridCol w:w="1456"/>
      </w:tblGrid>
      <w:tr w14:paraId="253A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1" w:type="dxa"/>
          </w:tcPr>
          <w:p w14:paraId="7857D3A9">
            <w:pPr>
              <w:pStyle w:val="16"/>
              <w:spacing w:before="0" w:beforeAutospacing="0" w:after="0" w:afterAutospacing="0" w:line="400" w:lineRule="exact"/>
              <w:jc w:val="center"/>
              <w:outlineLvl w:val="0"/>
              <w:rPr>
                <w:rFonts w:ascii="Times New Roman" w:hAnsi="Times New Roman" w:eastAsia="楷体_GB2312" w:cs="Times New Roman"/>
                <w:bCs/>
              </w:rPr>
            </w:pPr>
            <w:r>
              <w:rPr>
                <w:rFonts w:ascii="Times New Roman" w:hAnsi="Times New Roman" w:eastAsia="楷体_GB2312" w:cs="Times New Roman"/>
                <w:bCs/>
              </w:rPr>
              <w:t>指标类别</w:t>
            </w:r>
          </w:p>
        </w:tc>
        <w:tc>
          <w:tcPr>
            <w:tcW w:w="2589" w:type="dxa"/>
          </w:tcPr>
          <w:p w14:paraId="5C5FF9D9">
            <w:pPr>
              <w:pStyle w:val="16"/>
              <w:spacing w:before="0" w:beforeAutospacing="0" w:after="0" w:afterAutospacing="0" w:line="400" w:lineRule="exact"/>
              <w:jc w:val="center"/>
              <w:outlineLvl w:val="0"/>
              <w:rPr>
                <w:rFonts w:ascii="Times New Roman" w:hAnsi="Times New Roman" w:eastAsia="楷体_GB2312" w:cs="Times New Roman"/>
                <w:bCs/>
              </w:rPr>
            </w:pPr>
            <w:r>
              <w:rPr>
                <w:rFonts w:ascii="Times New Roman" w:hAnsi="Times New Roman" w:eastAsia="楷体_GB2312" w:cs="Times New Roman"/>
                <w:bCs/>
              </w:rPr>
              <w:t>指标</w:t>
            </w:r>
          </w:p>
        </w:tc>
        <w:tc>
          <w:tcPr>
            <w:tcW w:w="3074" w:type="dxa"/>
          </w:tcPr>
          <w:p w14:paraId="6900D29F">
            <w:pPr>
              <w:pStyle w:val="16"/>
              <w:spacing w:before="0" w:beforeAutospacing="0" w:after="0" w:afterAutospacing="0" w:line="400" w:lineRule="exact"/>
              <w:jc w:val="center"/>
              <w:outlineLvl w:val="0"/>
              <w:rPr>
                <w:rFonts w:ascii="Times New Roman" w:hAnsi="Times New Roman" w:eastAsia="楷体_GB2312" w:cs="Times New Roman"/>
                <w:bCs/>
              </w:rPr>
            </w:pPr>
            <w:r>
              <w:rPr>
                <w:rFonts w:ascii="Times New Roman" w:hAnsi="Times New Roman" w:eastAsia="楷体_GB2312" w:cs="Times New Roman"/>
                <w:bCs/>
              </w:rPr>
              <w:t>具体内容</w:t>
            </w:r>
          </w:p>
        </w:tc>
        <w:tc>
          <w:tcPr>
            <w:tcW w:w="1456" w:type="dxa"/>
          </w:tcPr>
          <w:p w14:paraId="5F9D00F7">
            <w:pPr>
              <w:pStyle w:val="16"/>
              <w:spacing w:before="0" w:beforeAutospacing="0" w:after="0" w:afterAutospacing="0" w:line="400" w:lineRule="exact"/>
              <w:jc w:val="center"/>
              <w:outlineLvl w:val="0"/>
              <w:rPr>
                <w:rFonts w:ascii="Times New Roman" w:hAnsi="Times New Roman" w:eastAsia="楷体_GB2312" w:cs="Times New Roman"/>
                <w:bCs/>
              </w:rPr>
            </w:pPr>
            <w:r>
              <w:rPr>
                <w:rFonts w:ascii="Times New Roman" w:hAnsi="Times New Roman" w:eastAsia="楷体_GB2312" w:cs="Times New Roman"/>
                <w:bCs/>
              </w:rPr>
              <w:t>扣分值</w:t>
            </w:r>
          </w:p>
        </w:tc>
      </w:tr>
      <w:tr w14:paraId="38A75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1" w:type="dxa"/>
            <w:vMerge w:val="restart"/>
            <w:vAlign w:val="center"/>
          </w:tcPr>
          <w:p w14:paraId="3DD572C6">
            <w:pPr>
              <w:jc w:val="center"/>
              <w:outlineLvl w:val="0"/>
              <w:rPr>
                <w:rFonts w:hint="default" w:ascii="Times New Roman" w:hAnsi="Times New Roman" w:eastAsia="仿宋_GB2312"/>
                <w:bCs/>
                <w:kern w:val="0"/>
                <w:sz w:val="24"/>
                <w:lang w:val="en-US" w:eastAsia="zh-CN"/>
              </w:rPr>
            </w:pPr>
            <w:r>
              <w:rPr>
                <w:rFonts w:hint="eastAsia" w:ascii="Times New Roman" w:hAnsi="Times New Roman" w:eastAsia="仿宋_GB2312"/>
                <w:bCs/>
                <w:kern w:val="0"/>
                <w:sz w:val="24"/>
                <w:lang w:val="en-US" w:eastAsia="zh-CN"/>
              </w:rPr>
              <w:t>用水计量</w:t>
            </w:r>
          </w:p>
        </w:tc>
        <w:tc>
          <w:tcPr>
            <w:tcW w:w="2589" w:type="dxa"/>
            <w:vAlign w:val="center"/>
          </w:tcPr>
          <w:p w14:paraId="40A0EA26">
            <w:pPr>
              <w:jc w:val="center"/>
              <w:outlineLvl w:val="0"/>
              <w:rPr>
                <w:rFonts w:ascii="Times New Roman" w:hAnsi="Times New Roman" w:eastAsia="仿宋_GB2312"/>
                <w:bCs/>
                <w:kern w:val="0"/>
                <w:sz w:val="24"/>
              </w:rPr>
            </w:pPr>
            <w:r>
              <w:rPr>
                <w:rFonts w:ascii="Times New Roman" w:hAnsi="Times New Roman" w:eastAsia="仿宋_GB2312"/>
                <w:bCs/>
                <w:kern w:val="0"/>
                <w:sz w:val="24"/>
              </w:rPr>
              <w:t>监测数据传输异常</w:t>
            </w:r>
          </w:p>
        </w:tc>
        <w:tc>
          <w:tcPr>
            <w:tcW w:w="3074" w:type="dxa"/>
            <w:vAlign w:val="center"/>
          </w:tcPr>
          <w:p w14:paraId="784393EF">
            <w:pPr>
              <w:jc w:val="center"/>
              <w:outlineLvl w:val="0"/>
              <w:rPr>
                <w:rFonts w:ascii="Times New Roman" w:hAnsi="Times New Roman" w:eastAsia="仿宋_GB2312"/>
                <w:bCs/>
                <w:kern w:val="0"/>
                <w:sz w:val="24"/>
              </w:rPr>
            </w:pPr>
            <w:r>
              <w:rPr>
                <w:rFonts w:ascii="Times New Roman" w:hAnsi="Times New Roman" w:eastAsia="仿宋_GB2312"/>
                <w:bCs/>
                <w:kern w:val="0"/>
                <w:sz w:val="24"/>
              </w:rPr>
              <w:t>数据中断或明显异常，24小时内未报告且未修复</w:t>
            </w:r>
          </w:p>
        </w:tc>
        <w:tc>
          <w:tcPr>
            <w:tcW w:w="1456" w:type="dxa"/>
            <w:vAlign w:val="center"/>
          </w:tcPr>
          <w:p w14:paraId="538F39C0">
            <w:pPr>
              <w:jc w:val="center"/>
              <w:outlineLvl w:val="0"/>
              <w:rPr>
                <w:rFonts w:ascii="Times New Roman" w:hAnsi="Times New Roman" w:eastAsia="仿宋_GB2312"/>
                <w:bCs/>
                <w:kern w:val="0"/>
                <w:sz w:val="24"/>
              </w:rPr>
            </w:pPr>
            <w:r>
              <w:rPr>
                <w:rFonts w:ascii="Times New Roman" w:hAnsi="Times New Roman" w:eastAsia="仿宋_GB2312"/>
                <w:bCs/>
                <w:kern w:val="0"/>
                <w:sz w:val="24"/>
              </w:rPr>
              <w:t>5</w:t>
            </w:r>
          </w:p>
        </w:tc>
      </w:tr>
      <w:tr w14:paraId="7093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1" w:type="dxa"/>
            <w:vMerge w:val="continue"/>
            <w:vAlign w:val="center"/>
          </w:tcPr>
          <w:p w14:paraId="3BE71121">
            <w:pPr>
              <w:jc w:val="center"/>
              <w:outlineLvl w:val="0"/>
              <w:rPr>
                <w:rFonts w:hint="eastAsia" w:ascii="Times New Roman" w:hAnsi="Times New Roman" w:eastAsia="仿宋_GB2312"/>
                <w:bCs/>
                <w:kern w:val="0"/>
                <w:sz w:val="24"/>
                <w:lang w:val="en-US" w:eastAsia="zh-CN"/>
              </w:rPr>
            </w:pPr>
          </w:p>
        </w:tc>
        <w:tc>
          <w:tcPr>
            <w:tcW w:w="2589" w:type="dxa"/>
            <w:shd w:val="clear" w:color="auto" w:fill="auto"/>
            <w:vAlign w:val="center"/>
          </w:tcPr>
          <w:p w14:paraId="30CDF98D">
            <w:pPr>
              <w:jc w:val="center"/>
              <w:outlineLvl w:val="0"/>
              <w:rPr>
                <w:rFonts w:hint="default" w:ascii="Times New Roman" w:hAnsi="Times New Roman" w:eastAsia="仿宋_GB2312" w:cs="Times New Roman"/>
                <w:bCs/>
                <w:kern w:val="0"/>
                <w:sz w:val="24"/>
                <w:szCs w:val="24"/>
                <w:lang w:val="en-US" w:eastAsia="zh-CN" w:bidi="ar-SA"/>
              </w:rPr>
            </w:pPr>
            <w:r>
              <w:rPr>
                <w:rFonts w:ascii="Times New Roman" w:hAnsi="Times New Roman" w:eastAsia="仿宋_GB2312"/>
                <w:bCs/>
                <w:kern w:val="0"/>
                <w:sz w:val="24"/>
              </w:rPr>
              <w:t>实际用水</w:t>
            </w:r>
            <w:r>
              <w:rPr>
                <w:rFonts w:hint="eastAsia" w:ascii="Times New Roman" w:hAnsi="Times New Roman" w:eastAsia="仿宋_GB2312"/>
                <w:bCs/>
                <w:kern w:val="0"/>
                <w:sz w:val="24"/>
                <w:lang w:val="en-US" w:eastAsia="zh-CN"/>
              </w:rPr>
              <w:t>异常波动</w:t>
            </w:r>
          </w:p>
        </w:tc>
        <w:tc>
          <w:tcPr>
            <w:tcW w:w="3074" w:type="dxa"/>
            <w:shd w:val="clear" w:color="auto" w:fill="auto"/>
            <w:vAlign w:val="center"/>
          </w:tcPr>
          <w:p w14:paraId="29212A04">
            <w:pPr>
              <w:jc w:val="center"/>
              <w:outlineLvl w:val="0"/>
              <w:rPr>
                <w:rFonts w:hint="eastAsia" w:ascii="Times New Roman" w:hAnsi="Times New Roman" w:eastAsia="仿宋_GB2312" w:cs="Times New Roman"/>
                <w:bCs/>
                <w:kern w:val="0"/>
                <w:sz w:val="24"/>
                <w:szCs w:val="24"/>
                <w:lang w:val="en-US" w:eastAsia="zh-CN" w:bidi="ar-SA"/>
              </w:rPr>
            </w:pPr>
            <w:r>
              <w:rPr>
                <w:rFonts w:ascii="Times New Roman" w:hAnsi="Times New Roman" w:eastAsia="仿宋_GB2312"/>
                <w:bCs/>
                <w:kern w:val="0"/>
                <w:sz w:val="24"/>
              </w:rPr>
              <w:t>季度、年度用水年际对比存在异常波动</w:t>
            </w:r>
            <w:r>
              <w:rPr>
                <w:rFonts w:hint="eastAsia" w:ascii="Times New Roman" w:hAnsi="Times New Roman" w:eastAsia="仿宋_GB2312"/>
                <w:bCs/>
                <w:kern w:val="0"/>
                <w:sz w:val="24"/>
                <w:lang w:eastAsia="zh-CN"/>
              </w:rPr>
              <w:t>（</w:t>
            </w:r>
            <w:r>
              <w:rPr>
                <w:rFonts w:hint="eastAsia" w:ascii="Times New Roman" w:hAnsi="Times New Roman" w:eastAsia="仿宋_GB2312"/>
                <w:bCs/>
                <w:kern w:val="0"/>
                <w:sz w:val="24"/>
                <w:lang w:val="en-US" w:eastAsia="zh-CN"/>
              </w:rPr>
              <w:t>偏差≥20%</w:t>
            </w:r>
            <w:r>
              <w:rPr>
                <w:rFonts w:hint="eastAsia" w:ascii="Times New Roman" w:hAnsi="Times New Roman" w:eastAsia="仿宋_GB2312"/>
                <w:bCs/>
                <w:kern w:val="0"/>
                <w:sz w:val="24"/>
                <w:lang w:eastAsia="zh-CN"/>
              </w:rPr>
              <w:t>）</w:t>
            </w:r>
          </w:p>
        </w:tc>
        <w:tc>
          <w:tcPr>
            <w:tcW w:w="1456" w:type="dxa"/>
            <w:shd w:val="clear" w:color="auto" w:fill="auto"/>
            <w:vAlign w:val="center"/>
          </w:tcPr>
          <w:p w14:paraId="2FBECFAE">
            <w:pPr>
              <w:jc w:val="center"/>
              <w:outlineLvl w:val="0"/>
              <w:rPr>
                <w:rFonts w:ascii="Times New Roman" w:hAnsi="Times New Roman" w:eastAsia="仿宋_GB2312" w:cs="Times New Roman"/>
                <w:bCs/>
                <w:kern w:val="0"/>
                <w:sz w:val="24"/>
                <w:szCs w:val="24"/>
                <w:lang w:val="en-US" w:eastAsia="zh-CN" w:bidi="ar-SA"/>
              </w:rPr>
            </w:pPr>
            <w:r>
              <w:rPr>
                <w:rFonts w:ascii="Times New Roman" w:hAnsi="Times New Roman" w:eastAsia="仿宋_GB2312"/>
                <w:bCs/>
                <w:kern w:val="0"/>
                <w:sz w:val="24"/>
              </w:rPr>
              <w:t>5</w:t>
            </w:r>
          </w:p>
        </w:tc>
      </w:tr>
      <w:tr w14:paraId="4DC4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exact"/>
        </w:trPr>
        <w:tc>
          <w:tcPr>
            <w:tcW w:w="1941" w:type="dxa"/>
            <w:vAlign w:val="center"/>
          </w:tcPr>
          <w:p w14:paraId="275A7D7F">
            <w:pPr>
              <w:jc w:val="center"/>
              <w:outlineLvl w:val="0"/>
              <w:rPr>
                <w:rFonts w:hint="default" w:ascii="Times New Roman" w:hAnsi="Times New Roman" w:eastAsia="仿宋_GB2312"/>
                <w:bCs/>
                <w:kern w:val="0"/>
                <w:sz w:val="24"/>
                <w:lang w:val="en-US" w:eastAsia="zh-CN"/>
              </w:rPr>
            </w:pPr>
            <w:r>
              <w:rPr>
                <w:rFonts w:hint="eastAsia" w:ascii="Times New Roman" w:hAnsi="Times New Roman" w:eastAsia="仿宋_GB2312"/>
                <w:bCs/>
                <w:kern w:val="0"/>
                <w:sz w:val="24"/>
                <w:lang w:val="en-US" w:eastAsia="zh-CN"/>
              </w:rPr>
              <w:t>用水行为</w:t>
            </w:r>
          </w:p>
        </w:tc>
        <w:tc>
          <w:tcPr>
            <w:tcW w:w="2589" w:type="dxa"/>
            <w:shd w:val="clear" w:color="auto" w:fill="auto"/>
            <w:vAlign w:val="center"/>
          </w:tcPr>
          <w:p w14:paraId="678FDCA4">
            <w:pPr>
              <w:jc w:val="center"/>
              <w:outlineLvl w:val="0"/>
              <w:rPr>
                <w:rFonts w:hint="eastAsia" w:ascii="Times New Roman" w:hAnsi="Times New Roman" w:eastAsia="仿宋_GB2312" w:cs="Times New Roman"/>
                <w:bCs/>
                <w:kern w:val="0"/>
                <w:sz w:val="24"/>
                <w:szCs w:val="24"/>
                <w:lang w:val="en-US" w:eastAsia="zh-CN" w:bidi="ar-SA"/>
              </w:rPr>
            </w:pPr>
            <w:r>
              <w:rPr>
                <w:rFonts w:hint="eastAsia" w:ascii="Times New Roman" w:hAnsi="Times New Roman" w:eastAsia="仿宋_GB2312"/>
                <w:bCs/>
                <w:kern w:val="0"/>
                <w:sz w:val="24"/>
              </w:rPr>
              <w:t>非居民用水户</w:t>
            </w:r>
            <w:r>
              <w:rPr>
                <w:rFonts w:ascii="Times New Roman" w:hAnsi="Times New Roman" w:eastAsia="仿宋_GB2312"/>
                <w:bCs/>
                <w:kern w:val="0"/>
                <w:sz w:val="24"/>
              </w:rPr>
              <w:t>超定额累进加价触发次数</w:t>
            </w:r>
          </w:p>
        </w:tc>
        <w:tc>
          <w:tcPr>
            <w:tcW w:w="3074" w:type="dxa"/>
            <w:shd w:val="clear" w:color="auto" w:fill="auto"/>
            <w:vAlign w:val="center"/>
          </w:tcPr>
          <w:p w14:paraId="63B46C40">
            <w:pPr>
              <w:jc w:val="center"/>
              <w:outlineLvl w:val="0"/>
              <w:rPr>
                <w:rFonts w:ascii="Times New Roman" w:hAnsi="Times New Roman" w:eastAsia="仿宋_GB2312" w:cs="Times New Roman"/>
                <w:bCs/>
                <w:kern w:val="0"/>
                <w:sz w:val="24"/>
                <w:szCs w:val="24"/>
                <w:lang w:val="en-US" w:eastAsia="zh-CN" w:bidi="ar-SA"/>
              </w:rPr>
            </w:pPr>
            <w:r>
              <w:rPr>
                <w:rFonts w:ascii="Times New Roman" w:hAnsi="Times New Roman" w:eastAsia="仿宋_GB2312"/>
                <w:bCs/>
                <w:kern w:val="0"/>
                <w:sz w:val="24"/>
              </w:rPr>
              <w:t>超过一定次数（</w:t>
            </w:r>
            <w:r>
              <w:rPr>
                <w:rFonts w:hint="eastAsia" w:ascii="Times New Roman" w:hAnsi="Times New Roman" w:eastAsia="仿宋_GB2312"/>
                <w:bCs/>
                <w:kern w:val="0"/>
                <w:sz w:val="24"/>
              </w:rPr>
              <w:t>达到2次及以上</w:t>
            </w:r>
            <w:r>
              <w:rPr>
                <w:rFonts w:ascii="Times New Roman" w:hAnsi="Times New Roman" w:eastAsia="仿宋_GB2312"/>
                <w:bCs/>
                <w:kern w:val="0"/>
                <w:sz w:val="24"/>
              </w:rPr>
              <w:t>）</w:t>
            </w:r>
          </w:p>
        </w:tc>
        <w:tc>
          <w:tcPr>
            <w:tcW w:w="1456" w:type="dxa"/>
            <w:shd w:val="clear" w:color="auto" w:fill="auto"/>
            <w:vAlign w:val="center"/>
          </w:tcPr>
          <w:p w14:paraId="3B0E7E02">
            <w:pPr>
              <w:jc w:val="center"/>
              <w:outlineLvl w:val="0"/>
              <w:rPr>
                <w:rFonts w:ascii="Times New Roman" w:hAnsi="Times New Roman" w:eastAsia="仿宋_GB2312" w:cs="Times New Roman"/>
                <w:bCs/>
                <w:kern w:val="0"/>
                <w:sz w:val="24"/>
                <w:szCs w:val="24"/>
                <w:lang w:val="en-US" w:eastAsia="zh-CN" w:bidi="ar-SA"/>
              </w:rPr>
            </w:pPr>
            <w:r>
              <w:rPr>
                <w:rFonts w:ascii="Times New Roman" w:hAnsi="Times New Roman" w:eastAsia="仿宋_GB2312"/>
                <w:bCs/>
                <w:kern w:val="0"/>
                <w:sz w:val="24"/>
              </w:rPr>
              <w:t>5</w:t>
            </w:r>
          </w:p>
        </w:tc>
      </w:tr>
      <w:tr w14:paraId="01A1F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1" w:type="dxa"/>
            <w:vAlign w:val="center"/>
          </w:tcPr>
          <w:p w14:paraId="0636F89A">
            <w:pPr>
              <w:jc w:val="center"/>
              <w:outlineLvl w:val="0"/>
              <w:rPr>
                <w:rFonts w:ascii="Times New Roman" w:hAnsi="Times New Roman" w:eastAsia="仿宋_GB2312"/>
                <w:bCs/>
                <w:kern w:val="0"/>
                <w:sz w:val="24"/>
              </w:rPr>
            </w:pPr>
            <w:r>
              <w:rPr>
                <w:rFonts w:ascii="Times New Roman" w:hAnsi="Times New Roman" w:eastAsia="仿宋_GB2312"/>
                <w:bCs/>
                <w:kern w:val="0"/>
                <w:sz w:val="24"/>
              </w:rPr>
              <w:t>用水定额</w:t>
            </w:r>
          </w:p>
        </w:tc>
        <w:tc>
          <w:tcPr>
            <w:tcW w:w="2589" w:type="dxa"/>
            <w:vAlign w:val="center"/>
          </w:tcPr>
          <w:p w14:paraId="05EBD430">
            <w:pPr>
              <w:jc w:val="center"/>
              <w:outlineLvl w:val="0"/>
              <w:rPr>
                <w:rFonts w:ascii="Times New Roman" w:hAnsi="Times New Roman" w:eastAsia="仿宋_GB2312"/>
                <w:bCs/>
                <w:kern w:val="0"/>
                <w:sz w:val="24"/>
              </w:rPr>
            </w:pPr>
            <w:r>
              <w:rPr>
                <w:rFonts w:ascii="Times New Roman" w:hAnsi="Times New Roman" w:eastAsia="仿宋_GB2312"/>
                <w:bCs/>
                <w:kern w:val="0"/>
                <w:sz w:val="24"/>
              </w:rPr>
              <w:t>用水定额达标情况</w:t>
            </w:r>
          </w:p>
        </w:tc>
        <w:tc>
          <w:tcPr>
            <w:tcW w:w="3074" w:type="dxa"/>
            <w:vAlign w:val="center"/>
          </w:tcPr>
          <w:p w14:paraId="4337D74E">
            <w:pPr>
              <w:jc w:val="center"/>
              <w:outlineLvl w:val="0"/>
              <w:rPr>
                <w:rFonts w:ascii="Times New Roman" w:hAnsi="Times New Roman" w:eastAsia="仿宋_GB2312"/>
                <w:bCs/>
                <w:kern w:val="0"/>
                <w:sz w:val="24"/>
              </w:rPr>
            </w:pPr>
            <w:r>
              <w:rPr>
                <w:rFonts w:ascii="Times New Roman" w:hAnsi="Times New Roman" w:eastAsia="仿宋_GB2312"/>
                <w:bCs/>
                <w:kern w:val="0"/>
                <w:sz w:val="24"/>
              </w:rPr>
              <w:t>单位产品用水量或单位服务用水量不符合国家及北京市用水定额标准</w:t>
            </w:r>
          </w:p>
        </w:tc>
        <w:tc>
          <w:tcPr>
            <w:tcW w:w="1456" w:type="dxa"/>
            <w:vAlign w:val="center"/>
          </w:tcPr>
          <w:p w14:paraId="504BA912">
            <w:pPr>
              <w:jc w:val="center"/>
              <w:outlineLvl w:val="0"/>
              <w:rPr>
                <w:rFonts w:ascii="Times New Roman" w:hAnsi="Times New Roman" w:eastAsia="仿宋_GB2312"/>
                <w:bCs/>
                <w:kern w:val="0"/>
                <w:sz w:val="24"/>
              </w:rPr>
            </w:pPr>
            <w:r>
              <w:rPr>
                <w:rFonts w:ascii="Times New Roman" w:hAnsi="Times New Roman" w:eastAsia="仿宋_GB2312"/>
                <w:bCs/>
                <w:kern w:val="0"/>
                <w:sz w:val="24"/>
              </w:rPr>
              <w:t>10</w:t>
            </w:r>
          </w:p>
        </w:tc>
      </w:tr>
      <w:tr w14:paraId="5B4D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1" w:type="dxa"/>
            <w:vMerge w:val="restart"/>
            <w:vAlign w:val="center"/>
          </w:tcPr>
          <w:p w14:paraId="1D01826A">
            <w:pPr>
              <w:jc w:val="center"/>
              <w:outlineLvl w:val="0"/>
              <w:rPr>
                <w:rFonts w:hint="default" w:ascii="Times New Roman" w:hAnsi="Times New Roman" w:eastAsia="仿宋_GB2312"/>
                <w:bCs/>
                <w:kern w:val="0"/>
                <w:sz w:val="24"/>
                <w:lang w:val="en-US" w:eastAsia="zh-CN"/>
              </w:rPr>
            </w:pPr>
            <w:r>
              <w:rPr>
                <w:rFonts w:hint="eastAsia" w:ascii="Times New Roman" w:hAnsi="Times New Roman" w:eastAsia="仿宋_GB2312"/>
                <w:bCs/>
                <w:kern w:val="0"/>
                <w:sz w:val="24"/>
                <w:lang w:val="en-US" w:eastAsia="zh-CN"/>
              </w:rPr>
              <w:t>水预算执行</w:t>
            </w:r>
          </w:p>
        </w:tc>
        <w:tc>
          <w:tcPr>
            <w:tcW w:w="2589" w:type="dxa"/>
            <w:vAlign w:val="center"/>
          </w:tcPr>
          <w:p w14:paraId="7B6D498D">
            <w:pPr>
              <w:jc w:val="center"/>
              <w:outlineLvl w:val="0"/>
              <w:rPr>
                <w:rFonts w:hint="default" w:ascii="Times New Roman" w:hAnsi="Times New Roman" w:eastAsia="仿宋_GB2312"/>
                <w:bCs/>
                <w:kern w:val="0"/>
                <w:sz w:val="24"/>
                <w:lang w:val="en-US" w:eastAsia="zh-CN"/>
              </w:rPr>
            </w:pPr>
            <w:r>
              <w:rPr>
                <w:rFonts w:hint="eastAsia" w:ascii="Times New Roman" w:hAnsi="Times New Roman" w:eastAsia="仿宋_GB2312"/>
                <w:bCs/>
                <w:kern w:val="0"/>
                <w:sz w:val="24"/>
                <w:lang w:val="en-US" w:eastAsia="zh-CN"/>
              </w:rPr>
              <w:t>预算执行率</w:t>
            </w:r>
          </w:p>
        </w:tc>
        <w:tc>
          <w:tcPr>
            <w:tcW w:w="3074" w:type="dxa"/>
            <w:vAlign w:val="center"/>
          </w:tcPr>
          <w:p w14:paraId="78B29D11">
            <w:pPr>
              <w:jc w:val="center"/>
              <w:outlineLvl w:val="0"/>
              <w:rPr>
                <w:rFonts w:hint="default" w:ascii="Times New Roman" w:hAnsi="Times New Roman" w:eastAsia="仿宋_GB2312"/>
                <w:bCs/>
                <w:kern w:val="0"/>
                <w:sz w:val="24"/>
                <w:lang w:val="en-US" w:eastAsia="zh-CN"/>
              </w:rPr>
            </w:pPr>
            <w:r>
              <w:rPr>
                <w:rFonts w:hint="eastAsia" w:ascii="Times New Roman" w:hAnsi="Times New Roman" w:eastAsia="仿宋_GB2312"/>
                <w:bCs/>
                <w:kern w:val="0"/>
                <w:sz w:val="24"/>
                <w:lang w:val="en-US" w:eastAsia="zh-CN"/>
              </w:rPr>
              <w:t>季度、年度预算执行率≤90%</w:t>
            </w:r>
          </w:p>
        </w:tc>
        <w:tc>
          <w:tcPr>
            <w:tcW w:w="1456" w:type="dxa"/>
            <w:vAlign w:val="center"/>
          </w:tcPr>
          <w:p w14:paraId="557D6838">
            <w:pPr>
              <w:jc w:val="center"/>
              <w:outlineLvl w:val="0"/>
              <w:rPr>
                <w:rFonts w:hint="eastAsia" w:ascii="Times New Roman" w:hAnsi="Times New Roman" w:eastAsia="仿宋_GB2312"/>
                <w:bCs/>
                <w:kern w:val="0"/>
                <w:sz w:val="24"/>
                <w:lang w:val="en-US" w:eastAsia="zh-CN"/>
              </w:rPr>
            </w:pPr>
            <w:r>
              <w:rPr>
                <w:rFonts w:hint="eastAsia" w:ascii="Times New Roman" w:hAnsi="Times New Roman" w:eastAsia="仿宋_GB2312"/>
                <w:bCs/>
                <w:kern w:val="0"/>
                <w:sz w:val="24"/>
                <w:lang w:val="en-US" w:eastAsia="zh-CN"/>
              </w:rPr>
              <w:t>5</w:t>
            </w:r>
          </w:p>
        </w:tc>
      </w:tr>
      <w:tr w14:paraId="7322F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1" w:type="dxa"/>
            <w:vMerge w:val="continue"/>
            <w:vAlign w:val="center"/>
          </w:tcPr>
          <w:p w14:paraId="6753072F">
            <w:pPr>
              <w:jc w:val="center"/>
              <w:outlineLvl w:val="0"/>
              <w:rPr>
                <w:rFonts w:hint="eastAsia" w:ascii="Times New Roman" w:hAnsi="Times New Roman" w:eastAsia="仿宋_GB2312"/>
                <w:bCs/>
                <w:kern w:val="0"/>
                <w:sz w:val="24"/>
                <w:lang w:val="en-US" w:eastAsia="zh-CN"/>
              </w:rPr>
            </w:pPr>
          </w:p>
        </w:tc>
        <w:tc>
          <w:tcPr>
            <w:tcW w:w="2589" w:type="dxa"/>
            <w:vAlign w:val="center"/>
          </w:tcPr>
          <w:p w14:paraId="5C3ABB2C">
            <w:pPr>
              <w:jc w:val="center"/>
              <w:outlineLvl w:val="0"/>
              <w:rPr>
                <w:rFonts w:hint="eastAsia" w:ascii="Times New Roman" w:hAnsi="Times New Roman" w:eastAsia="仿宋_GB2312"/>
                <w:bCs/>
                <w:kern w:val="0"/>
                <w:sz w:val="24"/>
                <w:lang w:val="en-US" w:eastAsia="zh-CN"/>
              </w:rPr>
            </w:pPr>
            <w:r>
              <w:rPr>
                <w:rFonts w:hint="eastAsia" w:ascii="Times New Roman" w:hAnsi="Times New Roman" w:eastAsia="仿宋_GB2312"/>
                <w:bCs/>
                <w:kern w:val="0"/>
                <w:sz w:val="24"/>
                <w:lang w:val="en-US" w:eastAsia="zh-CN"/>
              </w:rPr>
              <w:t>超预算用水</w:t>
            </w:r>
          </w:p>
        </w:tc>
        <w:tc>
          <w:tcPr>
            <w:tcW w:w="3074" w:type="dxa"/>
            <w:vAlign w:val="center"/>
          </w:tcPr>
          <w:p w14:paraId="664BFC43">
            <w:pPr>
              <w:jc w:val="center"/>
              <w:outlineLvl w:val="0"/>
              <w:rPr>
                <w:rFonts w:hint="default" w:ascii="Times New Roman" w:hAnsi="Times New Roman" w:eastAsia="仿宋_GB2312"/>
                <w:bCs/>
                <w:kern w:val="0"/>
                <w:sz w:val="24"/>
                <w:lang w:val="en-US" w:eastAsia="zh-CN"/>
              </w:rPr>
            </w:pPr>
            <w:r>
              <w:rPr>
                <w:rFonts w:hint="eastAsia" w:ascii="Times New Roman" w:hAnsi="Times New Roman" w:eastAsia="仿宋_GB2312"/>
                <w:bCs/>
                <w:kern w:val="0"/>
                <w:sz w:val="24"/>
                <w:lang w:val="en-US" w:eastAsia="zh-CN"/>
              </w:rPr>
              <w:t>季度、年度实际用水量超出预算指标20%以上，或连续2次出现超预算用水的</w:t>
            </w:r>
          </w:p>
        </w:tc>
        <w:tc>
          <w:tcPr>
            <w:tcW w:w="1456" w:type="dxa"/>
            <w:vAlign w:val="center"/>
          </w:tcPr>
          <w:p w14:paraId="778C9F00">
            <w:pPr>
              <w:jc w:val="center"/>
              <w:outlineLvl w:val="0"/>
              <w:rPr>
                <w:rFonts w:hint="default" w:ascii="Times New Roman" w:hAnsi="Times New Roman" w:eastAsia="仿宋_GB2312"/>
                <w:bCs/>
                <w:kern w:val="0"/>
                <w:sz w:val="24"/>
                <w:lang w:val="en-US" w:eastAsia="zh-CN"/>
              </w:rPr>
            </w:pPr>
            <w:r>
              <w:rPr>
                <w:rFonts w:hint="eastAsia" w:ascii="Times New Roman" w:hAnsi="Times New Roman" w:eastAsia="仿宋_GB2312"/>
                <w:bCs/>
                <w:kern w:val="0"/>
                <w:sz w:val="24"/>
                <w:lang w:val="en-US" w:eastAsia="zh-CN"/>
              </w:rPr>
              <w:t>20</w:t>
            </w:r>
          </w:p>
        </w:tc>
      </w:tr>
    </w:tbl>
    <w:p w14:paraId="01B259FB">
      <w:pPr>
        <w:spacing w:after="156" w:afterLines="50" w:line="560" w:lineRule="exact"/>
        <w:rPr>
          <w:rFonts w:ascii="黑体" w:hAnsi="黑体" w:eastAsia="黑体" w:cs="黑体"/>
          <w:bCs/>
          <w:sz w:val="24"/>
        </w:rPr>
      </w:pPr>
    </w:p>
    <w:p w14:paraId="18E2E9A1">
      <w:pPr>
        <w:rPr>
          <w:rFonts w:ascii="黑体" w:hAnsi="黑体" w:eastAsia="黑体" w:cs="黑体"/>
          <w:bCs/>
          <w:sz w:val="24"/>
        </w:rPr>
      </w:pPr>
      <w:r>
        <w:rPr>
          <w:rFonts w:hint="eastAsia" w:ascii="黑体" w:hAnsi="黑体" w:eastAsia="黑体" w:cs="黑体"/>
          <w:bCs/>
          <w:sz w:val="24"/>
        </w:rPr>
        <w:br w:type="page"/>
      </w:r>
    </w:p>
    <w:p w14:paraId="54297D62">
      <w:pPr>
        <w:spacing w:after="156" w:afterLines="50" w:line="560" w:lineRule="exact"/>
        <w:jc w:val="center"/>
        <w:outlineLvl w:val="0"/>
        <w:rPr>
          <w:rFonts w:ascii="黑体" w:hAnsi="黑体" w:eastAsia="黑体" w:cs="黑体"/>
          <w:bCs/>
          <w:sz w:val="24"/>
        </w:rPr>
      </w:pPr>
      <w:r>
        <w:rPr>
          <w:rFonts w:hint="eastAsia" w:ascii="黑体" w:hAnsi="黑体" w:eastAsia="黑体" w:cs="黑体"/>
          <w:bCs/>
          <w:sz w:val="24"/>
        </w:rPr>
        <w:t>表2风险评价指标及评分标准（个性风险）</w:t>
      </w:r>
    </w:p>
    <w:tbl>
      <w:tblPr>
        <w:tblStyle w:val="19"/>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871"/>
        <w:gridCol w:w="4492"/>
        <w:gridCol w:w="1308"/>
      </w:tblGrid>
      <w:tr w14:paraId="5B09C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1389" w:type="dxa"/>
          </w:tcPr>
          <w:p w14:paraId="56BC05C5">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行业</w:t>
            </w:r>
          </w:p>
        </w:tc>
        <w:tc>
          <w:tcPr>
            <w:tcW w:w="1871" w:type="dxa"/>
          </w:tcPr>
          <w:p w14:paraId="0636495C">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指标</w:t>
            </w:r>
          </w:p>
        </w:tc>
        <w:tc>
          <w:tcPr>
            <w:tcW w:w="4492" w:type="dxa"/>
          </w:tcPr>
          <w:p w14:paraId="6BA90C63">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具体内容</w:t>
            </w:r>
          </w:p>
        </w:tc>
        <w:tc>
          <w:tcPr>
            <w:tcW w:w="1308" w:type="dxa"/>
          </w:tcPr>
          <w:p w14:paraId="4F4D141F">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扣分值</w:t>
            </w:r>
          </w:p>
        </w:tc>
      </w:tr>
      <w:tr w14:paraId="3CC2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Merge w:val="restart"/>
            <w:vAlign w:val="center"/>
          </w:tcPr>
          <w:p w14:paraId="20499139">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工业</w:t>
            </w:r>
          </w:p>
        </w:tc>
        <w:tc>
          <w:tcPr>
            <w:tcW w:w="1871" w:type="dxa"/>
            <w:vAlign w:val="center"/>
          </w:tcPr>
          <w:p w14:paraId="415500EA">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用水重复利用</w:t>
            </w:r>
          </w:p>
        </w:tc>
        <w:tc>
          <w:tcPr>
            <w:tcW w:w="4492" w:type="dxa"/>
            <w:vAlign w:val="center"/>
          </w:tcPr>
          <w:p w14:paraId="7510D63D">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工业用水重复利用率低于本市相关规定或行业标准</w:t>
            </w:r>
          </w:p>
        </w:tc>
        <w:tc>
          <w:tcPr>
            <w:tcW w:w="1308" w:type="dxa"/>
            <w:vAlign w:val="center"/>
          </w:tcPr>
          <w:p w14:paraId="21F7DC12">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r>
      <w:tr w14:paraId="00DBE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Merge w:val="continue"/>
            <w:vAlign w:val="center"/>
          </w:tcPr>
          <w:p w14:paraId="08DF11F4">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1871" w:type="dxa"/>
            <w:vAlign w:val="center"/>
          </w:tcPr>
          <w:p w14:paraId="70C06846">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节水工艺</w:t>
            </w:r>
          </w:p>
        </w:tc>
        <w:tc>
          <w:tcPr>
            <w:tcW w:w="4492" w:type="dxa"/>
            <w:vAlign w:val="center"/>
          </w:tcPr>
          <w:p w14:paraId="206D2CD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仍在使用国家或本市明令淘汰的高耗水工艺、设备</w:t>
            </w:r>
          </w:p>
        </w:tc>
        <w:tc>
          <w:tcPr>
            <w:tcW w:w="1308" w:type="dxa"/>
            <w:vAlign w:val="center"/>
          </w:tcPr>
          <w:p w14:paraId="175DB45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r>
      <w:tr w14:paraId="1057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Merge w:val="continue"/>
            <w:vAlign w:val="center"/>
          </w:tcPr>
          <w:p w14:paraId="0F9074A7">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1871" w:type="dxa"/>
            <w:vAlign w:val="center"/>
          </w:tcPr>
          <w:p w14:paraId="33D7DED2">
            <w:pPr>
              <w:jc w:val="center"/>
              <w:outlineLvl w:val="0"/>
              <w:rPr>
                <w:rFonts w:ascii="Times New Roman" w:hAnsi="Times New Roman" w:eastAsia="仿宋_GB2312"/>
                <w:bCs/>
                <w:sz w:val="24"/>
              </w:rPr>
            </w:pPr>
            <w:r>
              <w:rPr>
                <w:rFonts w:ascii="Times New Roman" w:hAnsi="Times New Roman" w:eastAsia="仿宋_GB2312"/>
                <w:bCs/>
                <w:kern w:val="0"/>
                <w:sz w:val="24"/>
              </w:rPr>
              <w:t>节水措施落实情况</w:t>
            </w:r>
          </w:p>
        </w:tc>
        <w:tc>
          <w:tcPr>
            <w:tcW w:w="4492" w:type="dxa"/>
            <w:vAlign w:val="center"/>
          </w:tcPr>
          <w:p w14:paraId="7B8BED73">
            <w:pPr>
              <w:jc w:val="center"/>
              <w:outlineLvl w:val="0"/>
              <w:rPr>
                <w:rFonts w:ascii="Times New Roman" w:hAnsi="Times New Roman" w:eastAsia="仿宋_GB2312"/>
                <w:bCs/>
                <w:sz w:val="24"/>
              </w:rPr>
            </w:pPr>
            <w:r>
              <w:rPr>
                <w:rFonts w:ascii="Times New Roman" w:hAnsi="Times New Roman" w:eastAsia="仿宋_GB2312"/>
                <w:bCs/>
                <w:kern w:val="0"/>
                <w:sz w:val="24"/>
              </w:rPr>
              <w:t>未按规定落实节水</w:t>
            </w:r>
            <w:r>
              <w:rPr>
                <w:rFonts w:hint="eastAsia" w:ascii="Times New Roman" w:hAnsi="Times New Roman" w:eastAsia="仿宋_GB2312"/>
                <w:bCs/>
                <w:kern w:val="0"/>
                <w:sz w:val="24"/>
              </w:rPr>
              <w:t>“</w:t>
            </w:r>
            <w:r>
              <w:rPr>
                <w:rFonts w:ascii="Times New Roman" w:hAnsi="Times New Roman" w:eastAsia="仿宋_GB2312"/>
                <w:bCs/>
                <w:kern w:val="0"/>
                <w:sz w:val="24"/>
              </w:rPr>
              <w:t>三同时</w:t>
            </w:r>
            <w:r>
              <w:rPr>
                <w:rFonts w:hint="eastAsia" w:ascii="Times New Roman" w:hAnsi="Times New Roman" w:eastAsia="仿宋_GB2312"/>
                <w:bCs/>
                <w:kern w:val="0"/>
                <w:sz w:val="24"/>
              </w:rPr>
              <w:t>”</w:t>
            </w:r>
            <w:r>
              <w:rPr>
                <w:rFonts w:ascii="Times New Roman" w:hAnsi="Times New Roman" w:eastAsia="仿宋_GB2312"/>
                <w:bCs/>
                <w:kern w:val="0"/>
                <w:sz w:val="24"/>
              </w:rPr>
              <w:t>制度，循环用水设施运行、非常规水源利用、节水器具使用等存在问题</w:t>
            </w:r>
          </w:p>
        </w:tc>
        <w:tc>
          <w:tcPr>
            <w:tcW w:w="1308" w:type="dxa"/>
            <w:vAlign w:val="center"/>
          </w:tcPr>
          <w:p w14:paraId="42213E17">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r>
      <w:tr w14:paraId="2377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Merge w:val="restart"/>
            <w:vAlign w:val="center"/>
          </w:tcPr>
          <w:p w14:paraId="12FCA74A">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农业</w:t>
            </w:r>
          </w:p>
        </w:tc>
        <w:tc>
          <w:tcPr>
            <w:tcW w:w="1871" w:type="dxa"/>
            <w:vAlign w:val="center"/>
          </w:tcPr>
          <w:p w14:paraId="01AA7B82">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用水效率</w:t>
            </w:r>
          </w:p>
        </w:tc>
        <w:tc>
          <w:tcPr>
            <w:tcW w:w="4492" w:type="dxa"/>
            <w:vAlign w:val="center"/>
          </w:tcPr>
          <w:p w14:paraId="0450D17E">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灌溉水有效利用系数低于区域管控标准</w:t>
            </w:r>
          </w:p>
        </w:tc>
        <w:tc>
          <w:tcPr>
            <w:tcW w:w="1308" w:type="dxa"/>
            <w:vAlign w:val="center"/>
          </w:tcPr>
          <w:p w14:paraId="2B818926">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r>
      <w:tr w14:paraId="166B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Merge w:val="continue"/>
            <w:vAlign w:val="center"/>
          </w:tcPr>
          <w:p w14:paraId="2E2D3B64">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1871" w:type="dxa"/>
            <w:vAlign w:val="center"/>
          </w:tcPr>
          <w:p w14:paraId="184C24B0">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种植结构</w:t>
            </w:r>
          </w:p>
        </w:tc>
        <w:tc>
          <w:tcPr>
            <w:tcW w:w="4492" w:type="dxa"/>
            <w:vAlign w:val="center"/>
          </w:tcPr>
          <w:p w14:paraId="3C283C5B">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超计划种植高耗水作物，未落实种植结构调整要求</w:t>
            </w:r>
          </w:p>
        </w:tc>
        <w:tc>
          <w:tcPr>
            <w:tcW w:w="1308" w:type="dxa"/>
            <w:vAlign w:val="center"/>
          </w:tcPr>
          <w:p w14:paraId="6EA04B08">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r>
      <w:tr w14:paraId="6BD2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Merge w:val="restart"/>
            <w:vAlign w:val="center"/>
          </w:tcPr>
          <w:p w14:paraId="2FEEF169">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服务业</w:t>
            </w:r>
          </w:p>
        </w:tc>
        <w:tc>
          <w:tcPr>
            <w:tcW w:w="1871" w:type="dxa"/>
            <w:vAlign w:val="center"/>
          </w:tcPr>
          <w:p w14:paraId="7CB010EC">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特种行业经营</w:t>
            </w:r>
          </w:p>
        </w:tc>
        <w:tc>
          <w:tcPr>
            <w:tcW w:w="4492" w:type="dxa"/>
            <w:vAlign w:val="center"/>
          </w:tcPr>
          <w:p w14:paraId="09862E64">
            <w:pPr>
              <w:pStyle w:val="16"/>
              <w:spacing w:before="0" w:beforeAutospacing="0" w:after="0" w:afterAutospacing="0" w:line="240" w:lineRule="auto"/>
              <w:jc w:val="center"/>
              <w:outlineLvl w:val="0"/>
              <w:rPr>
                <w:rFonts w:hint="default" w:ascii="Times New Roman" w:hAnsi="Times New Roman" w:eastAsia="仿宋_GB2312" w:cs="Times New Roman"/>
                <w:bCs/>
                <w:lang w:val="en-US" w:eastAsia="zh-CN"/>
              </w:rPr>
            </w:pPr>
            <w:r>
              <w:rPr>
                <w:rFonts w:ascii="Times New Roman" w:hAnsi="Times New Roman" w:eastAsia="仿宋_GB2312" w:cs="Times New Roman"/>
                <w:bCs/>
              </w:rPr>
              <w:t>洗浴、洗车、高尔夫、温泉等特种行业</w:t>
            </w:r>
            <w:r>
              <w:rPr>
                <w:rFonts w:hint="eastAsia" w:ascii="仿宋_GB2312" w:hAnsi="仿宋_GB2312" w:eastAsia="仿宋_GB2312" w:cs="仿宋_GB2312"/>
                <w:bCs/>
              </w:rPr>
              <w:t>存在</w:t>
            </w:r>
            <w:r>
              <w:rPr>
                <w:rFonts w:ascii="Times New Roman" w:hAnsi="Times New Roman" w:eastAsia="仿宋_GB2312" w:cs="Times New Roman"/>
                <w:bCs/>
              </w:rPr>
              <w:t>无证经营</w:t>
            </w:r>
            <w:r>
              <w:rPr>
                <w:rFonts w:hint="eastAsia" w:ascii="Times New Roman" w:hAnsi="Times New Roman" w:eastAsia="仿宋_GB2312" w:cs="Times New Roman"/>
                <w:bCs/>
                <w:lang w:val="en-US" w:eastAsia="zh-CN"/>
              </w:rPr>
              <w:t>情况</w:t>
            </w:r>
          </w:p>
        </w:tc>
        <w:tc>
          <w:tcPr>
            <w:tcW w:w="1308" w:type="dxa"/>
            <w:vAlign w:val="center"/>
          </w:tcPr>
          <w:p w14:paraId="7BAE6128">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r>
      <w:tr w14:paraId="21248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Merge w:val="continue"/>
            <w:vAlign w:val="center"/>
          </w:tcPr>
          <w:p w14:paraId="788FEC64">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1871" w:type="dxa"/>
            <w:vAlign w:val="center"/>
          </w:tcPr>
          <w:p w14:paraId="446CBC21">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循环用水设施</w:t>
            </w:r>
          </w:p>
        </w:tc>
        <w:tc>
          <w:tcPr>
            <w:tcW w:w="4492" w:type="dxa"/>
            <w:vAlign w:val="center"/>
          </w:tcPr>
          <w:p w14:paraId="1A7A04F3">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特种行业未按规定安装运行循环用水设施</w:t>
            </w:r>
          </w:p>
        </w:tc>
        <w:tc>
          <w:tcPr>
            <w:tcW w:w="1308" w:type="dxa"/>
            <w:vAlign w:val="center"/>
          </w:tcPr>
          <w:p w14:paraId="561C9247">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r>
      <w:tr w14:paraId="2DE05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Merge w:val="continue"/>
            <w:vAlign w:val="center"/>
          </w:tcPr>
          <w:p w14:paraId="11CA5FA6">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1871" w:type="dxa"/>
            <w:vAlign w:val="center"/>
          </w:tcPr>
          <w:p w14:paraId="1BC40DCB">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节水器具</w:t>
            </w:r>
          </w:p>
        </w:tc>
        <w:tc>
          <w:tcPr>
            <w:tcW w:w="4492" w:type="dxa"/>
            <w:vAlign w:val="center"/>
          </w:tcPr>
          <w:p w14:paraId="4B51D7D9">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用水器具未达到节水型器具标准</w:t>
            </w:r>
          </w:p>
        </w:tc>
        <w:tc>
          <w:tcPr>
            <w:tcW w:w="1308" w:type="dxa"/>
            <w:vAlign w:val="center"/>
          </w:tcPr>
          <w:p w14:paraId="1DD27507">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r>
      <w:tr w14:paraId="0F92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Merge w:val="restart"/>
            <w:vAlign w:val="center"/>
          </w:tcPr>
          <w:p w14:paraId="12306BB4">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建筑业</w:t>
            </w:r>
          </w:p>
        </w:tc>
        <w:tc>
          <w:tcPr>
            <w:tcW w:w="1871" w:type="dxa"/>
            <w:vAlign w:val="center"/>
          </w:tcPr>
          <w:p w14:paraId="66A08F63">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临时用水情况</w:t>
            </w:r>
          </w:p>
        </w:tc>
        <w:tc>
          <w:tcPr>
            <w:tcW w:w="4492" w:type="dxa"/>
            <w:vAlign w:val="center"/>
          </w:tcPr>
          <w:p w14:paraId="38A9AF3E">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未</w:t>
            </w:r>
            <w:r>
              <w:rPr>
                <w:rFonts w:hint="eastAsia" w:ascii="Times New Roman" w:hAnsi="Times New Roman" w:eastAsia="仿宋_GB2312" w:cs="Times New Roman"/>
                <w:bCs/>
                <w:lang w:val="en-US" w:eastAsia="zh-CN"/>
              </w:rPr>
              <w:t>及时</w:t>
            </w:r>
            <w:r>
              <w:rPr>
                <w:rFonts w:ascii="Times New Roman" w:hAnsi="Times New Roman" w:eastAsia="仿宋_GB2312" w:cs="Times New Roman"/>
                <w:bCs/>
              </w:rPr>
              <w:t>办理临时用水指标、或超期未续期</w:t>
            </w:r>
          </w:p>
        </w:tc>
        <w:tc>
          <w:tcPr>
            <w:tcW w:w="1308" w:type="dxa"/>
            <w:vAlign w:val="center"/>
          </w:tcPr>
          <w:p w14:paraId="60B4B50A">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r>
      <w:tr w14:paraId="5888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Merge w:val="continue"/>
            <w:vAlign w:val="center"/>
          </w:tcPr>
          <w:p w14:paraId="73F45B48">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1871" w:type="dxa"/>
            <w:vAlign w:val="center"/>
          </w:tcPr>
          <w:p w14:paraId="005EC223">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节水设施备案</w:t>
            </w:r>
          </w:p>
        </w:tc>
        <w:tc>
          <w:tcPr>
            <w:tcW w:w="4492" w:type="dxa"/>
            <w:vAlign w:val="center"/>
          </w:tcPr>
          <w:p w14:paraId="4E4A5842">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项目建设完毕后节水设施未及时备案</w:t>
            </w:r>
          </w:p>
        </w:tc>
        <w:tc>
          <w:tcPr>
            <w:tcW w:w="1308" w:type="dxa"/>
            <w:vAlign w:val="center"/>
          </w:tcPr>
          <w:p w14:paraId="1528C7E1">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r>
      <w:tr w14:paraId="7D56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Merge w:val="continue"/>
            <w:vAlign w:val="center"/>
          </w:tcPr>
          <w:p w14:paraId="0F6731CB">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1871" w:type="dxa"/>
            <w:vAlign w:val="center"/>
          </w:tcPr>
          <w:p w14:paraId="04EDFC8F">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施工节水措施</w:t>
            </w:r>
          </w:p>
        </w:tc>
        <w:tc>
          <w:tcPr>
            <w:tcW w:w="4492" w:type="dxa"/>
            <w:vAlign w:val="center"/>
          </w:tcPr>
          <w:p w14:paraId="38FEBC30">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未按规定落实施工节水措施，跑冒滴漏严重</w:t>
            </w:r>
          </w:p>
        </w:tc>
        <w:tc>
          <w:tcPr>
            <w:tcW w:w="1308" w:type="dxa"/>
            <w:vAlign w:val="center"/>
          </w:tcPr>
          <w:p w14:paraId="1F8646CB">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r>
      <w:tr w14:paraId="73A42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Align w:val="center"/>
          </w:tcPr>
          <w:p w14:paraId="54A1C4C9">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环境卫生</w:t>
            </w:r>
          </w:p>
        </w:tc>
        <w:tc>
          <w:tcPr>
            <w:tcW w:w="1871" w:type="dxa"/>
            <w:shd w:val="clear" w:color="auto" w:fill="auto"/>
            <w:vAlign w:val="center"/>
          </w:tcPr>
          <w:p w14:paraId="5D07467C">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临时用水情况</w:t>
            </w:r>
          </w:p>
        </w:tc>
        <w:tc>
          <w:tcPr>
            <w:tcW w:w="4492" w:type="dxa"/>
            <w:shd w:val="clear" w:color="auto" w:fill="auto"/>
            <w:vAlign w:val="center"/>
          </w:tcPr>
          <w:p w14:paraId="7B27D95C">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未</w:t>
            </w:r>
            <w:r>
              <w:rPr>
                <w:rFonts w:hint="eastAsia" w:ascii="Times New Roman" w:hAnsi="Times New Roman" w:eastAsia="仿宋_GB2312" w:cs="Times New Roman"/>
                <w:bCs/>
                <w:lang w:val="en-US" w:eastAsia="zh-CN"/>
              </w:rPr>
              <w:t>及时</w:t>
            </w:r>
            <w:r>
              <w:rPr>
                <w:rFonts w:ascii="Times New Roman" w:hAnsi="Times New Roman" w:eastAsia="仿宋_GB2312" w:cs="Times New Roman"/>
                <w:bCs/>
              </w:rPr>
              <w:t>办理临时用水指标、或超期未续期</w:t>
            </w:r>
          </w:p>
        </w:tc>
        <w:tc>
          <w:tcPr>
            <w:tcW w:w="1308" w:type="dxa"/>
            <w:shd w:val="clear" w:color="auto" w:fill="auto"/>
            <w:vAlign w:val="center"/>
          </w:tcPr>
          <w:p w14:paraId="42CAA837">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r>
      <w:tr w14:paraId="0343E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9" w:type="dxa"/>
            <w:vAlign w:val="center"/>
          </w:tcPr>
          <w:p w14:paraId="7A9F0A5F">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园林绿化</w:t>
            </w:r>
          </w:p>
        </w:tc>
        <w:tc>
          <w:tcPr>
            <w:tcW w:w="1871" w:type="dxa"/>
            <w:shd w:val="clear" w:color="auto" w:fill="auto"/>
            <w:vAlign w:val="center"/>
          </w:tcPr>
          <w:p w14:paraId="425DD8B8">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临时用水情况</w:t>
            </w:r>
          </w:p>
        </w:tc>
        <w:tc>
          <w:tcPr>
            <w:tcW w:w="4492" w:type="dxa"/>
            <w:shd w:val="clear" w:color="auto" w:fill="auto"/>
            <w:vAlign w:val="center"/>
          </w:tcPr>
          <w:p w14:paraId="254FEE93">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未</w:t>
            </w:r>
            <w:r>
              <w:rPr>
                <w:rFonts w:hint="eastAsia" w:ascii="Times New Roman" w:hAnsi="Times New Roman" w:eastAsia="仿宋_GB2312" w:cs="Times New Roman"/>
                <w:bCs/>
                <w:lang w:val="en-US" w:eastAsia="zh-CN"/>
              </w:rPr>
              <w:t>及时</w:t>
            </w:r>
            <w:r>
              <w:rPr>
                <w:rFonts w:ascii="Times New Roman" w:hAnsi="Times New Roman" w:eastAsia="仿宋_GB2312" w:cs="Times New Roman"/>
                <w:bCs/>
              </w:rPr>
              <w:t>办理临时用水指标、或超期未续期</w:t>
            </w:r>
          </w:p>
        </w:tc>
        <w:tc>
          <w:tcPr>
            <w:tcW w:w="1308" w:type="dxa"/>
            <w:shd w:val="clear" w:color="auto" w:fill="auto"/>
            <w:vAlign w:val="center"/>
          </w:tcPr>
          <w:p w14:paraId="06804E2E">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r>
    </w:tbl>
    <w:p w14:paraId="00D26988">
      <w:pPr>
        <w:rPr>
          <w:rFonts w:ascii="黑体" w:hAnsi="黑体" w:eastAsia="黑体" w:cs="黑体"/>
          <w:bCs/>
          <w:sz w:val="24"/>
        </w:rPr>
      </w:pPr>
      <w:r>
        <w:rPr>
          <w:rFonts w:hint="eastAsia" w:ascii="黑体" w:hAnsi="黑体" w:eastAsia="黑体" w:cs="黑体"/>
          <w:bCs/>
          <w:sz w:val="24"/>
        </w:rPr>
        <w:br w:type="page"/>
      </w:r>
    </w:p>
    <w:p w14:paraId="232748A5">
      <w:pPr>
        <w:spacing w:after="156" w:afterLines="50" w:line="560" w:lineRule="exact"/>
        <w:jc w:val="center"/>
        <w:outlineLvl w:val="0"/>
        <w:rPr>
          <w:rFonts w:ascii="黑体" w:hAnsi="黑体" w:eastAsia="黑体" w:cs="黑体"/>
          <w:bCs/>
          <w:sz w:val="24"/>
        </w:rPr>
      </w:pPr>
      <w:r>
        <w:rPr>
          <w:rFonts w:hint="eastAsia" w:ascii="黑体" w:hAnsi="黑体" w:eastAsia="黑体" w:cs="黑体"/>
          <w:bCs/>
          <w:sz w:val="24"/>
        </w:rPr>
        <w:t>表3信用评价指标及评分标准（公共信用）</w:t>
      </w:r>
    </w:p>
    <w:tbl>
      <w:tblPr>
        <w:tblStyle w:val="19"/>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893"/>
        <w:gridCol w:w="2538"/>
        <w:gridCol w:w="886"/>
        <w:gridCol w:w="927"/>
        <w:gridCol w:w="3040"/>
      </w:tblGrid>
      <w:tr w14:paraId="2FDD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blHeader/>
          <w:jc w:val="center"/>
        </w:trPr>
        <w:tc>
          <w:tcPr>
            <w:tcW w:w="754" w:type="dxa"/>
            <w:vAlign w:val="center"/>
          </w:tcPr>
          <w:p w14:paraId="351AAB4C">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序号</w:t>
            </w:r>
          </w:p>
        </w:tc>
        <w:tc>
          <w:tcPr>
            <w:tcW w:w="893" w:type="dxa"/>
            <w:vAlign w:val="center"/>
          </w:tcPr>
          <w:p w14:paraId="5B2A6148">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类别</w:t>
            </w:r>
          </w:p>
        </w:tc>
        <w:tc>
          <w:tcPr>
            <w:tcW w:w="2538" w:type="dxa"/>
            <w:vAlign w:val="center"/>
          </w:tcPr>
          <w:p w14:paraId="03E2E11D">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评价指标</w:t>
            </w:r>
          </w:p>
        </w:tc>
        <w:tc>
          <w:tcPr>
            <w:tcW w:w="886" w:type="dxa"/>
            <w:vAlign w:val="center"/>
          </w:tcPr>
          <w:p w14:paraId="31E2B827">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严重</w:t>
            </w:r>
          </w:p>
          <w:p w14:paraId="61BF86DC">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程度</w:t>
            </w:r>
          </w:p>
        </w:tc>
        <w:tc>
          <w:tcPr>
            <w:tcW w:w="927" w:type="dxa"/>
            <w:vAlign w:val="center"/>
          </w:tcPr>
          <w:p w14:paraId="0BA585D5">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扣分分值</w:t>
            </w:r>
          </w:p>
        </w:tc>
        <w:tc>
          <w:tcPr>
            <w:tcW w:w="3040" w:type="dxa"/>
            <w:vAlign w:val="center"/>
          </w:tcPr>
          <w:p w14:paraId="680C0309">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法律法规依据</w:t>
            </w:r>
          </w:p>
        </w:tc>
      </w:tr>
      <w:tr w14:paraId="268BC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blHeader/>
          <w:jc w:val="center"/>
        </w:trPr>
        <w:tc>
          <w:tcPr>
            <w:tcW w:w="754" w:type="dxa"/>
            <w:vAlign w:val="center"/>
          </w:tcPr>
          <w:p w14:paraId="591772D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w:t>
            </w:r>
          </w:p>
        </w:tc>
        <w:tc>
          <w:tcPr>
            <w:tcW w:w="893" w:type="dxa"/>
            <w:vAlign w:val="center"/>
          </w:tcPr>
          <w:p w14:paraId="739D36C8">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司法信息</w:t>
            </w:r>
          </w:p>
        </w:tc>
        <w:tc>
          <w:tcPr>
            <w:tcW w:w="2538" w:type="dxa"/>
            <w:vAlign w:val="center"/>
          </w:tcPr>
          <w:p w14:paraId="714B9BF3">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被列为失信被执行人</w:t>
            </w:r>
          </w:p>
        </w:tc>
        <w:tc>
          <w:tcPr>
            <w:tcW w:w="886" w:type="dxa"/>
            <w:vAlign w:val="center"/>
          </w:tcPr>
          <w:p w14:paraId="7CAABEDF">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严重</w:t>
            </w:r>
          </w:p>
        </w:tc>
        <w:tc>
          <w:tcPr>
            <w:tcW w:w="927" w:type="dxa"/>
            <w:vAlign w:val="center"/>
          </w:tcPr>
          <w:p w14:paraId="3D696C1F">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c>
          <w:tcPr>
            <w:tcW w:w="3040" w:type="dxa"/>
            <w:vAlign w:val="center"/>
          </w:tcPr>
          <w:p w14:paraId="1065A586">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国务院办公厅印发《关于建立企业信用状况综合评价体系的实施方案》的通知</w:t>
            </w:r>
          </w:p>
        </w:tc>
      </w:tr>
      <w:tr w14:paraId="5D6A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blHeader/>
          <w:jc w:val="center"/>
        </w:trPr>
        <w:tc>
          <w:tcPr>
            <w:tcW w:w="754" w:type="dxa"/>
            <w:vAlign w:val="center"/>
          </w:tcPr>
          <w:p w14:paraId="5C0585C7">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w:t>
            </w:r>
          </w:p>
        </w:tc>
        <w:tc>
          <w:tcPr>
            <w:tcW w:w="893" w:type="dxa"/>
            <w:vMerge w:val="restart"/>
            <w:vAlign w:val="center"/>
          </w:tcPr>
          <w:p w14:paraId="5AE9F8B6">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合同履约信息</w:t>
            </w:r>
          </w:p>
        </w:tc>
        <w:tc>
          <w:tcPr>
            <w:tcW w:w="2538" w:type="dxa"/>
            <w:vAlign w:val="center"/>
          </w:tcPr>
          <w:p w14:paraId="5CF73AA7">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经司法程序认定的违约人</w:t>
            </w:r>
          </w:p>
        </w:tc>
        <w:tc>
          <w:tcPr>
            <w:tcW w:w="886" w:type="dxa"/>
            <w:vAlign w:val="center"/>
          </w:tcPr>
          <w:p w14:paraId="1391FF06">
            <w:pPr>
              <w:jc w:val="center"/>
              <w:outlineLvl w:val="0"/>
              <w:rPr>
                <w:rFonts w:ascii="Times New Roman" w:hAnsi="Times New Roman" w:eastAsia="仿宋_GB2312"/>
                <w:bCs/>
                <w:sz w:val="24"/>
              </w:rPr>
            </w:pPr>
            <w:r>
              <w:rPr>
                <w:rFonts w:ascii="Times New Roman" w:hAnsi="Times New Roman" w:eastAsia="仿宋_GB2312"/>
                <w:bCs/>
                <w:sz w:val="24"/>
              </w:rPr>
              <w:t>一般</w:t>
            </w:r>
          </w:p>
        </w:tc>
        <w:tc>
          <w:tcPr>
            <w:tcW w:w="927" w:type="dxa"/>
            <w:vAlign w:val="center"/>
          </w:tcPr>
          <w:p w14:paraId="62F1414D">
            <w:pPr>
              <w:jc w:val="center"/>
              <w:outlineLvl w:val="0"/>
              <w:rPr>
                <w:rFonts w:ascii="Times New Roman" w:hAnsi="Times New Roman" w:eastAsia="仿宋_GB2312"/>
                <w:bCs/>
                <w:sz w:val="24"/>
              </w:rPr>
            </w:pPr>
            <w:r>
              <w:rPr>
                <w:rFonts w:ascii="Times New Roman" w:hAnsi="Times New Roman" w:eastAsia="仿宋_GB2312"/>
                <w:bCs/>
                <w:sz w:val="24"/>
              </w:rPr>
              <w:t>5</w:t>
            </w:r>
          </w:p>
        </w:tc>
        <w:tc>
          <w:tcPr>
            <w:tcW w:w="3040" w:type="dxa"/>
            <w:vAlign w:val="center"/>
          </w:tcPr>
          <w:p w14:paraId="5C6302AF">
            <w:pPr>
              <w:jc w:val="center"/>
              <w:outlineLvl w:val="0"/>
              <w:rPr>
                <w:rFonts w:ascii="Times New Roman" w:hAnsi="Times New Roman" w:eastAsia="仿宋_GB2312"/>
                <w:bCs/>
                <w:kern w:val="0"/>
                <w:sz w:val="24"/>
              </w:rPr>
            </w:pPr>
            <w:r>
              <w:rPr>
                <w:rFonts w:ascii="Times New Roman" w:hAnsi="Times New Roman" w:eastAsia="仿宋_GB2312"/>
                <w:bCs/>
                <w:kern w:val="0"/>
                <w:sz w:val="24"/>
              </w:rPr>
              <w:t>国务院办公厅印发《关于建立企业信用状况综合评价体系的实施方案》的通知</w:t>
            </w:r>
          </w:p>
        </w:tc>
      </w:tr>
      <w:tr w14:paraId="6A60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blHeader/>
          <w:jc w:val="center"/>
        </w:trPr>
        <w:tc>
          <w:tcPr>
            <w:tcW w:w="754" w:type="dxa"/>
            <w:vAlign w:val="center"/>
          </w:tcPr>
          <w:p w14:paraId="673A1773">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3</w:t>
            </w:r>
          </w:p>
        </w:tc>
        <w:tc>
          <w:tcPr>
            <w:tcW w:w="893" w:type="dxa"/>
            <w:vMerge w:val="continue"/>
            <w:vAlign w:val="center"/>
          </w:tcPr>
          <w:p w14:paraId="3AA294BC">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538" w:type="dxa"/>
            <w:vAlign w:val="center"/>
          </w:tcPr>
          <w:p w14:paraId="0A30B0BD">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按程序认定为拖欠企业账款失信人</w:t>
            </w:r>
          </w:p>
        </w:tc>
        <w:tc>
          <w:tcPr>
            <w:tcW w:w="886" w:type="dxa"/>
            <w:vAlign w:val="center"/>
          </w:tcPr>
          <w:p w14:paraId="08F8FE3B">
            <w:pPr>
              <w:jc w:val="center"/>
              <w:outlineLvl w:val="0"/>
              <w:rPr>
                <w:rFonts w:ascii="Times New Roman" w:hAnsi="Times New Roman" w:eastAsia="仿宋_GB2312"/>
                <w:bCs/>
                <w:sz w:val="24"/>
              </w:rPr>
            </w:pPr>
            <w:r>
              <w:rPr>
                <w:rFonts w:ascii="Times New Roman" w:hAnsi="Times New Roman" w:eastAsia="仿宋_GB2312"/>
                <w:bCs/>
                <w:sz w:val="24"/>
              </w:rPr>
              <w:t>一般</w:t>
            </w:r>
          </w:p>
        </w:tc>
        <w:tc>
          <w:tcPr>
            <w:tcW w:w="927" w:type="dxa"/>
            <w:vAlign w:val="center"/>
          </w:tcPr>
          <w:p w14:paraId="533DE06B">
            <w:pPr>
              <w:jc w:val="center"/>
              <w:outlineLvl w:val="0"/>
              <w:rPr>
                <w:rFonts w:ascii="Times New Roman" w:hAnsi="Times New Roman" w:eastAsia="仿宋_GB2312"/>
                <w:bCs/>
                <w:sz w:val="24"/>
              </w:rPr>
            </w:pPr>
            <w:r>
              <w:rPr>
                <w:rFonts w:ascii="Times New Roman" w:hAnsi="Times New Roman" w:eastAsia="仿宋_GB2312"/>
                <w:bCs/>
                <w:sz w:val="24"/>
              </w:rPr>
              <w:t>5</w:t>
            </w:r>
          </w:p>
        </w:tc>
        <w:tc>
          <w:tcPr>
            <w:tcW w:w="3040" w:type="dxa"/>
            <w:vAlign w:val="center"/>
          </w:tcPr>
          <w:p w14:paraId="07D7518D">
            <w:pPr>
              <w:jc w:val="center"/>
              <w:outlineLvl w:val="0"/>
              <w:rPr>
                <w:rFonts w:ascii="Times New Roman" w:hAnsi="Times New Roman" w:eastAsia="仿宋_GB2312"/>
                <w:bCs/>
                <w:kern w:val="0"/>
                <w:sz w:val="24"/>
              </w:rPr>
            </w:pPr>
            <w:r>
              <w:rPr>
                <w:rFonts w:ascii="Times New Roman" w:hAnsi="Times New Roman" w:eastAsia="仿宋_GB2312"/>
                <w:bCs/>
                <w:kern w:val="0"/>
                <w:sz w:val="24"/>
              </w:rPr>
              <w:t>国务院办公厅印发《关于建立企业信用状况综合评价体系的实施方案》的通知</w:t>
            </w:r>
          </w:p>
        </w:tc>
      </w:tr>
      <w:tr w14:paraId="0FD5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blHeader/>
          <w:jc w:val="center"/>
        </w:trPr>
        <w:tc>
          <w:tcPr>
            <w:tcW w:w="754" w:type="dxa"/>
            <w:vAlign w:val="center"/>
          </w:tcPr>
          <w:p w14:paraId="08583221">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4</w:t>
            </w:r>
          </w:p>
        </w:tc>
        <w:tc>
          <w:tcPr>
            <w:tcW w:w="893" w:type="dxa"/>
            <w:vAlign w:val="center"/>
          </w:tcPr>
          <w:p w14:paraId="3A87C14E">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企业登记信息</w:t>
            </w:r>
          </w:p>
        </w:tc>
        <w:tc>
          <w:tcPr>
            <w:tcW w:w="2538" w:type="dxa"/>
            <w:vAlign w:val="center"/>
          </w:tcPr>
          <w:p w14:paraId="050F9259">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列入经营异常名录</w:t>
            </w:r>
          </w:p>
        </w:tc>
        <w:tc>
          <w:tcPr>
            <w:tcW w:w="886" w:type="dxa"/>
            <w:vAlign w:val="center"/>
          </w:tcPr>
          <w:p w14:paraId="416E1EF9">
            <w:pPr>
              <w:jc w:val="center"/>
              <w:outlineLvl w:val="0"/>
              <w:rPr>
                <w:rFonts w:ascii="Times New Roman" w:hAnsi="Times New Roman" w:eastAsia="仿宋_GB2312"/>
                <w:bCs/>
                <w:sz w:val="24"/>
              </w:rPr>
            </w:pPr>
            <w:r>
              <w:rPr>
                <w:rFonts w:ascii="Times New Roman" w:hAnsi="Times New Roman" w:eastAsia="仿宋_GB2312"/>
                <w:bCs/>
                <w:sz w:val="24"/>
              </w:rPr>
              <w:t>较重</w:t>
            </w:r>
          </w:p>
        </w:tc>
        <w:tc>
          <w:tcPr>
            <w:tcW w:w="927" w:type="dxa"/>
            <w:vAlign w:val="center"/>
          </w:tcPr>
          <w:p w14:paraId="38A70A9A">
            <w:pPr>
              <w:jc w:val="center"/>
              <w:outlineLvl w:val="0"/>
              <w:rPr>
                <w:rFonts w:ascii="Times New Roman" w:hAnsi="Times New Roman" w:eastAsia="仿宋_GB2312"/>
                <w:bCs/>
                <w:sz w:val="24"/>
              </w:rPr>
            </w:pPr>
            <w:r>
              <w:rPr>
                <w:rFonts w:ascii="Times New Roman" w:hAnsi="Times New Roman" w:eastAsia="仿宋_GB2312"/>
                <w:bCs/>
                <w:sz w:val="24"/>
              </w:rPr>
              <w:t>10</w:t>
            </w:r>
          </w:p>
        </w:tc>
        <w:tc>
          <w:tcPr>
            <w:tcW w:w="3040" w:type="dxa"/>
            <w:vAlign w:val="center"/>
          </w:tcPr>
          <w:p w14:paraId="7B4E8F1B">
            <w:pPr>
              <w:jc w:val="center"/>
              <w:outlineLvl w:val="0"/>
              <w:rPr>
                <w:rFonts w:ascii="Times New Roman" w:hAnsi="Times New Roman" w:eastAsia="仿宋_GB2312"/>
                <w:bCs/>
                <w:kern w:val="0"/>
                <w:sz w:val="24"/>
              </w:rPr>
            </w:pPr>
            <w:r>
              <w:rPr>
                <w:rFonts w:ascii="Times New Roman" w:hAnsi="Times New Roman" w:eastAsia="仿宋_GB2312"/>
                <w:bCs/>
                <w:kern w:val="0"/>
                <w:sz w:val="24"/>
              </w:rPr>
              <w:t>国务院办公厅印发《关于建立企业信用状况综合评价体系的实施方案》的通知</w:t>
            </w:r>
          </w:p>
        </w:tc>
      </w:tr>
      <w:tr w14:paraId="3AC8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blHeader/>
          <w:jc w:val="center"/>
        </w:trPr>
        <w:tc>
          <w:tcPr>
            <w:tcW w:w="754" w:type="dxa"/>
            <w:vAlign w:val="center"/>
          </w:tcPr>
          <w:p w14:paraId="7A281DBF">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5</w:t>
            </w:r>
          </w:p>
        </w:tc>
        <w:tc>
          <w:tcPr>
            <w:tcW w:w="893" w:type="dxa"/>
            <w:vAlign w:val="center"/>
          </w:tcPr>
          <w:p w14:paraId="700A2092">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行政管理信息</w:t>
            </w:r>
          </w:p>
        </w:tc>
        <w:tc>
          <w:tcPr>
            <w:tcW w:w="2538" w:type="dxa"/>
            <w:vAlign w:val="center"/>
          </w:tcPr>
          <w:p w14:paraId="4F90685D">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被行政处罚</w:t>
            </w:r>
          </w:p>
        </w:tc>
        <w:tc>
          <w:tcPr>
            <w:tcW w:w="886" w:type="dxa"/>
            <w:vAlign w:val="center"/>
          </w:tcPr>
          <w:p w14:paraId="7200A434">
            <w:pPr>
              <w:jc w:val="center"/>
              <w:outlineLvl w:val="0"/>
              <w:rPr>
                <w:rFonts w:ascii="Times New Roman" w:hAnsi="Times New Roman" w:eastAsia="仿宋_GB2312"/>
                <w:bCs/>
                <w:sz w:val="24"/>
              </w:rPr>
            </w:pPr>
            <w:r>
              <w:rPr>
                <w:rFonts w:ascii="Times New Roman" w:hAnsi="Times New Roman" w:eastAsia="仿宋_GB2312"/>
                <w:bCs/>
                <w:sz w:val="24"/>
              </w:rPr>
              <w:t>较重</w:t>
            </w:r>
          </w:p>
        </w:tc>
        <w:tc>
          <w:tcPr>
            <w:tcW w:w="927" w:type="dxa"/>
            <w:vAlign w:val="center"/>
          </w:tcPr>
          <w:p w14:paraId="1DA858BA">
            <w:pPr>
              <w:jc w:val="center"/>
              <w:outlineLvl w:val="0"/>
              <w:rPr>
                <w:rFonts w:ascii="Times New Roman" w:hAnsi="Times New Roman" w:eastAsia="仿宋_GB2312"/>
                <w:bCs/>
                <w:sz w:val="24"/>
              </w:rPr>
            </w:pPr>
            <w:r>
              <w:rPr>
                <w:rFonts w:ascii="Times New Roman" w:hAnsi="Times New Roman" w:eastAsia="仿宋_GB2312"/>
                <w:bCs/>
                <w:sz w:val="24"/>
              </w:rPr>
              <w:t>10</w:t>
            </w:r>
          </w:p>
        </w:tc>
        <w:tc>
          <w:tcPr>
            <w:tcW w:w="3040" w:type="dxa"/>
            <w:vAlign w:val="center"/>
          </w:tcPr>
          <w:p w14:paraId="5E609888">
            <w:pPr>
              <w:jc w:val="center"/>
              <w:outlineLvl w:val="0"/>
              <w:rPr>
                <w:rFonts w:ascii="Times New Roman" w:hAnsi="Times New Roman" w:eastAsia="仿宋_GB2312"/>
                <w:bCs/>
                <w:kern w:val="0"/>
                <w:sz w:val="24"/>
              </w:rPr>
            </w:pPr>
            <w:r>
              <w:rPr>
                <w:rFonts w:ascii="Times New Roman" w:hAnsi="Times New Roman" w:eastAsia="仿宋_GB2312"/>
                <w:bCs/>
                <w:kern w:val="0"/>
                <w:sz w:val="24"/>
              </w:rPr>
              <w:t>国务院办公厅印发《关于建立企业信用状况综合评价体系的实施方案》的通知</w:t>
            </w:r>
          </w:p>
        </w:tc>
      </w:tr>
      <w:tr w14:paraId="2A91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blHeader/>
          <w:jc w:val="center"/>
        </w:trPr>
        <w:tc>
          <w:tcPr>
            <w:tcW w:w="754" w:type="dxa"/>
            <w:vAlign w:val="center"/>
          </w:tcPr>
          <w:p w14:paraId="39C0099E">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6</w:t>
            </w:r>
          </w:p>
        </w:tc>
        <w:tc>
          <w:tcPr>
            <w:tcW w:w="893" w:type="dxa"/>
            <w:vAlign w:val="center"/>
          </w:tcPr>
          <w:p w14:paraId="173DB756">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严重失信</w:t>
            </w:r>
          </w:p>
        </w:tc>
        <w:tc>
          <w:tcPr>
            <w:tcW w:w="2538" w:type="dxa"/>
            <w:vAlign w:val="center"/>
          </w:tcPr>
          <w:p w14:paraId="35AF15EA">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被列入涉企严重失信主体名单</w:t>
            </w:r>
          </w:p>
        </w:tc>
        <w:tc>
          <w:tcPr>
            <w:tcW w:w="886" w:type="dxa"/>
            <w:vAlign w:val="center"/>
          </w:tcPr>
          <w:p w14:paraId="18E88A47">
            <w:pPr>
              <w:jc w:val="center"/>
              <w:outlineLvl w:val="0"/>
              <w:rPr>
                <w:rFonts w:ascii="Times New Roman" w:hAnsi="Times New Roman" w:eastAsia="仿宋_GB2312"/>
                <w:bCs/>
                <w:sz w:val="24"/>
              </w:rPr>
            </w:pPr>
            <w:r>
              <w:rPr>
                <w:rFonts w:ascii="Times New Roman" w:hAnsi="Times New Roman" w:eastAsia="仿宋_GB2312"/>
                <w:bCs/>
                <w:sz w:val="24"/>
              </w:rPr>
              <w:t>严重</w:t>
            </w:r>
          </w:p>
        </w:tc>
        <w:tc>
          <w:tcPr>
            <w:tcW w:w="927" w:type="dxa"/>
            <w:vAlign w:val="center"/>
          </w:tcPr>
          <w:p w14:paraId="2C0D7839">
            <w:pPr>
              <w:jc w:val="center"/>
              <w:outlineLvl w:val="0"/>
              <w:rPr>
                <w:rFonts w:ascii="Times New Roman" w:hAnsi="Times New Roman" w:eastAsia="仿宋_GB2312"/>
                <w:bCs/>
                <w:sz w:val="24"/>
              </w:rPr>
            </w:pPr>
            <w:r>
              <w:rPr>
                <w:rFonts w:ascii="Times New Roman" w:hAnsi="Times New Roman" w:eastAsia="仿宋_GB2312"/>
                <w:bCs/>
                <w:sz w:val="24"/>
              </w:rPr>
              <w:t>20</w:t>
            </w:r>
          </w:p>
        </w:tc>
        <w:tc>
          <w:tcPr>
            <w:tcW w:w="3040" w:type="dxa"/>
            <w:vAlign w:val="center"/>
          </w:tcPr>
          <w:p w14:paraId="1BC9DF8D">
            <w:pPr>
              <w:jc w:val="center"/>
              <w:outlineLvl w:val="0"/>
              <w:rPr>
                <w:rFonts w:ascii="Times New Roman" w:hAnsi="Times New Roman" w:eastAsia="仿宋_GB2312"/>
                <w:bCs/>
                <w:kern w:val="0"/>
                <w:sz w:val="24"/>
              </w:rPr>
            </w:pPr>
            <w:r>
              <w:rPr>
                <w:rFonts w:ascii="Times New Roman" w:hAnsi="Times New Roman" w:eastAsia="仿宋_GB2312"/>
                <w:bCs/>
                <w:kern w:val="0"/>
                <w:sz w:val="24"/>
              </w:rPr>
              <w:t>国务院办公厅印发《关于建立企业信用状况综合评价体系的实施方案》的通知</w:t>
            </w:r>
          </w:p>
        </w:tc>
      </w:tr>
    </w:tbl>
    <w:p w14:paraId="3AE11F1C">
      <w:pPr>
        <w:spacing w:after="156" w:afterLines="50" w:line="560" w:lineRule="exact"/>
        <w:jc w:val="center"/>
        <w:rPr>
          <w:rFonts w:ascii="黑体" w:hAnsi="黑体" w:eastAsia="黑体" w:cs="黑体"/>
          <w:bCs/>
          <w:sz w:val="24"/>
        </w:rPr>
      </w:pPr>
    </w:p>
    <w:p w14:paraId="69734BDD">
      <w:pPr>
        <w:rPr>
          <w:rFonts w:ascii="黑体" w:hAnsi="黑体" w:eastAsia="黑体" w:cs="黑体"/>
          <w:bCs/>
          <w:sz w:val="24"/>
        </w:rPr>
      </w:pPr>
      <w:r>
        <w:rPr>
          <w:rFonts w:hint="eastAsia" w:ascii="黑体" w:hAnsi="黑体" w:eastAsia="黑体" w:cs="黑体"/>
          <w:bCs/>
          <w:sz w:val="24"/>
        </w:rPr>
        <w:br w:type="page"/>
      </w:r>
    </w:p>
    <w:p w14:paraId="07323D32">
      <w:pPr>
        <w:spacing w:after="156" w:afterLines="50" w:line="560" w:lineRule="exact"/>
        <w:jc w:val="center"/>
        <w:outlineLvl w:val="0"/>
        <w:rPr>
          <w:rFonts w:ascii="黑体" w:hAnsi="黑体" w:eastAsia="黑体" w:cs="黑体"/>
          <w:sz w:val="24"/>
        </w:rPr>
      </w:pPr>
      <w:r>
        <w:rPr>
          <w:rFonts w:hint="eastAsia" w:ascii="黑体" w:hAnsi="黑体" w:eastAsia="黑体" w:cs="黑体"/>
          <w:bCs/>
          <w:sz w:val="24"/>
        </w:rPr>
        <w:t>表4信用评价指标及评分标准（行业信用）</w:t>
      </w:r>
    </w:p>
    <w:tbl>
      <w:tblPr>
        <w:tblStyle w:val="19"/>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893"/>
        <w:gridCol w:w="2753"/>
        <w:gridCol w:w="850"/>
        <w:gridCol w:w="893"/>
        <w:gridCol w:w="2896"/>
      </w:tblGrid>
      <w:tr w14:paraId="12A7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blHeader/>
          <w:jc w:val="center"/>
        </w:trPr>
        <w:tc>
          <w:tcPr>
            <w:tcW w:w="753" w:type="dxa"/>
            <w:vMerge w:val="restart"/>
            <w:vAlign w:val="center"/>
          </w:tcPr>
          <w:p w14:paraId="2D626DD3">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序号</w:t>
            </w:r>
          </w:p>
        </w:tc>
        <w:tc>
          <w:tcPr>
            <w:tcW w:w="893" w:type="dxa"/>
            <w:vMerge w:val="restart"/>
            <w:vAlign w:val="center"/>
          </w:tcPr>
          <w:p w14:paraId="341BF625">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类别</w:t>
            </w:r>
          </w:p>
        </w:tc>
        <w:tc>
          <w:tcPr>
            <w:tcW w:w="2753" w:type="dxa"/>
            <w:vMerge w:val="restart"/>
            <w:vAlign w:val="center"/>
          </w:tcPr>
          <w:p w14:paraId="2FBEAFA7">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评价指标</w:t>
            </w:r>
          </w:p>
        </w:tc>
        <w:tc>
          <w:tcPr>
            <w:tcW w:w="850" w:type="dxa"/>
            <w:vMerge w:val="restart"/>
            <w:vAlign w:val="center"/>
          </w:tcPr>
          <w:p w14:paraId="416554B6">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严重</w:t>
            </w:r>
          </w:p>
          <w:p w14:paraId="676FA90D">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程度</w:t>
            </w:r>
          </w:p>
        </w:tc>
        <w:tc>
          <w:tcPr>
            <w:tcW w:w="893" w:type="dxa"/>
            <w:vMerge w:val="restart"/>
            <w:vAlign w:val="center"/>
          </w:tcPr>
          <w:p w14:paraId="41B536E2">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扣分分值</w:t>
            </w:r>
          </w:p>
        </w:tc>
        <w:tc>
          <w:tcPr>
            <w:tcW w:w="2896" w:type="dxa"/>
            <w:vMerge w:val="restart"/>
            <w:vAlign w:val="center"/>
          </w:tcPr>
          <w:p w14:paraId="600749CD">
            <w:pPr>
              <w:pStyle w:val="16"/>
              <w:spacing w:before="0" w:beforeAutospacing="0" w:after="0" w:afterAutospacing="0" w:line="240" w:lineRule="auto"/>
              <w:jc w:val="center"/>
              <w:outlineLvl w:val="0"/>
              <w:rPr>
                <w:rFonts w:ascii="Times New Roman" w:hAnsi="Times New Roman" w:eastAsia="楷体_GB2312" w:cs="Times New Roman"/>
                <w:bCs/>
              </w:rPr>
            </w:pPr>
            <w:r>
              <w:rPr>
                <w:rFonts w:ascii="Times New Roman" w:hAnsi="Times New Roman" w:eastAsia="楷体_GB2312" w:cs="Times New Roman"/>
                <w:bCs/>
              </w:rPr>
              <w:t>法律法规依据</w:t>
            </w:r>
          </w:p>
        </w:tc>
      </w:tr>
      <w:tr w14:paraId="2B77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753" w:type="dxa"/>
            <w:vMerge w:val="continue"/>
            <w:vAlign w:val="center"/>
          </w:tcPr>
          <w:p w14:paraId="3149F1CF">
            <w:pPr>
              <w:pStyle w:val="16"/>
              <w:spacing w:before="0" w:beforeAutospacing="0" w:after="0" w:afterAutospacing="0" w:line="240" w:lineRule="auto"/>
              <w:jc w:val="center"/>
              <w:outlineLvl w:val="0"/>
              <w:rPr>
                <w:rFonts w:ascii="Times New Roman" w:hAnsi="Times New Roman" w:eastAsia="方正楷体_GBK" w:cs="Times New Roman"/>
                <w:bCs/>
              </w:rPr>
            </w:pPr>
          </w:p>
        </w:tc>
        <w:tc>
          <w:tcPr>
            <w:tcW w:w="893" w:type="dxa"/>
            <w:vMerge w:val="continue"/>
            <w:vAlign w:val="center"/>
          </w:tcPr>
          <w:p w14:paraId="7CCE7075">
            <w:pPr>
              <w:pStyle w:val="16"/>
              <w:spacing w:before="0" w:beforeAutospacing="0" w:after="0" w:afterAutospacing="0" w:line="240" w:lineRule="auto"/>
              <w:jc w:val="center"/>
              <w:outlineLvl w:val="0"/>
              <w:rPr>
                <w:rFonts w:ascii="Times New Roman" w:hAnsi="Times New Roman" w:eastAsia="方正楷体_GBK" w:cs="Times New Roman"/>
                <w:bCs/>
              </w:rPr>
            </w:pPr>
          </w:p>
        </w:tc>
        <w:tc>
          <w:tcPr>
            <w:tcW w:w="2753" w:type="dxa"/>
            <w:vMerge w:val="continue"/>
            <w:vAlign w:val="center"/>
          </w:tcPr>
          <w:p w14:paraId="16BD25AD">
            <w:pPr>
              <w:pStyle w:val="16"/>
              <w:spacing w:before="0" w:beforeAutospacing="0" w:after="0" w:afterAutospacing="0" w:line="240" w:lineRule="auto"/>
              <w:jc w:val="center"/>
              <w:outlineLvl w:val="0"/>
              <w:rPr>
                <w:rFonts w:ascii="Times New Roman" w:hAnsi="Times New Roman" w:eastAsia="方正楷体_GBK" w:cs="Times New Roman"/>
                <w:bCs/>
              </w:rPr>
            </w:pPr>
          </w:p>
        </w:tc>
        <w:tc>
          <w:tcPr>
            <w:tcW w:w="850" w:type="dxa"/>
            <w:vMerge w:val="continue"/>
            <w:vAlign w:val="center"/>
          </w:tcPr>
          <w:p w14:paraId="715B2A59">
            <w:pPr>
              <w:pStyle w:val="16"/>
              <w:spacing w:before="0" w:beforeAutospacing="0" w:after="0" w:afterAutospacing="0" w:line="240" w:lineRule="auto"/>
              <w:jc w:val="center"/>
              <w:outlineLvl w:val="0"/>
              <w:rPr>
                <w:rFonts w:ascii="Times New Roman" w:hAnsi="Times New Roman" w:eastAsia="方正楷体_GBK" w:cs="Times New Roman"/>
                <w:bCs/>
              </w:rPr>
            </w:pPr>
          </w:p>
        </w:tc>
        <w:tc>
          <w:tcPr>
            <w:tcW w:w="893" w:type="dxa"/>
            <w:vMerge w:val="continue"/>
            <w:vAlign w:val="center"/>
          </w:tcPr>
          <w:p w14:paraId="517483A1">
            <w:pPr>
              <w:pStyle w:val="16"/>
              <w:spacing w:before="0" w:beforeAutospacing="0" w:after="0" w:afterAutospacing="0" w:line="240" w:lineRule="auto"/>
              <w:jc w:val="center"/>
              <w:outlineLvl w:val="0"/>
              <w:rPr>
                <w:rFonts w:ascii="Times New Roman" w:hAnsi="Times New Roman" w:eastAsia="方正楷体_GBK" w:cs="Times New Roman"/>
                <w:bCs/>
              </w:rPr>
            </w:pPr>
          </w:p>
        </w:tc>
        <w:tc>
          <w:tcPr>
            <w:tcW w:w="2896" w:type="dxa"/>
            <w:vMerge w:val="continue"/>
            <w:vAlign w:val="center"/>
          </w:tcPr>
          <w:p w14:paraId="7DEA9585">
            <w:pPr>
              <w:pStyle w:val="16"/>
              <w:spacing w:before="0" w:beforeAutospacing="0" w:after="0" w:afterAutospacing="0" w:line="240" w:lineRule="auto"/>
              <w:jc w:val="center"/>
              <w:outlineLvl w:val="0"/>
              <w:rPr>
                <w:rFonts w:ascii="Times New Roman" w:hAnsi="Times New Roman" w:eastAsia="方正楷体_GBK" w:cs="Times New Roman"/>
                <w:bCs/>
              </w:rPr>
            </w:pPr>
          </w:p>
        </w:tc>
      </w:tr>
      <w:tr w14:paraId="092B1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753" w:type="dxa"/>
            <w:vAlign w:val="center"/>
          </w:tcPr>
          <w:p w14:paraId="115ED5DB">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w:t>
            </w:r>
          </w:p>
        </w:tc>
        <w:tc>
          <w:tcPr>
            <w:tcW w:w="893" w:type="dxa"/>
            <w:vMerge w:val="restart"/>
            <w:vAlign w:val="center"/>
          </w:tcPr>
          <w:p w14:paraId="7E3EFD5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取水许可行为</w:t>
            </w:r>
          </w:p>
        </w:tc>
        <w:tc>
          <w:tcPr>
            <w:tcW w:w="2753" w:type="dxa"/>
            <w:vAlign w:val="center"/>
          </w:tcPr>
          <w:p w14:paraId="5189B0B8">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未经批准擅自取水的</w:t>
            </w:r>
            <w:r>
              <w:rPr>
                <w:rFonts w:ascii="Times New Roman" w:hAnsi="Times New Roman" w:eastAsia="仿宋_GB2312" w:cs="Times New Roman"/>
                <w:bCs/>
                <w:vertAlign w:val="superscript"/>
              </w:rPr>
              <w:t>①</w:t>
            </w:r>
          </w:p>
        </w:tc>
        <w:tc>
          <w:tcPr>
            <w:tcW w:w="850" w:type="dxa"/>
            <w:vAlign w:val="center"/>
          </w:tcPr>
          <w:p w14:paraId="2A4D7303">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严重</w:t>
            </w:r>
          </w:p>
        </w:tc>
        <w:tc>
          <w:tcPr>
            <w:tcW w:w="893" w:type="dxa"/>
            <w:vAlign w:val="center"/>
          </w:tcPr>
          <w:p w14:paraId="784210B4">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c>
          <w:tcPr>
            <w:tcW w:w="2896" w:type="dxa"/>
            <w:vAlign w:val="center"/>
          </w:tcPr>
          <w:p w14:paraId="1987C8B2">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《中华人民共和国水法》第六十九条；《取水许可和水资源费征收管理条例》第四十八条</w:t>
            </w:r>
          </w:p>
        </w:tc>
      </w:tr>
      <w:tr w14:paraId="331B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753" w:type="dxa"/>
            <w:vAlign w:val="center"/>
          </w:tcPr>
          <w:p w14:paraId="5664F666">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w:t>
            </w:r>
          </w:p>
        </w:tc>
        <w:tc>
          <w:tcPr>
            <w:tcW w:w="893" w:type="dxa"/>
            <w:vMerge w:val="continue"/>
            <w:vAlign w:val="center"/>
          </w:tcPr>
          <w:p w14:paraId="7A4D9306">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753" w:type="dxa"/>
            <w:vAlign w:val="center"/>
          </w:tcPr>
          <w:p w14:paraId="0D0E4392">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未依照批准的取水许可规定条件取水的</w:t>
            </w:r>
            <w:r>
              <w:rPr>
                <w:rFonts w:ascii="Times New Roman" w:hAnsi="Times New Roman" w:eastAsia="仿宋_GB2312" w:cs="Times New Roman"/>
                <w:bCs/>
                <w:vertAlign w:val="superscript"/>
              </w:rPr>
              <w:t>②</w:t>
            </w:r>
          </w:p>
        </w:tc>
        <w:tc>
          <w:tcPr>
            <w:tcW w:w="850" w:type="dxa"/>
            <w:vAlign w:val="center"/>
          </w:tcPr>
          <w:p w14:paraId="7742EB36">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较重</w:t>
            </w:r>
          </w:p>
        </w:tc>
        <w:tc>
          <w:tcPr>
            <w:tcW w:w="893" w:type="dxa"/>
            <w:vAlign w:val="center"/>
          </w:tcPr>
          <w:p w14:paraId="5D467924">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c>
          <w:tcPr>
            <w:tcW w:w="2896" w:type="dxa"/>
            <w:vAlign w:val="center"/>
          </w:tcPr>
          <w:p w14:paraId="73A24419">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《中华人民共和国水法》第六十九条；《取水许可和水资源费征收管理条例》第四十八条</w:t>
            </w:r>
          </w:p>
        </w:tc>
      </w:tr>
      <w:tr w14:paraId="091A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753" w:type="dxa"/>
            <w:vAlign w:val="center"/>
          </w:tcPr>
          <w:p w14:paraId="3F4227EB">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3</w:t>
            </w:r>
          </w:p>
        </w:tc>
        <w:tc>
          <w:tcPr>
            <w:tcW w:w="893" w:type="dxa"/>
            <w:vMerge w:val="continue"/>
            <w:vAlign w:val="center"/>
          </w:tcPr>
          <w:p w14:paraId="680242BA">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753" w:type="dxa"/>
            <w:vAlign w:val="center"/>
          </w:tcPr>
          <w:p w14:paraId="39C6CA0A">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未取得取水申请批准文件擅自建设取水工程或者设施的</w:t>
            </w:r>
          </w:p>
        </w:tc>
        <w:tc>
          <w:tcPr>
            <w:tcW w:w="850" w:type="dxa"/>
            <w:vAlign w:val="center"/>
          </w:tcPr>
          <w:p w14:paraId="1A41ADC3">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较重</w:t>
            </w:r>
          </w:p>
        </w:tc>
        <w:tc>
          <w:tcPr>
            <w:tcW w:w="893" w:type="dxa"/>
            <w:vAlign w:val="center"/>
          </w:tcPr>
          <w:p w14:paraId="64B3DA4B">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c>
          <w:tcPr>
            <w:tcW w:w="2896" w:type="dxa"/>
            <w:vAlign w:val="center"/>
          </w:tcPr>
          <w:p w14:paraId="62CA61E2">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《取水许可和水资源费征收管理条例》第四十九条</w:t>
            </w:r>
          </w:p>
        </w:tc>
      </w:tr>
      <w:tr w14:paraId="3DF6D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753" w:type="dxa"/>
            <w:vAlign w:val="center"/>
          </w:tcPr>
          <w:p w14:paraId="491216F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4</w:t>
            </w:r>
          </w:p>
        </w:tc>
        <w:tc>
          <w:tcPr>
            <w:tcW w:w="893" w:type="dxa"/>
            <w:vMerge w:val="continue"/>
            <w:vAlign w:val="center"/>
          </w:tcPr>
          <w:p w14:paraId="56078C25">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753" w:type="dxa"/>
            <w:vAlign w:val="center"/>
          </w:tcPr>
          <w:p w14:paraId="7A984ACB">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申请人隐瞒有关情况或者提供虚假材料骗取取水申请批准文件或者取水许可证的</w:t>
            </w:r>
            <w:r>
              <w:rPr>
                <w:rFonts w:ascii="Times New Roman" w:hAnsi="Times New Roman" w:eastAsia="仿宋_GB2312" w:cs="Times New Roman"/>
                <w:bCs/>
                <w:vertAlign w:val="superscript"/>
              </w:rPr>
              <w:t>③</w:t>
            </w:r>
          </w:p>
        </w:tc>
        <w:tc>
          <w:tcPr>
            <w:tcW w:w="850" w:type="dxa"/>
            <w:vAlign w:val="center"/>
          </w:tcPr>
          <w:p w14:paraId="3F7A4867">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严重</w:t>
            </w:r>
          </w:p>
        </w:tc>
        <w:tc>
          <w:tcPr>
            <w:tcW w:w="893" w:type="dxa"/>
            <w:vAlign w:val="center"/>
          </w:tcPr>
          <w:p w14:paraId="51387E98">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c>
          <w:tcPr>
            <w:tcW w:w="2896" w:type="dxa"/>
            <w:vAlign w:val="center"/>
          </w:tcPr>
          <w:p w14:paraId="7F5D6BA0">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《取水许可和水资源费征收管理条例》第五十条；《建设项目水资源论证管理办法》第十二条</w:t>
            </w:r>
          </w:p>
        </w:tc>
      </w:tr>
      <w:tr w14:paraId="452E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jc w:val="center"/>
        </w:trPr>
        <w:tc>
          <w:tcPr>
            <w:tcW w:w="753" w:type="dxa"/>
            <w:vAlign w:val="center"/>
          </w:tcPr>
          <w:p w14:paraId="4138C60F">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5</w:t>
            </w:r>
          </w:p>
        </w:tc>
        <w:tc>
          <w:tcPr>
            <w:tcW w:w="893" w:type="dxa"/>
            <w:vMerge w:val="continue"/>
            <w:vAlign w:val="center"/>
          </w:tcPr>
          <w:p w14:paraId="3A12F322">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753" w:type="dxa"/>
            <w:vAlign w:val="center"/>
          </w:tcPr>
          <w:p w14:paraId="04063659">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拒不执行审批机关作出的取水量限制决定的</w:t>
            </w:r>
          </w:p>
        </w:tc>
        <w:tc>
          <w:tcPr>
            <w:tcW w:w="850" w:type="dxa"/>
            <w:vAlign w:val="center"/>
          </w:tcPr>
          <w:p w14:paraId="7D5FA362">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严重</w:t>
            </w:r>
          </w:p>
        </w:tc>
        <w:tc>
          <w:tcPr>
            <w:tcW w:w="893" w:type="dxa"/>
            <w:vAlign w:val="center"/>
          </w:tcPr>
          <w:p w14:paraId="590BE980">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c>
          <w:tcPr>
            <w:tcW w:w="2896" w:type="dxa"/>
            <w:vAlign w:val="center"/>
          </w:tcPr>
          <w:p w14:paraId="3909B9ED">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《取水许可和水资源费征收管理条例》第五十一条</w:t>
            </w:r>
          </w:p>
        </w:tc>
      </w:tr>
      <w:tr w14:paraId="1D24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753" w:type="dxa"/>
            <w:vAlign w:val="center"/>
          </w:tcPr>
          <w:p w14:paraId="28855ED1">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6</w:t>
            </w:r>
          </w:p>
        </w:tc>
        <w:tc>
          <w:tcPr>
            <w:tcW w:w="893" w:type="dxa"/>
            <w:vMerge w:val="continue"/>
            <w:vAlign w:val="center"/>
          </w:tcPr>
          <w:p w14:paraId="1F93385E">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753" w:type="dxa"/>
            <w:vAlign w:val="center"/>
          </w:tcPr>
          <w:p w14:paraId="6DE629B7">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未经批准擅自转让取水权的</w:t>
            </w:r>
          </w:p>
        </w:tc>
        <w:tc>
          <w:tcPr>
            <w:tcW w:w="850" w:type="dxa"/>
            <w:vAlign w:val="center"/>
          </w:tcPr>
          <w:p w14:paraId="31DB3AD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一般</w:t>
            </w:r>
          </w:p>
        </w:tc>
        <w:tc>
          <w:tcPr>
            <w:tcW w:w="893" w:type="dxa"/>
            <w:vAlign w:val="center"/>
          </w:tcPr>
          <w:p w14:paraId="426CBFD7">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5</w:t>
            </w:r>
          </w:p>
        </w:tc>
        <w:tc>
          <w:tcPr>
            <w:tcW w:w="2896" w:type="dxa"/>
            <w:vAlign w:val="center"/>
          </w:tcPr>
          <w:p w14:paraId="6108795D">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《取水许可和水资源费征收管理条例》第五十一条</w:t>
            </w:r>
          </w:p>
        </w:tc>
      </w:tr>
      <w:tr w14:paraId="2A93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753" w:type="dxa"/>
            <w:vAlign w:val="center"/>
          </w:tcPr>
          <w:p w14:paraId="2897706F">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7</w:t>
            </w:r>
          </w:p>
        </w:tc>
        <w:tc>
          <w:tcPr>
            <w:tcW w:w="893" w:type="dxa"/>
            <w:vMerge w:val="continue"/>
            <w:vAlign w:val="center"/>
          </w:tcPr>
          <w:p w14:paraId="54C1104A">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753" w:type="dxa"/>
            <w:vAlign w:val="center"/>
          </w:tcPr>
          <w:p w14:paraId="0D9AC90B">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伪造、涂改、冒用取水申请批准文件、取水许可证的</w:t>
            </w:r>
          </w:p>
        </w:tc>
        <w:tc>
          <w:tcPr>
            <w:tcW w:w="850" w:type="dxa"/>
            <w:vAlign w:val="center"/>
          </w:tcPr>
          <w:p w14:paraId="061F5C87">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严重</w:t>
            </w:r>
          </w:p>
        </w:tc>
        <w:tc>
          <w:tcPr>
            <w:tcW w:w="893" w:type="dxa"/>
            <w:vAlign w:val="center"/>
          </w:tcPr>
          <w:p w14:paraId="7C2D5CFD">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c>
          <w:tcPr>
            <w:tcW w:w="2896" w:type="dxa"/>
            <w:vAlign w:val="center"/>
          </w:tcPr>
          <w:p w14:paraId="73554DB8">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《取水许可和水资源费征收管理条例》第五十六条</w:t>
            </w:r>
          </w:p>
        </w:tc>
      </w:tr>
      <w:tr w14:paraId="1534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753" w:type="dxa"/>
            <w:vAlign w:val="center"/>
          </w:tcPr>
          <w:p w14:paraId="76401ED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8</w:t>
            </w:r>
          </w:p>
        </w:tc>
        <w:tc>
          <w:tcPr>
            <w:tcW w:w="893" w:type="dxa"/>
            <w:vMerge w:val="restart"/>
            <w:vAlign w:val="center"/>
          </w:tcPr>
          <w:p w14:paraId="14EBC539">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取用水监测计量统计</w:t>
            </w:r>
          </w:p>
        </w:tc>
        <w:tc>
          <w:tcPr>
            <w:tcW w:w="2753" w:type="dxa"/>
            <w:vAlign w:val="center"/>
          </w:tcPr>
          <w:p w14:paraId="33F9C84A">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未安装计量设施的</w:t>
            </w:r>
          </w:p>
        </w:tc>
        <w:tc>
          <w:tcPr>
            <w:tcW w:w="850" w:type="dxa"/>
            <w:vAlign w:val="center"/>
          </w:tcPr>
          <w:p w14:paraId="10859BA6">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较重</w:t>
            </w:r>
          </w:p>
        </w:tc>
        <w:tc>
          <w:tcPr>
            <w:tcW w:w="893" w:type="dxa"/>
            <w:vAlign w:val="center"/>
          </w:tcPr>
          <w:p w14:paraId="70B0DDD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c>
          <w:tcPr>
            <w:tcW w:w="2896" w:type="dxa"/>
            <w:vAlign w:val="center"/>
          </w:tcPr>
          <w:p w14:paraId="4C3B2CDD">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《取水许可和水资源费征收管理条例》第五十三条</w:t>
            </w:r>
          </w:p>
        </w:tc>
      </w:tr>
      <w:tr w14:paraId="5911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753" w:type="dxa"/>
            <w:vAlign w:val="center"/>
          </w:tcPr>
          <w:p w14:paraId="2BF93C20">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9</w:t>
            </w:r>
          </w:p>
        </w:tc>
        <w:tc>
          <w:tcPr>
            <w:tcW w:w="893" w:type="dxa"/>
            <w:vMerge w:val="continue"/>
            <w:vAlign w:val="center"/>
          </w:tcPr>
          <w:p w14:paraId="138465A1">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753" w:type="dxa"/>
            <w:vAlign w:val="center"/>
          </w:tcPr>
          <w:p w14:paraId="593B8856">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计量设施不合格或者运行不正常的</w:t>
            </w:r>
            <w:r>
              <w:rPr>
                <w:rFonts w:ascii="Times New Roman" w:hAnsi="Times New Roman" w:eastAsia="仿宋_GB2312" w:cs="Times New Roman"/>
                <w:bCs/>
                <w:vertAlign w:val="superscript"/>
              </w:rPr>
              <w:t>④</w:t>
            </w:r>
          </w:p>
        </w:tc>
        <w:tc>
          <w:tcPr>
            <w:tcW w:w="850" w:type="dxa"/>
            <w:vAlign w:val="center"/>
          </w:tcPr>
          <w:p w14:paraId="5BEA239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一般</w:t>
            </w:r>
          </w:p>
        </w:tc>
        <w:tc>
          <w:tcPr>
            <w:tcW w:w="893" w:type="dxa"/>
            <w:vAlign w:val="center"/>
          </w:tcPr>
          <w:p w14:paraId="4063EAE3">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5</w:t>
            </w:r>
          </w:p>
        </w:tc>
        <w:tc>
          <w:tcPr>
            <w:tcW w:w="2896" w:type="dxa"/>
            <w:vAlign w:val="center"/>
          </w:tcPr>
          <w:p w14:paraId="5436E58C">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《取水许可和水资源费征收管理条例》第五十三条</w:t>
            </w:r>
          </w:p>
        </w:tc>
      </w:tr>
      <w:tr w14:paraId="5596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53" w:type="dxa"/>
            <w:vAlign w:val="center"/>
          </w:tcPr>
          <w:p w14:paraId="7FF7347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c>
          <w:tcPr>
            <w:tcW w:w="893" w:type="dxa"/>
            <w:vMerge w:val="continue"/>
            <w:vAlign w:val="center"/>
          </w:tcPr>
          <w:p w14:paraId="49A47B51">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753" w:type="dxa"/>
            <w:vAlign w:val="center"/>
          </w:tcPr>
          <w:p w14:paraId="461BB45B">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在用水统计工作中弄虚作假，篡改伪造取用水数据的</w:t>
            </w:r>
          </w:p>
        </w:tc>
        <w:tc>
          <w:tcPr>
            <w:tcW w:w="850" w:type="dxa"/>
            <w:vAlign w:val="center"/>
          </w:tcPr>
          <w:p w14:paraId="2FE2F069">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严重</w:t>
            </w:r>
          </w:p>
        </w:tc>
        <w:tc>
          <w:tcPr>
            <w:tcW w:w="893" w:type="dxa"/>
            <w:vAlign w:val="center"/>
          </w:tcPr>
          <w:p w14:paraId="302DAE7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c>
          <w:tcPr>
            <w:tcW w:w="2896" w:type="dxa"/>
            <w:vAlign w:val="center"/>
          </w:tcPr>
          <w:p w14:paraId="638A8ED3">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《中华人民共和国统计法》第四十一条</w:t>
            </w:r>
          </w:p>
        </w:tc>
      </w:tr>
      <w:tr w14:paraId="07E1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753" w:type="dxa"/>
            <w:vAlign w:val="center"/>
          </w:tcPr>
          <w:p w14:paraId="7CD899DA">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11</w:t>
            </w:r>
          </w:p>
        </w:tc>
        <w:tc>
          <w:tcPr>
            <w:tcW w:w="893" w:type="dxa"/>
            <w:vMerge w:val="continue"/>
            <w:vAlign w:val="center"/>
          </w:tcPr>
          <w:p w14:paraId="1C932B92">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753" w:type="dxa"/>
            <w:vAlign w:val="center"/>
          </w:tcPr>
          <w:p w14:paraId="54FB3EC1">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未按规定填报取用水调查表或未按规定开展用水统计工作的</w:t>
            </w:r>
          </w:p>
        </w:tc>
        <w:tc>
          <w:tcPr>
            <w:tcW w:w="850" w:type="dxa"/>
            <w:vAlign w:val="center"/>
          </w:tcPr>
          <w:p w14:paraId="45A34D3A">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一般</w:t>
            </w:r>
          </w:p>
        </w:tc>
        <w:tc>
          <w:tcPr>
            <w:tcW w:w="893" w:type="dxa"/>
            <w:vAlign w:val="center"/>
          </w:tcPr>
          <w:p w14:paraId="24D67F1E">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5</w:t>
            </w:r>
          </w:p>
        </w:tc>
        <w:tc>
          <w:tcPr>
            <w:tcW w:w="2896" w:type="dxa"/>
            <w:vAlign w:val="center"/>
          </w:tcPr>
          <w:p w14:paraId="53D75B98">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《中华人民共和国统计法》第四十一条、第四十二条</w:t>
            </w:r>
          </w:p>
        </w:tc>
      </w:tr>
      <w:tr w14:paraId="63041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753" w:type="dxa"/>
            <w:vAlign w:val="center"/>
          </w:tcPr>
          <w:p w14:paraId="7762CA2C">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12</w:t>
            </w:r>
          </w:p>
          <w:p w14:paraId="23F2E74F">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893" w:type="dxa"/>
            <w:vAlign w:val="center"/>
          </w:tcPr>
          <w:p w14:paraId="38A075C6">
            <w:pPr>
              <w:pStyle w:val="16"/>
              <w:spacing w:before="0" w:beforeAutospacing="0" w:after="0" w:afterAutospacing="0" w:line="240" w:lineRule="auto"/>
              <w:jc w:val="center"/>
              <w:outlineLvl w:val="0"/>
              <w:rPr>
                <w:rFonts w:ascii="Times New Roman" w:hAnsi="Times New Roman" w:eastAsia="仿宋_GB2312" w:cs="Times New Roman"/>
                <w:bCs/>
                <w:lang w:val="en"/>
              </w:rPr>
            </w:pPr>
            <w:r>
              <w:rPr>
                <w:rFonts w:ascii="Times New Roman" w:hAnsi="Times New Roman" w:eastAsia="仿宋_GB2312" w:cs="Times New Roman"/>
                <w:bCs/>
              </w:rPr>
              <w:t>水资源费（税）缴纳</w:t>
            </w:r>
          </w:p>
        </w:tc>
        <w:tc>
          <w:tcPr>
            <w:tcW w:w="2753" w:type="dxa"/>
            <w:vAlign w:val="center"/>
          </w:tcPr>
          <w:p w14:paraId="7ED30FFB">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拒不缴纳、拖延缴纳或者拖欠水资源费（税）的</w:t>
            </w:r>
          </w:p>
        </w:tc>
        <w:tc>
          <w:tcPr>
            <w:tcW w:w="850" w:type="dxa"/>
            <w:vAlign w:val="center"/>
          </w:tcPr>
          <w:p w14:paraId="02191556">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较重</w:t>
            </w:r>
          </w:p>
        </w:tc>
        <w:tc>
          <w:tcPr>
            <w:tcW w:w="893" w:type="dxa"/>
            <w:vAlign w:val="center"/>
          </w:tcPr>
          <w:p w14:paraId="17542F2E">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c>
          <w:tcPr>
            <w:tcW w:w="2896" w:type="dxa"/>
            <w:vAlign w:val="center"/>
          </w:tcPr>
          <w:p w14:paraId="13A2AE44">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《中华人民共和国水法》第七十条；《取水许可和水资源费征收管理条例》第五十四条</w:t>
            </w:r>
          </w:p>
        </w:tc>
      </w:tr>
      <w:tr w14:paraId="49726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753" w:type="dxa"/>
            <w:vAlign w:val="center"/>
          </w:tcPr>
          <w:p w14:paraId="2E78D360">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lang w:val="en"/>
              </w:rPr>
              <w:t>13</w:t>
            </w:r>
          </w:p>
        </w:tc>
        <w:tc>
          <w:tcPr>
            <w:tcW w:w="893" w:type="dxa"/>
            <w:vMerge w:val="restart"/>
            <w:vAlign w:val="center"/>
          </w:tcPr>
          <w:p w14:paraId="6C51E848">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地下水开发利用及保护</w:t>
            </w:r>
          </w:p>
        </w:tc>
        <w:tc>
          <w:tcPr>
            <w:tcW w:w="2753" w:type="dxa"/>
            <w:vAlign w:val="center"/>
          </w:tcPr>
          <w:p w14:paraId="1D490D44">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地下工程建设对地下水造成重大不利影响的</w:t>
            </w:r>
          </w:p>
        </w:tc>
        <w:tc>
          <w:tcPr>
            <w:tcW w:w="850" w:type="dxa"/>
            <w:vAlign w:val="center"/>
          </w:tcPr>
          <w:p w14:paraId="168EADF7">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严重</w:t>
            </w:r>
          </w:p>
        </w:tc>
        <w:tc>
          <w:tcPr>
            <w:tcW w:w="893" w:type="dxa"/>
            <w:vAlign w:val="center"/>
          </w:tcPr>
          <w:p w14:paraId="7AB4A269">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c>
          <w:tcPr>
            <w:tcW w:w="2896" w:type="dxa"/>
            <w:vAlign w:val="center"/>
          </w:tcPr>
          <w:p w14:paraId="7EC7937F">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《地下水管理条例》第五十七条</w:t>
            </w:r>
          </w:p>
        </w:tc>
      </w:tr>
      <w:tr w14:paraId="44B6B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753" w:type="dxa"/>
            <w:vAlign w:val="center"/>
          </w:tcPr>
          <w:p w14:paraId="457F75DA">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14</w:t>
            </w:r>
          </w:p>
        </w:tc>
        <w:tc>
          <w:tcPr>
            <w:tcW w:w="893" w:type="dxa"/>
            <w:vMerge w:val="continue"/>
            <w:vAlign w:val="center"/>
          </w:tcPr>
          <w:p w14:paraId="45D91565">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753" w:type="dxa"/>
            <w:vAlign w:val="center"/>
          </w:tcPr>
          <w:p w14:paraId="34169E6E">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地下工程建设应当于开工前将工程建设方案和防止对地下水产生不利影响的措施方案备案而未备案的</w:t>
            </w:r>
          </w:p>
        </w:tc>
        <w:tc>
          <w:tcPr>
            <w:tcW w:w="850" w:type="dxa"/>
            <w:vAlign w:val="center"/>
          </w:tcPr>
          <w:p w14:paraId="62C8BA86">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较重</w:t>
            </w:r>
          </w:p>
        </w:tc>
        <w:tc>
          <w:tcPr>
            <w:tcW w:w="893" w:type="dxa"/>
            <w:vAlign w:val="center"/>
          </w:tcPr>
          <w:p w14:paraId="49A89B58">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c>
          <w:tcPr>
            <w:tcW w:w="2896" w:type="dxa"/>
            <w:vAlign w:val="center"/>
          </w:tcPr>
          <w:p w14:paraId="645C51B0">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《地下水管理条例》第五十七条</w:t>
            </w:r>
          </w:p>
        </w:tc>
      </w:tr>
      <w:tr w14:paraId="5D8A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753" w:type="dxa"/>
            <w:vAlign w:val="center"/>
          </w:tcPr>
          <w:p w14:paraId="3136CECA">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15</w:t>
            </w:r>
          </w:p>
        </w:tc>
        <w:tc>
          <w:tcPr>
            <w:tcW w:w="893" w:type="dxa"/>
            <w:vMerge w:val="continue"/>
            <w:vAlign w:val="center"/>
          </w:tcPr>
          <w:p w14:paraId="1EA7EC62">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753" w:type="dxa"/>
            <w:vAlign w:val="center"/>
          </w:tcPr>
          <w:p w14:paraId="2B242CA4">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矿产资源开采、地下工程建设疏干排水应当定期报送疏干排水量和地下水水位状况而未报送的</w:t>
            </w:r>
          </w:p>
        </w:tc>
        <w:tc>
          <w:tcPr>
            <w:tcW w:w="850" w:type="dxa"/>
            <w:vAlign w:val="center"/>
          </w:tcPr>
          <w:p w14:paraId="25D15C88">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较重</w:t>
            </w:r>
          </w:p>
        </w:tc>
        <w:tc>
          <w:tcPr>
            <w:tcW w:w="893" w:type="dxa"/>
            <w:vAlign w:val="center"/>
          </w:tcPr>
          <w:p w14:paraId="6BD795C9">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c>
          <w:tcPr>
            <w:tcW w:w="2896" w:type="dxa"/>
            <w:vAlign w:val="center"/>
          </w:tcPr>
          <w:p w14:paraId="489A2BB1">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《地下水管理条例》第五十七条</w:t>
            </w:r>
          </w:p>
        </w:tc>
      </w:tr>
      <w:tr w14:paraId="2FAF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753" w:type="dxa"/>
            <w:vAlign w:val="center"/>
          </w:tcPr>
          <w:p w14:paraId="3887987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16</w:t>
            </w:r>
          </w:p>
        </w:tc>
        <w:tc>
          <w:tcPr>
            <w:tcW w:w="893" w:type="dxa"/>
            <w:vMerge w:val="continue"/>
            <w:vAlign w:val="center"/>
          </w:tcPr>
          <w:p w14:paraId="44F0970C">
            <w:pPr>
              <w:pStyle w:val="16"/>
              <w:spacing w:before="0" w:beforeAutospacing="0" w:after="0" w:afterAutospacing="0" w:line="240" w:lineRule="auto"/>
              <w:jc w:val="center"/>
              <w:outlineLvl w:val="0"/>
              <w:rPr>
                <w:rFonts w:ascii="Times New Roman" w:hAnsi="Times New Roman" w:eastAsia="仿宋_GB2312" w:cs="Times New Roman"/>
                <w:bCs/>
              </w:rPr>
            </w:pPr>
          </w:p>
        </w:tc>
        <w:tc>
          <w:tcPr>
            <w:tcW w:w="2753" w:type="dxa"/>
            <w:vAlign w:val="center"/>
          </w:tcPr>
          <w:p w14:paraId="5CDF7954">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应当停止取水的地下水取水工程，未按照规定封井或者回填的</w:t>
            </w:r>
          </w:p>
        </w:tc>
        <w:tc>
          <w:tcPr>
            <w:tcW w:w="850" w:type="dxa"/>
            <w:vAlign w:val="center"/>
          </w:tcPr>
          <w:p w14:paraId="043E80C8">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严重</w:t>
            </w:r>
          </w:p>
        </w:tc>
        <w:tc>
          <w:tcPr>
            <w:tcW w:w="893" w:type="dxa"/>
            <w:vAlign w:val="center"/>
          </w:tcPr>
          <w:p w14:paraId="6CDF366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20</w:t>
            </w:r>
          </w:p>
        </w:tc>
        <w:tc>
          <w:tcPr>
            <w:tcW w:w="2896" w:type="dxa"/>
            <w:vAlign w:val="center"/>
          </w:tcPr>
          <w:p w14:paraId="4A36B44E">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《地下水管理条例》第五十八条</w:t>
            </w:r>
          </w:p>
        </w:tc>
      </w:tr>
      <w:tr w14:paraId="5437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753" w:type="dxa"/>
            <w:vAlign w:val="center"/>
          </w:tcPr>
          <w:p w14:paraId="0CE373EB">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17</w:t>
            </w:r>
          </w:p>
        </w:tc>
        <w:tc>
          <w:tcPr>
            <w:tcW w:w="893" w:type="dxa"/>
            <w:vAlign w:val="center"/>
          </w:tcPr>
          <w:p w14:paraId="0CE2AFE7">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取用水监督检查</w:t>
            </w:r>
          </w:p>
        </w:tc>
        <w:tc>
          <w:tcPr>
            <w:tcW w:w="2753" w:type="dxa"/>
            <w:vAlign w:val="center"/>
          </w:tcPr>
          <w:p w14:paraId="6F82E6DD">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拒绝或阻碍接受监督检查的</w:t>
            </w:r>
          </w:p>
        </w:tc>
        <w:tc>
          <w:tcPr>
            <w:tcW w:w="850" w:type="dxa"/>
            <w:vAlign w:val="center"/>
          </w:tcPr>
          <w:p w14:paraId="0BDFA419">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较重</w:t>
            </w:r>
          </w:p>
        </w:tc>
        <w:tc>
          <w:tcPr>
            <w:tcW w:w="893" w:type="dxa"/>
            <w:vAlign w:val="center"/>
          </w:tcPr>
          <w:p w14:paraId="1DA717A5">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10</w:t>
            </w:r>
          </w:p>
        </w:tc>
        <w:tc>
          <w:tcPr>
            <w:tcW w:w="2896" w:type="dxa"/>
            <w:vAlign w:val="center"/>
          </w:tcPr>
          <w:p w14:paraId="2E42D023">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《中华人民共和国水法》第六十一条；《取水许可和水资源费征收管理条例》第五十二条</w:t>
            </w:r>
          </w:p>
        </w:tc>
      </w:tr>
      <w:tr w14:paraId="2611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1" w:hRule="atLeast"/>
          <w:jc w:val="center"/>
        </w:trPr>
        <w:tc>
          <w:tcPr>
            <w:tcW w:w="753" w:type="dxa"/>
            <w:vAlign w:val="center"/>
          </w:tcPr>
          <w:p w14:paraId="6809182A">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1</w:t>
            </w:r>
            <w:r>
              <w:rPr>
                <w:rFonts w:hint="eastAsia" w:ascii="Times New Roman" w:hAnsi="Times New Roman" w:eastAsia="仿宋_GB2312" w:cs="Times New Roman"/>
                <w:bCs/>
                <w:lang w:val="en-US" w:eastAsia="zh-CN"/>
              </w:rPr>
              <w:t>8</w:t>
            </w:r>
          </w:p>
        </w:tc>
        <w:tc>
          <w:tcPr>
            <w:tcW w:w="893" w:type="dxa"/>
            <w:vAlign w:val="center"/>
          </w:tcPr>
          <w:p w14:paraId="3FF0E26B">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其他</w:t>
            </w:r>
          </w:p>
        </w:tc>
        <w:tc>
          <w:tcPr>
            <w:tcW w:w="2753" w:type="dxa"/>
            <w:vAlign w:val="center"/>
          </w:tcPr>
          <w:p w14:paraId="172AF093">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其他违反取用水相关法律法规的</w:t>
            </w:r>
          </w:p>
        </w:tc>
        <w:tc>
          <w:tcPr>
            <w:tcW w:w="850" w:type="dxa"/>
            <w:vAlign w:val="center"/>
          </w:tcPr>
          <w:p w14:paraId="655BF8BD">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一般</w:t>
            </w:r>
          </w:p>
        </w:tc>
        <w:tc>
          <w:tcPr>
            <w:tcW w:w="893" w:type="dxa"/>
            <w:vAlign w:val="center"/>
          </w:tcPr>
          <w:p w14:paraId="1462537D">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5</w:t>
            </w:r>
          </w:p>
        </w:tc>
        <w:tc>
          <w:tcPr>
            <w:tcW w:w="2896" w:type="dxa"/>
            <w:vAlign w:val="center"/>
          </w:tcPr>
          <w:p w14:paraId="1B299A4F">
            <w:pPr>
              <w:pStyle w:val="16"/>
              <w:spacing w:before="0" w:beforeAutospacing="0" w:after="0" w:afterAutospacing="0" w:line="240" w:lineRule="auto"/>
              <w:jc w:val="center"/>
              <w:outlineLvl w:val="0"/>
              <w:rPr>
                <w:rFonts w:ascii="Times New Roman" w:hAnsi="Times New Roman" w:eastAsia="仿宋_GB2312" w:cs="Times New Roman"/>
                <w:bCs/>
              </w:rPr>
            </w:pPr>
            <w:r>
              <w:rPr>
                <w:rFonts w:ascii="Times New Roman" w:hAnsi="Times New Roman" w:eastAsia="仿宋_GB2312" w:cs="Times New Roman"/>
                <w:bCs/>
              </w:rPr>
              <w:t>《中华人民共和国水法》《取水许可和水资源费征收管理条例》《地下水管理条例》《中华人民共和国统计法》</w:t>
            </w:r>
          </w:p>
        </w:tc>
      </w:tr>
    </w:tbl>
    <w:p w14:paraId="0ABB3AA8">
      <w:pPr>
        <w:spacing w:line="560" w:lineRule="exact"/>
        <w:ind w:firstLine="480" w:firstLineChars="200"/>
        <w:rPr>
          <w:rFonts w:ascii="Times New Roman" w:hAnsi="Times New Roman" w:eastAsia="黑体"/>
          <w:bCs/>
          <w:kern w:val="0"/>
          <w:sz w:val="24"/>
        </w:rPr>
      </w:pPr>
      <w:r>
        <w:rPr>
          <w:rFonts w:ascii="Times New Roman" w:hAnsi="Times New Roman" w:eastAsia="黑体"/>
          <w:bCs/>
          <w:kern w:val="0"/>
          <w:sz w:val="24"/>
        </w:rPr>
        <w:t>说明：</w:t>
      </w:r>
    </w:p>
    <w:p w14:paraId="4BC5FCFF">
      <w:pPr>
        <w:spacing w:line="400" w:lineRule="exact"/>
        <w:ind w:firstLine="480" w:firstLineChars="200"/>
        <w:rPr>
          <w:rFonts w:ascii="仿宋_GB2312" w:hAnsi="仿宋_GB2312" w:eastAsia="仿宋_GB2312" w:cs="仿宋_GB2312"/>
          <w:bCs/>
          <w:kern w:val="0"/>
          <w:sz w:val="24"/>
          <w:szCs w:val="22"/>
        </w:rPr>
      </w:pPr>
      <w:r>
        <w:rPr>
          <w:rFonts w:hint="eastAsia" w:ascii="仿宋_GB2312" w:hAnsi="仿宋_GB2312" w:eastAsia="仿宋_GB2312" w:cs="仿宋_GB2312"/>
          <w:bCs/>
          <w:kern w:val="0"/>
          <w:sz w:val="24"/>
          <w:szCs w:val="22"/>
        </w:rPr>
        <w:t>①未经批准擅自取水，包括无证取水和取水许可证逾期仍继续取水的情形，无论取水规模多大，均纳入评价范围；当同时存在“未经批准擅自取水”和“未取得取水申请批准文件擅自建设取水工程或者设施”两种情形时，按对应更高扣分分值的情形进行扣分。</w:t>
      </w:r>
    </w:p>
    <w:p w14:paraId="0587A4CC">
      <w:pPr>
        <w:spacing w:line="400" w:lineRule="exact"/>
        <w:ind w:firstLine="480" w:firstLineChars="200"/>
        <w:rPr>
          <w:rFonts w:ascii="仿宋_GB2312" w:hAnsi="仿宋_GB2312" w:eastAsia="仿宋_GB2312" w:cs="仿宋_GB2312"/>
          <w:bCs/>
          <w:kern w:val="0"/>
          <w:sz w:val="24"/>
          <w:szCs w:val="22"/>
        </w:rPr>
      </w:pPr>
      <w:r>
        <w:rPr>
          <w:rFonts w:hint="eastAsia" w:ascii="仿宋_GB2312" w:hAnsi="仿宋_GB2312" w:eastAsia="仿宋_GB2312" w:cs="仿宋_GB2312"/>
          <w:bCs/>
          <w:kern w:val="0"/>
          <w:sz w:val="24"/>
          <w:szCs w:val="22"/>
        </w:rPr>
        <w:t>②未依照批准的取水许可规定条件取水，包括超许可水量取水，改变取水水源、取水地点或取水用途等，未按照泄放标准下泄水量（流量）等情形。</w:t>
      </w:r>
    </w:p>
    <w:p w14:paraId="3FC9D7A3">
      <w:pPr>
        <w:spacing w:line="400" w:lineRule="exact"/>
        <w:ind w:firstLine="480" w:firstLineChars="200"/>
        <w:rPr>
          <w:rFonts w:ascii="仿宋_GB2312" w:hAnsi="仿宋_GB2312" w:eastAsia="仿宋_GB2312" w:cs="仿宋_GB2312"/>
          <w:bCs/>
          <w:kern w:val="0"/>
          <w:sz w:val="24"/>
          <w:szCs w:val="22"/>
        </w:rPr>
      </w:pPr>
      <w:r>
        <w:rPr>
          <w:rFonts w:hint="eastAsia" w:ascii="仿宋_GB2312" w:hAnsi="仿宋_GB2312" w:eastAsia="仿宋_GB2312" w:cs="仿宋_GB2312"/>
          <w:bCs/>
          <w:kern w:val="0"/>
          <w:sz w:val="24"/>
          <w:szCs w:val="22"/>
        </w:rPr>
        <w:t>③申请人隐瞒有关情况或者提供虚假材料骗取取水申请批准文件或者取水许可证，包含业主单位在建设项目水资源论证工作中弄虚作假的情形。</w:t>
      </w:r>
    </w:p>
    <w:p w14:paraId="3D626487">
      <w:pPr>
        <w:spacing w:line="400" w:lineRule="exact"/>
        <w:ind w:firstLine="480" w:firstLineChars="200"/>
        <w:rPr>
          <w:rFonts w:ascii="仿宋_GB2312" w:hAnsi="仿宋_GB2312" w:eastAsia="仿宋_GB2312" w:cs="仿宋_GB2312"/>
          <w:bCs/>
          <w:kern w:val="0"/>
          <w:sz w:val="24"/>
          <w:szCs w:val="22"/>
        </w:rPr>
      </w:pPr>
      <w:r>
        <w:rPr>
          <w:rFonts w:hint="eastAsia" w:ascii="仿宋_GB2312" w:hAnsi="仿宋_GB2312" w:eastAsia="仿宋_GB2312" w:cs="仿宋_GB2312"/>
          <w:bCs/>
          <w:kern w:val="0"/>
          <w:sz w:val="24"/>
          <w:szCs w:val="22"/>
        </w:rPr>
        <w:t>④计量设施不合格或者运行不正常的，包含安装的计量设施不符合相关技术规范和标准、未按规定进行检定或校准的情形。</w:t>
      </w:r>
    </w:p>
    <w:p w14:paraId="02B7607E">
      <w:pPr>
        <w:rPr>
          <w:rFonts w:ascii="仿宋_GB2312" w:hAnsi="仿宋_GB2312" w:eastAsia="仿宋_GB2312" w:cs="仿宋_GB2312"/>
          <w:bCs/>
          <w:kern w:val="0"/>
          <w:sz w:val="24"/>
          <w:szCs w:val="22"/>
        </w:rPr>
      </w:pPr>
      <w:r>
        <w:rPr>
          <w:rFonts w:hint="eastAsia" w:ascii="仿宋_GB2312" w:hAnsi="仿宋_GB2312" w:eastAsia="仿宋_GB2312" w:cs="仿宋_GB2312"/>
          <w:bCs/>
          <w:kern w:val="0"/>
          <w:sz w:val="24"/>
          <w:szCs w:val="22"/>
        </w:rPr>
        <w:br w:type="page"/>
      </w:r>
    </w:p>
    <w:p w14:paraId="4FFD8642">
      <w:pPr>
        <w:spacing w:after="156" w:afterLines="50" w:line="560" w:lineRule="exact"/>
        <w:jc w:val="center"/>
        <w:outlineLvl w:val="0"/>
        <w:rPr>
          <w:rFonts w:ascii="黑体" w:hAnsi="黑体" w:eastAsia="黑体" w:cs="黑体"/>
          <w:bCs/>
          <w:sz w:val="24"/>
        </w:rPr>
      </w:pPr>
      <w:r>
        <w:rPr>
          <w:rFonts w:hint="eastAsia" w:ascii="黑体" w:hAnsi="黑体" w:eastAsia="黑体" w:cs="黑体"/>
          <w:bCs/>
          <w:sz w:val="24"/>
        </w:rPr>
        <w:t>表5“风险+信用”综合评价矩阵</w:t>
      </w:r>
    </w:p>
    <w:tbl>
      <w:tblPr>
        <w:tblStyle w:val="18"/>
        <w:tblW w:w="8870" w:type="dxa"/>
        <w:tblInd w:w="0" w:type="dxa"/>
        <w:tblLayout w:type="fixed"/>
        <w:tblCellMar>
          <w:top w:w="0" w:type="dxa"/>
          <w:left w:w="0" w:type="dxa"/>
          <w:bottom w:w="0" w:type="dxa"/>
          <w:right w:w="0" w:type="dxa"/>
        </w:tblCellMar>
      </w:tblPr>
      <w:tblGrid>
        <w:gridCol w:w="1663"/>
        <w:gridCol w:w="1801"/>
        <w:gridCol w:w="1802"/>
        <w:gridCol w:w="1802"/>
        <w:gridCol w:w="1802"/>
      </w:tblGrid>
      <w:tr w14:paraId="6B6304B5">
        <w:tblPrEx>
          <w:tblCellMar>
            <w:top w:w="0" w:type="dxa"/>
            <w:left w:w="0" w:type="dxa"/>
            <w:bottom w:w="0" w:type="dxa"/>
            <w:right w:w="0" w:type="dxa"/>
          </w:tblCellMar>
        </w:tblPrEx>
        <w:trPr>
          <w:trHeight w:val="460" w:hRule="atLeast"/>
        </w:trPr>
        <w:tc>
          <w:tcPr>
            <w:tcW w:w="16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4C146C91">
            <w:pPr>
              <w:pStyle w:val="16"/>
              <w:spacing w:line="560" w:lineRule="exact"/>
              <w:jc w:val="center"/>
              <w:rPr>
                <w:rFonts w:ascii="仿宋_GB2312" w:hAnsi="仿宋_GB2312" w:eastAsia="仿宋_GB2312" w:cs="仿宋_GB2312"/>
              </w:rPr>
            </w:pPr>
          </w:p>
        </w:tc>
        <w:tc>
          <w:tcPr>
            <w:tcW w:w="18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4695D84F">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低风险</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7D981C2C">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中风险</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4F7DBD25">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较高风险</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25CE0358">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高风险</w:t>
            </w:r>
          </w:p>
        </w:tc>
      </w:tr>
      <w:tr w14:paraId="6DEFC9E8">
        <w:tblPrEx>
          <w:tblCellMar>
            <w:top w:w="0" w:type="dxa"/>
            <w:left w:w="0" w:type="dxa"/>
            <w:bottom w:w="0" w:type="dxa"/>
            <w:right w:w="0" w:type="dxa"/>
          </w:tblCellMar>
        </w:tblPrEx>
        <w:trPr>
          <w:trHeight w:val="500" w:hRule="atLeast"/>
        </w:trPr>
        <w:tc>
          <w:tcPr>
            <w:tcW w:w="16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50B8875E">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信用优秀（A级）</w:t>
            </w:r>
          </w:p>
        </w:tc>
        <w:tc>
          <w:tcPr>
            <w:tcW w:w="18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522E057A">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四级监管</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4A94FB7A">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四级监管</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50804F36">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三级监管</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656BA6ED">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二级监管</w:t>
            </w:r>
          </w:p>
        </w:tc>
      </w:tr>
      <w:tr w14:paraId="154BBF35">
        <w:tblPrEx>
          <w:tblCellMar>
            <w:top w:w="0" w:type="dxa"/>
            <w:left w:w="0" w:type="dxa"/>
            <w:bottom w:w="0" w:type="dxa"/>
            <w:right w:w="0" w:type="dxa"/>
          </w:tblCellMar>
        </w:tblPrEx>
        <w:trPr>
          <w:trHeight w:val="760" w:hRule="atLeast"/>
        </w:trPr>
        <w:tc>
          <w:tcPr>
            <w:tcW w:w="16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2321B422">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信用良好（B级）</w:t>
            </w:r>
          </w:p>
        </w:tc>
        <w:tc>
          <w:tcPr>
            <w:tcW w:w="18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5F0830BA">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四级监管</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58422822">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三级监管</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7D0A9503">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二级监管</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1A038D2D">
            <w:pPr>
              <w:widowControl/>
              <w:spacing w:line="560" w:lineRule="exact"/>
              <w:jc w:val="center"/>
              <w:rPr>
                <w:rFonts w:ascii="仿宋_GB2312" w:hAnsi="仿宋_GB2312" w:eastAsia="仿宋_GB2312" w:cs="仿宋_GB2312"/>
                <w:sz w:val="24"/>
              </w:rPr>
            </w:pPr>
            <w:r>
              <w:rPr>
                <w:rFonts w:hint="eastAsia" w:ascii="仿宋_GB2312" w:hAnsi="仿宋_GB2312" w:eastAsia="仿宋_GB2312" w:cs="仿宋_GB2312"/>
                <w:sz w:val="24"/>
              </w:rPr>
              <w:t>一级监管</w:t>
            </w:r>
          </w:p>
        </w:tc>
      </w:tr>
      <w:tr w14:paraId="64AD50DD">
        <w:tblPrEx>
          <w:tblCellMar>
            <w:top w:w="0" w:type="dxa"/>
            <w:left w:w="0" w:type="dxa"/>
            <w:bottom w:w="0" w:type="dxa"/>
            <w:right w:w="0" w:type="dxa"/>
          </w:tblCellMar>
        </w:tblPrEx>
        <w:trPr>
          <w:trHeight w:val="560" w:hRule="atLeast"/>
        </w:trPr>
        <w:tc>
          <w:tcPr>
            <w:tcW w:w="16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15F30F27">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信用一般（C级）</w:t>
            </w:r>
          </w:p>
        </w:tc>
        <w:tc>
          <w:tcPr>
            <w:tcW w:w="18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2898F5CE">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三级监管</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0F1AA0E1">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二级监管</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0B9A7E54">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一级监管</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40ED24E6">
            <w:pPr>
              <w:widowControl/>
              <w:spacing w:line="560" w:lineRule="exact"/>
              <w:jc w:val="center"/>
              <w:rPr>
                <w:rFonts w:ascii="仿宋_GB2312" w:hAnsi="仿宋_GB2312" w:eastAsia="仿宋_GB2312" w:cs="仿宋_GB2312"/>
                <w:sz w:val="24"/>
              </w:rPr>
            </w:pPr>
            <w:r>
              <w:rPr>
                <w:rFonts w:hint="eastAsia" w:ascii="仿宋_GB2312" w:hAnsi="仿宋_GB2312" w:eastAsia="仿宋_GB2312" w:cs="仿宋_GB2312"/>
                <w:sz w:val="24"/>
              </w:rPr>
              <w:t>一级监管</w:t>
            </w:r>
          </w:p>
        </w:tc>
      </w:tr>
      <w:tr w14:paraId="2CF42892">
        <w:tblPrEx>
          <w:tblCellMar>
            <w:top w:w="0" w:type="dxa"/>
            <w:left w:w="0" w:type="dxa"/>
            <w:bottom w:w="0" w:type="dxa"/>
            <w:right w:w="0" w:type="dxa"/>
          </w:tblCellMar>
        </w:tblPrEx>
        <w:trPr>
          <w:trHeight w:val="760" w:hRule="atLeast"/>
        </w:trPr>
        <w:tc>
          <w:tcPr>
            <w:tcW w:w="16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680408CC">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信用较差（D级）</w:t>
            </w:r>
          </w:p>
        </w:tc>
        <w:tc>
          <w:tcPr>
            <w:tcW w:w="1801"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7DD26421">
            <w:pPr>
              <w:pStyle w:val="16"/>
              <w:spacing w:line="560" w:lineRule="exact"/>
              <w:jc w:val="center"/>
              <w:rPr>
                <w:rFonts w:ascii="仿宋_GB2312" w:hAnsi="仿宋_GB2312" w:eastAsia="仿宋_GB2312" w:cs="仿宋_GB2312"/>
              </w:rPr>
            </w:pPr>
            <w:r>
              <w:rPr>
                <w:rFonts w:hint="eastAsia" w:ascii="仿宋_GB2312" w:hAnsi="仿宋_GB2312" w:eastAsia="仿宋_GB2312" w:cs="仿宋_GB2312"/>
              </w:rPr>
              <w:t>二级监管</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0B584705">
            <w:pPr>
              <w:widowControl/>
              <w:spacing w:line="560" w:lineRule="exact"/>
              <w:jc w:val="center"/>
              <w:rPr>
                <w:rFonts w:ascii="仿宋_GB2312" w:hAnsi="仿宋_GB2312" w:eastAsia="仿宋_GB2312" w:cs="仿宋_GB2312"/>
                <w:sz w:val="24"/>
              </w:rPr>
            </w:pPr>
            <w:r>
              <w:rPr>
                <w:rFonts w:hint="eastAsia" w:ascii="仿宋_GB2312" w:hAnsi="仿宋_GB2312" w:eastAsia="仿宋_GB2312" w:cs="仿宋_GB2312"/>
                <w:sz w:val="24"/>
              </w:rPr>
              <w:t>一级监管</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54A93633">
            <w:pPr>
              <w:widowControl/>
              <w:spacing w:line="560" w:lineRule="exact"/>
              <w:jc w:val="center"/>
              <w:rPr>
                <w:rFonts w:ascii="仿宋_GB2312" w:hAnsi="仿宋_GB2312" w:eastAsia="仿宋_GB2312" w:cs="仿宋_GB2312"/>
                <w:sz w:val="24"/>
              </w:rPr>
            </w:pPr>
            <w:r>
              <w:rPr>
                <w:rFonts w:hint="eastAsia" w:ascii="仿宋_GB2312" w:hAnsi="仿宋_GB2312" w:eastAsia="仿宋_GB2312" w:cs="仿宋_GB2312"/>
                <w:sz w:val="24"/>
              </w:rPr>
              <w:t>一级监管</w:t>
            </w:r>
          </w:p>
        </w:tc>
        <w:tc>
          <w:tcPr>
            <w:tcW w:w="1802"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15" w:type="dxa"/>
              <w:right w:w="15" w:type="dxa"/>
            </w:tcMar>
            <w:vAlign w:val="center"/>
          </w:tcPr>
          <w:p w14:paraId="7A9122E2">
            <w:pPr>
              <w:widowControl/>
              <w:spacing w:line="560" w:lineRule="exact"/>
              <w:jc w:val="center"/>
              <w:rPr>
                <w:rFonts w:ascii="仿宋_GB2312" w:hAnsi="仿宋_GB2312" w:eastAsia="仿宋_GB2312" w:cs="仿宋_GB2312"/>
                <w:sz w:val="24"/>
              </w:rPr>
            </w:pPr>
            <w:r>
              <w:rPr>
                <w:rFonts w:hint="eastAsia" w:ascii="仿宋_GB2312" w:hAnsi="仿宋_GB2312" w:eastAsia="仿宋_GB2312" w:cs="仿宋_GB2312"/>
                <w:sz w:val="24"/>
              </w:rPr>
              <w:t>一级监管</w:t>
            </w:r>
          </w:p>
        </w:tc>
      </w:tr>
    </w:tbl>
    <w:p w14:paraId="2DC5353E">
      <w:pPr>
        <w:spacing w:line="400" w:lineRule="exact"/>
        <w:ind w:firstLine="480" w:firstLineChars="200"/>
        <w:rPr>
          <w:rFonts w:ascii="仿宋_GB2312" w:hAnsi="仿宋_GB2312" w:eastAsia="仿宋_GB2312" w:cs="仿宋_GB2312"/>
          <w:bCs/>
          <w:kern w:val="0"/>
          <w:sz w:val="24"/>
          <w:szCs w:val="22"/>
        </w:rPr>
      </w:pPr>
    </w:p>
    <w:sectPr>
      <w:pgSz w:w="11906" w:h="16838"/>
      <w:pgMar w:top="2098" w:right="1531" w:bottom="1985" w:left="1531" w:header="851" w:footer="119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0000000000000000000"/>
    <w:charset w:val="86"/>
    <w:family w:val="swiss"/>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4DCA3">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C80853">
                          <w:pPr>
                            <w:pStyle w:val="13"/>
                          </w:pPr>
                          <w:r>
                            <w:fldChar w:fldCharType="begin"/>
                          </w:r>
                          <w:r>
                            <w:instrText xml:space="preserve"> PAGE  \* MERGEFORMAT </w:instrText>
                          </w:r>
                          <w:r>
                            <w:fldChar w:fldCharType="separate"/>
                          </w:r>
                          <w:r>
                            <w:t>- 15 -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BC80853">
                    <w:pPr>
                      <w:pStyle w:val="13"/>
                    </w:pPr>
                    <w:r>
                      <w:fldChar w:fldCharType="begin"/>
                    </w:r>
                    <w:r>
                      <w:instrText xml:space="preserve"> PAGE  \* MERGEFORMAT </w:instrText>
                    </w:r>
                    <w:r>
                      <w:fldChar w:fldCharType="separate"/>
                    </w:r>
                    <w:r>
                      <w:t>- 15 -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D49"/>
    <w:rsid w:val="00037FA4"/>
    <w:rsid w:val="00195D49"/>
    <w:rsid w:val="00222F4C"/>
    <w:rsid w:val="00226849"/>
    <w:rsid w:val="00351661"/>
    <w:rsid w:val="003F7626"/>
    <w:rsid w:val="00472097"/>
    <w:rsid w:val="0049020D"/>
    <w:rsid w:val="004A34CA"/>
    <w:rsid w:val="00593490"/>
    <w:rsid w:val="006D38BF"/>
    <w:rsid w:val="0078546B"/>
    <w:rsid w:val="007C717F"/>
    <w:rsid w:val="007E1D5F"/>
    <w:rsid w:val="00814795"/>
    <w:rsid w:val="009E055E"/>
    <w:rsid w:val="00A33F27"/>
    <w:rsid w:val="00C725D8"/>
    <w:rsid w:val="00C87F7E"/>
    <w:rsid w:val="00CA5AA6"/>
    <w:rsid w:val="00D158EE"/>
    <w:rsid w:val="00D409ED"/>
    <w:rsid w:val="00D77FD4"/>
    <w:rsid w:val="00E66F05"/>
    <w:rsid w:val="00EA3662"/>
    <w:rsid w:val="00EB3CF1"/>
    <w:rsid w:val="00F0507A"/>
    <w:rsid w:val="00F44F67"/>
    <w:rsid w:val="00FA1DF8"/>
    <w:rsid w:val="01017684"/>
    <w:rsid w:val="01D37272"/>
    <w:rsid w:val="01EA0118"/>
    <w:rsid w:val="01EC3E90"/>
    <w:rsid w:val="020A6F0D"/>
    <w:rsid w:val="020F7B7E"/>
    <w:rsid w:val="022A0B47"/>
    <w:rsid w:val="02647ECA"/>
    <w:rsid w:val="02FA438B"/>
    <w:rsid w:val="03817ED2"/>
    <w:rsid w:val="03830824"/>
    <w:rsid w:val="038369CF"/>
    <w:rsid w:val="03912F41"/>
    <w:rsid w:val="039D18E6"/>
    <w:rsid w:val="03AF33C7"/>
    <w:rsid w:val="03E868D9"/>
    <w:rsid w:val="042C4A18"/>
    <w:rsid w:val="04363AE8"/>
    <w:rsid w:val="0442423B"/>
    <w:rsid w:val="04602913"/>
    <w:rsid w:val="04983E5B"/>
    <w:rsid w:val="050D2A9B"/>
    <w:rsid w:val="056A3A4A"/>
    <w:rsid w:val="058970CE"/>
    <w:rsid w:val="05C375FE"/>
    <w:rsid w:val="06421DF6"/>
    <w:rsid w:val="066821CE"/>
    <w:rsid w:val="06DD649D"/>
    <w:rsid w:val="07342561"/>
    <w:rsid w:val="07422BFD"/>
    <w:rsid w:val="07506C6F"/>
    <w:rsid w:val="07677852"/>
    <w:rsid w:val="078801B7"/>
    <w:rsid w:val="078B5EF9"/>
    <w:rsid w:val="08071A24"/>
    <w:rsid w:val="08205941"/>
    <w:rsid w:val="08471E20"/>
    <w:rsid w:val="085048C6"/>
    <w:rsid w:val="087345A0"/>
    <w:rsid w:val="08760957"/>
    <w:rsid w:val="0876339D"/>
    <w:rsid w:val="08831C4B"/>
    <w:rsid w:val="08E27D9B"/>
    <w:rsid w:val="094840A2"/>
    <w:rsid w:val="094E3682"/>
    <w:rsid w:val="099E0166"/>
    <w:rsid w:val="09C92DC5"/>
    <w:rsid w:val="09FD566F"/>
    <w:rsid w:val="0A252635"/>
    <w:rsid w:val="0A4C1970"/>
    <w:rsid w:val="0AD025A1"/>
    <w:rsid w:val="0AD32091"/>
    <w:rsid w:val="0AE61EF7"/>
    <w:rsid w:val="0AF61D8A"/>
    <w:rsid w:val="0B495EAF"/>
    <w:rsid w:val="0BEA32BC"/>
    <w:rsid w:val="0C525237"/>
    <w:rsid w:val="0C803B53"/>
    <w:rsid w:val="0CEE0554"/>
    <w:rsid w:val="0D124B42"/>
    <w:rsid w:val="0D1F15BD"/>
    <w:rsid w:val="0D307327"/>
    <w:rsid w:val="0D4E1EA3"/>
    <w:rsid w:val="0DCE6B40"/>
    <w:rsid w:val="0E1C5AFD"/>
    <w:rsid w:val="0E4E370C"/>
    <w:rsid w:val="0E6A4ABA"/>
    <w:rsid w:val="0E7F71FA"/>
    <w:rsid w:val="0E807E3A"/>
    <w:rsid w:val="0E83792A"/>
    <w:rsid w:val="0F130469"/>
    <w:rsid w:val="0F20161D"/>
    <w:rsid w:val="0F587009"/>
    <w:rsid w:val="0F841BAC"/>
    <w:rsid w:val="0F9A5518"/>
    <w:rsid w:val="0FB35A85"/>
    <w:rsid w:val="0FBC1346"/>
    <w:rsid w:val="0FC96AE4"/>
    <w:rsid w:val="102869DB"/>
    <w:rsid w:val="10617B91"/>
    <w:rsid w:val="10795489"/>
    <w:rsid w:val="107E0E1C"/>
    <w:rsid w:val="10C2298C"/>
    <w:rsid w:val="10C33B0F"/>
    <w:rsid w:val="10F547A6"/>
    <w:rsid w:val="11052878"/>
    <w:rsid w:val="11074842"/>
    <w:rsid w:val="11154812"/>
    <w:rsid w:val="1142587A"/>
    <w:rsid w:val="11717F0E"/>
    <w:rsid w:val="119B4F8B"/>
    <w:rsid w:val="11A93B4C"/>
    <w:rsid w:val="11D010D8"/>
    <w:rsid w:val="11DD1A47"/>
    <w:rsid w:val="12A762DD"/>
    <w:rsid w:val="12DB5F87"/>
    <w:rsid w:val="12E3308D"/>
    <w:rsid w:val="12E806A4"/>
    <w:rsid w:val="130C11DC"/>
    <w:rsid w:val="130F79DE"/>
    <w:rsid w:val="13143247"/>
    <w:rsid w:val="13256945"/>
    <w:rsid w:val="135E26FA"/>
    <w:rsid w:val="13631AD8"/>
    <w:rsid w:val="13A4281C"/>
    <w:rsid w:val="13CE1647"/>
    <w:rsid w:val="13D749A0"/>
    <w:rsid w:val="13FA41EA"/>
    <w:rsid w:val="141E4167"/>
    <w:rsid w:val="149F5D7C"/>
    <w:rsid w:val="150572EB"/>
    <w:rsid w:val="15227E9D"/>
    <w:rsid w:val="15436065"/>
    <w:rsid w:val="157D50D3"/>
    <w:rsid w:val="158226E9"/>
    <w:rsid w:val="159A20A5"/>
    <w:rsid w:val="15AB6D2B"/>
    <w:rsid w:val="15EE4223"/>
    <w:rsid w:val="16087F4C"/>
    <w:rsid w:val="16300397"/>
    <w:rsid w:val="16331C36"/>
    <w:rsid w:val="169D42F5"/>
    <w:rsid w:val="16A843D2"/>
    <w:rsid w:val="16B9038D"/>
    <w:rsid w:val="16FB4F43"/>
    <w:rsid w:val="170610F8"/>
    <w:rsid w:val="1711641B"/>
    <w:rsid w:val="171944C4"/>
    <w:rsid w:val="1723614E"/>
    <w:rsid w:val="17237EFC"/>
    <w:rsid w:val="17430721"/>
    <w:rsid w:val="17822E75"/>
    <w:rsid w:val="17B4091A"/>
    <w:rsid w:val="17C23271"/>
    <w:rsid w:val="17CD5898"/>
    <w:rsid w:val="17EB6EA6"/>
    <w:rsid w:val="17EC7A5E"/>
    <w:rsid w:val="18610CDC"/>
    <w:rsid w:val="18833979"/>
    <w:rsid w:val="19540841"/>
    <w:rsid w:val="197902A7"/>
    <w:rsid w:val="19BF41EC"/>
    <w:rsid w:val="1A0D279E"/>
    <w:rsid w:val="1A475CB0"/>
    <w:rsid w:val="1A8203A0"/>
    <w:rsid w:val="1A8C400A"/>
    <w:rsid w:val="1ACE017F"/>
    <w:rsid w:val="1ADA6B24"/>
    <w:rsid w:val="1AF71484"/>
    <w:rsid w:val="1B097409"/>
    <w:rsid w:val="1B134D1D"/>
    <w:rsid w:val="1B395F40"/>
    <w:rsid w:val="1B3F107D"/>
    <w:rsid w:val="1B410951"/>
    <w:rsid w:val="1B9211AC"/>
    <w:rsid w:val="1BAF1D5E"/>
    <w:rsid w:val="1C395ACC"/>
    <w:rsid w:val="1C4A7CD9"/>
    <w:rsid w:val="1C6A048F"/>
    <w:rsid w:val="1C9F6277"/>
    <w:rsid w:val="1CEE2D5A"/>
    <w:rsid w:val="1D1E53EE"/>
    <w:rsid w:val="1D2B7B0B"/>
    <w:rsid w:val="1D384EF4"/>
    <w:rsid w:val="1D526E45"/>
    <w:rsid w:val="1D927B8A"/>
    <w:rsid w:val="1DC6338F"/>
    <w:rsid w:val="1DD65CC8"/>
    <w:rsid w:val="1DF06B2F"/>
    <w:rsid w:val="1E0C16EA"/>
    <w:rsid w:val="1E311151"/>
    <w:rsid w:val="1E390005"/>
    <w:rsid w:val="1E4569AA"/>
    <w:rsid w:val="1E5B309D"/>
    <w:rsid w:val="1E8C6387"/>
    <w:rsid w:val="1E960FB4"/>
    <w:rsid w:val="1EB25774"/>
    <w:rsid w:val="1EE24A39"/>
    <w:rsid w:val="1EF001D5"/>
    <w:rsid w:val="1F143066"/>
    <w:rsid w:val="1F3229C2"/>
    <w:rsid w:val="1F617814"/>
    <w:rsid w:val="1F6E1F30"/>
    <w:rsid w:val="1F8B4890"/>
    <w:rsid w:val="200E6725"/>
    <w:rsid w:val="201C7BDE"/>
    <w:rsid w:val="202D3B9A"/>
    <w:rsid w:val="2043117D"/>
    <w:rsid w:val="204F1D62"/>
    <w:rsid w:val="20F63F8C"/>
    <w:rsid w:val="210459B8"/>
    <w:rsid w:val="21052421"/>
    <w:rsid w:val="21A1039B"/>
    <w:rsid w:val="21B06830"/>
    <w:rsid w:val="220D5A31"/>
    <w:rsid w:val="2228286B"/>
    <w:rsid w:val="22462CF1"/>
    <w:rsid w:val="22B1477A"/>
    <w:rsid w:val="22BD1205"/>
    <w:rsid w:val="22C500B9"/>
    <w:rsid w:val="236E24FF"/>
    <w:rsid w:val="237613B4"/>
    <w:rsid w:val="238C6315"/>
    <w:rsid w:val="243D75AA"/>
    <w:rsid w:val="245B6F27"/>
    <w:rsid w:val="246D27B7"/>
    <w:rsid w:val="24844675"/>
    <w:rsid w:val="25180974"/>
    <w:rsid w:val="253357AE"/>
    <w:rsid w:val="25463766"/>
    <w:rsid w:val="256420BF"/>
    <w:rsid w:val="257858B7"/>
    <w:rsid w:val="257E230E"/>
    <w:rsid w:val="26345C82"/>
    <w:rsid w:val="26435EC5"/>
    <w:rsid w:val="264834DB"/>
    <w:rsid w:val="26793695"/>
    <w:rsid w:val="26BA4560"/>
    <w:rsid w:val="26BB6D51"/>
    <w:rsid w:val="26F31699"/>
    <w:rsid w:val="271D6716"/>
    <w:rsid w:val="277255C6"/>
    <w:rsid w:val="278E4F1E"/>
    <w:rsid w:val="279F3713"/>
    <w:rsid w:val="27BB7CDD"/>
    <w:rsid w:val="27EF6F5A"/>
    <w:rsid w:val="284B72B3"/>
    <w:rsid w:val="28520641"/>
    <w:rsid w:val="28702875"/>
    <w:rsid w:val="28724840"/>
    <w:rsid w:val="28D37183"/>
    <w:rsid w:val="29E74DB9"/>
    <w:rsid w:val="29E754BD"/>
    <w:rsid w:val="29EE7EF6"/>
    <w:rsid w:val="29F319B0"/>
    <w:rsid w:val="2A697EC4"/>
    <w:rsid w:val="2A77438F"/>
    <w:rsid w:val="2AA1765E"/>
    <w:rsid w:val="2AAD1B5F"/>
    <w:rsid w:val="2AED63FF"/>
    <w:rsid w:val="2B392F3E"/>
    <w:rsid w:val="2BA967CA"/>
    <w:rsid w:val="2C1A7F27"/>
    <w:rsid w:val="2C35005E"/>
    <w:rsid w:val="2C4B5AD3"/>
    <w:rsid w:val="2C626979"/>
    <w:rsid w:val="2C7C3EDF"/>
    <w:rsid w:val="2CDB4EBB"/>
    <w:rsid w:val="2CF41CC7"/>
    <w:rsid w:val="2D085772"/>
    <w:rsid w:val="2D1E39B5"/>
    <w:rsid w:val="2D2325AC"/>
    <w:rsid w:val="2D8A6187"/>
    <w:rsid w:val="2DAF2092"/>
    <w:rsid w:val="2DB04579"/>
    <w:rsid w:val="2DC55411"/>
    <w:rsid w:val="2DD37B2E"/>
    <w:rsid w:val="2E1819E5"/>
    <w:rsid w:val="2E2B796A"/>
    <w:rsid w:val="2E36678D"/>
    <w:rsid w:val="2E5D1AEE"/>
    <w:rsid w:val="2EBD258D"/>
    <w:rsid w:val="2F034443"/>
    <w:rsid w:val="2F7B66D0"/>
    <w:rsid w:val="2FAA2B11"/>
    <w:rsid w:val="2FBE036A"/>
    <w:rsid w:val="2FDB474A"/>
    <w:rsid w:val="30224D9D"/>
    <w:rsid w:val="303348B4"/>
    <w:rsid w:val="306B7AD4"/>
    <w:rsid w:val="306E1D90"/>
    <w:rsid w:val="309F019C"/>
    <w:rsid w:val="30AC4667"/>
    <w:rsid w:val="31464F21"/>
    <w:rsid w:val="3163741B"/>
    <w:rsid w:val="317F1D7B"/>
    <w:rsid w:val="319D54FA"/>
    <w:rsid w:val="31AF0B33"/>
    <w:rsid w:val="31D976DD"/>
    <w:rsid w:val="31FC0BA1"/>
    <w:rsid w:val="31FE0EF2"/>
    <w:rsid w:val="323B2146"/>
    <w:rsid w:val="325F4087"/>
    <w:rsid w:val="32891103"/>
    <w:rsid w:val="32FF4F22"/>
    <w:rsid w:val="331C1F78"/>
    <w:rsid w:val="336851BD"/>
    <w:rsid w:val="33A855B9"/>
    <w:rsid w:val="33AA1331"/>
    <w:rsid w:val="33F41315"/>
    <w:rsid w:val="34303260"/>
    <w:rsid w:val="345D63A4"/>
    <w:rsid w:val="346C65E7"/>
    <w:rsid w:val="34A55F9D"/>
    <w:rsid w:val="34BD2162"/>
    <w:rsid w:val="34C04B85"/>
    <w:rsid w:val="34D61C7F"/>
    <w:rsid w:val="34F605A6"/>
    <w:rsid w:val="353C06AF"/>
    <w:rsid w:val="35411821"/>
    <w:rsid w:val="35777939"/>
    <w:rsid w:val="359027A9"/>
    <w:rsid w:val="35AB75E3"/>
    <w:rsid w:val="35AD5109"/>
    <w:rsid w:val="35D61BDE"/>
    <w:rsid w:val="35EF5040"/>
    <w:rsid w:val="35F965A0"/>
    <w:rsid w:val="360A4309"/>
    <w:rsid w:val="36527A5E"/>
    <w:rsid w:val="36592B9B"/>
    <w:rsid w:val="36BF3346"/>
    <w:rsid w:val="36C721FA"/>
    <w:rsid w:val="36D6068F"/>
    <w:rsid w:val="37182A56"/>
    <w:rsid w:val="37357164"/>
    <w:rsid w:val="377203B8"/>
    <w:rsid w:val="378E0F6A"/>
    <w:rsid w:val="378F4E35"/>
    <w:rsid w:val="379320DC"/>
    <w:rsid w:val="38213B8C"/>
    <w:rsid w:val="38602906"/>
    <w:rsid w:val="386D5023"/>
    <w:rsid w:val="38CA5FD2"/>
    <w:rsid w:val="38F53023"/>
    <w:rsid w:val="390B7A49"/>
    <w:rsid w:val="390E4110"/>
    <w:rsid w:val="39557F91"/>
    <w:rsid w:val="396106E4"/>
    <w:rsid w:val="39671A73"/>
    <w:rsid w:val="3982065B"/>
    <w:rsid w:val="39C70C72"/>
    <w:rsid w:val="3A075FBF"/>
    <w:rsid w:val="3A4E5ED7"/>
    <w:rsid w:val="3A541FF7"/>
    <w:rsid w:val="3AAD1124"/>
    <w:rsid w:val="3ABE56C2"/>
    <w:rsid w:val="3AD35612"/>
    <w:rsid w:val="3AFE01B5"/>
    <w:rsid w:val="3B4B164C"/>
    <w:rsid w:val="3BBC60A6"/>
    <w:rsid w:val="3BD50F16"/>
    <w:rsid w:val="3BE455FD"/>
    <w:rsid w:val="3BFD046C"/>
    <w:rsid w:val="3C4A1903"/>
    <w:rsid w:val="3C7050E2"/>
    <w:rsid w:val="3C9C5ED7"/>
    <w:rsid w:val="3CA65DAF"/>
    <w:rsid w:val="3CC33464"/>
    <w:rsid w:val="3CDE204C"/>
    <w:rsid w:val="3CF25AF7"/>
    <w:rsid w:val="3CF74EBC"/>
    <w:rsid w:val="3D0D2931"/>
    <w:rsid w:val="3D17730C"/>
    <w:rsid w:val="3E0E6961"/>
    <w:rsid w:val="3E344619"/>
    <w:rsid w:val="3E4B3711"/>
    <w:rsid w:val="3EF73899"/>
    <w:rsid w:val="3EF94F1B"/>
    <w:rsid w:val="3F11647E"/>
    <w:rsid w:val="3F1B1335"/>
    <w:rsid w:val="3F1C6E5B"/>
    <w:rsid w:val="3F512FA9"/>
    <w:rsid w:val="3F7B1DD4"/>
    <w:rsid w:val="3F9B5FD2"/>
    <w:rsid w:val="401F4E55"/>
    <w:rsid w:val="4024246B"/>
    <w:rsid w:val="4050500F"/>
    <w:rsid w:val="405F34A4"/>
    <w:rsid w:val="41036525"/>
    <w:rsid w:val="41083599"/>
    <w:rsid w:val="410C362B"/>
    <w:rsid w:val="4160671C"/>
    <w:rsid w:val="417440AD"/>
    <w:rsid w:val="4185518C"/>
    <w:rsid w:val="41C17BF0"/>
    <w:rsid w:val="425132C0"/>
    <w:rsid w:val="4269685C"/>
    <w:rsid w:val="42817701"/>
    <w:rsid w:val="42BC698B"/>
    <w:rsid w:val="43212C92"/>
    <w:rsid w:val="433901D7"/>
    <w:rsid w:val="436239D7"/>
    <w:rsid w:val="43AE3A19"/>
    <w:rsid w:val="43F67691"/>
    <w:rsid w:val="441427F7"/>
    <w:rsid w:val="4439400C"/>
    <w:rsid w:val="4467501D"/>
    <w:rsid w:val="44986F84"/>
    <w:rsid w:val="44C935E1"/>
    <w:rsid w:val="44DD0888"/>
    <w:rsid w:val="44E4041B"/>
    <w:rsid w:val="44FC39B7"/>
    <w:rsid w:val="4530540F"/>
    <w:rsid w:val="45462E84"/>
    <w:rsid w:val="454B049A"/>
    <w:rsid w:val="45B47BFC"/>
    <w:rsid w:val="45B918A8"/>
    <w:rsid w:val="462369CB"/>
    <w:rsid w:val="46342CDD"/>
    <w:rsid w:val="464A2500"/>
    <w:rsid w:val="46EA58B1"/>
    <w:rsid w:val="46EB5A91"/>
    <w:rsid w:val="47217705"/>
    <w:rsid w:val="4732546E"/>
    <w:rsid w:val="47693781"/>
    <w:rsid w:val="4777055B"/>
    <w:rsid w:val="481449A9"/>
    <w:rsid w:val="481E1E96"/>
    <w:rsid w:val="484F599D"/>
    <w:rsid w:val="485A6BE0"/>
    <w:rsid w:val="48855A71"/>
    <w:rsid w:val="48E1539E"/>
    <w:rsid w:val="48FC21D7"/>
    <w:rsid w:val="49105C83"/>
    <w:rsid w:val="4957740E"/>
    <w:rsid w:val="4981448B"/>
    <w:rsid w:val="49AA1C33"/>
    <w:rsid w:val="4A0A0924"/>
    <w:rsid w:val="4A1061E1"/>
    <w:rsid w:val="4A121587"/>
    <w:rsid w:val="4A2D4613"/>
    <w:rsid w:val="4A9401EE"/>
    <w:rsid w:val="4AAA7A11"/>
    <w:rsid w:val="4B007631"/>
    <w:rsid w:val="4B1C781C"/>
    <w:rsid w:val="4B2772B4"/>
    <w:rsid w:val="4B481704"/>
    <w:rsid w:val="4B49547C"/>
    <w:rsid w:val="4B83273C"/>
    <w:rsid w:val="4B920BD1"/>
    <w:rsid w:val="4BC468B1"/>
    <w:rsid w:val="4C341C88"/>
    <w:rsid w:val="4C4D68A6"/>
    <w:rsid w:val="4CB35DAC"/>
    <w:rsid w:val="4CB703AD"/>
    <w:rsid w:val="4CB93F3C"/>
    <w:rsid w:val="4CC052CA"/>
    <w:rsid w:val="4D2300F4"/>
    <w:rsid w:val="4DCA144C"/>
    <w:rsid w:val="4DF01E53"/>
    <w:rsid w:val="4E21623C"/>
    <w:rsid w:val="4E4A131D"/>
    <w:rsid w:val="4E4D0DDF"/>
    <w:rsid w:val="4E6A373F"/>
    <w:rsid w:val="4E704ACE"/>
    <w:rsid w:val="4EB55A7E"/>
    <w:rsid w:val="4ED82D9F"/>
    <w:rsid w:val="4F073684"/>
    <w:rsid w:val="4F310701"/>
    <w:rsid w:val="4F367AC5"/>
    <w:rsid w:val="4F5166AD"/>
    <w:rsid w:val="4F5D1453"/>
    <w:rsid w:val="4F652159"/>
    <w:rsid w:val="4F9D33AA"/>
    <w:rsid w:val="4FA30B36"/>
    <w:rsid w:val="4FA9473B"/>
    <w:rsid w:val="4FB0014A"/>
    <w:rsid w:val="4FE958A7"/>
    <w:rsid w:val="50120532"/>
    <w:rsid w:val="5068673D"/>
    <w:rsid w:val="50A76ECD"/>
    <w:rsid w:val="50F73284"/>
    <w:rsid w:val="512E314A"/>
    <w:rsid w:val="5167665C"/>
    <w:rsid w:val="51887260"/>
    <w:rsid w:val="518E5997"/>
    <w:rsid w:val="519B00B4"/>
    <w:rsid w:val="51BD2325"/>
    <w:rsid w:val="51F60CE5"/>
    <w:rsid w:val="521D4F6D"/>
    <w:rsid w:val="52505342"/>
    <w:rsid w:val="52554706"/>
    <w:rsid w:val="52DC0984"/>
    <w:rsid w:val="530A729F"/>
    <w:rsid w:val="53130849"/>
    <w:rsid w:val="53803A05"/>
    <w:rsid w:val="5386726D"/>
    <w:rsid w:val="53AC47FA"/>
    <w:rsid w:val="53B10568"/>
    <w:rsid w:val="53B92A73"/>
    <w:rsid w:val="541D04BA"/>
    <w:rsid w:val="54224B20"/>
    <w:rsid w:val="544D7D8B"/>
    <w:rsid w:val="54570AA6"/>
    <w:rsid w:val="548F7932"/>
    <w:rsid w:val="54D20290"/>
    <w:rsid w:val="550D3076"/>
    <w:rsid w:val="55383124"/>
    <w:rsid w:val="555C085E"/>
    <w:rsid w:val="55757355"/>
    <w:rsid w:val="558C69D8"/>
    <w:rsid w:val="55B654BC"/>
    <w:rsid w:val="55F54236"/>
    <w:rsid w:val="56533F5A"/>
    <w:rsid w:val="56586573"/>
    <w:rsid w:val="56754367"/>
    <w:rsid w:val="56867584"/>
    <w:rsid w:val="568B4B9B"/>
    <w:rsid w:val="56AF6ADB"/>
    <w:rsid w:val="570566FB"/>
    <w:rsid w:val="576158FB"/>
    <w:rsid w:val="57865EAF"/>
    <w:rsid w:val="579E08FE"/>
    <w:rsid w:val="57E5652D"/>
    <w:rsid w:val="58535244"/>
    <w:rsid w:val="58694A68"/>
    <w:rsid w:val="586B4C84"/>
    <w:rsid w:val="58AE2DC2"/>
    <w:rsid w:val="58B33F35"/>
    <w:rsid w:val="58C223CA"/>
    <w:rsid w:val="58F033DB"/>
    <w:rsid w:val="59505C28"/>
    <w:rsid w:val="59943D66"/>
    <w:rsid w:val="5A461504"/>
    <w:rsid w:val="5A513A05"/>
    <w:rsid w:val="5A6000EC"/>
    <w:rsid w:val="5A760E0D"/>
    <w:rsid w:val="5AD00DCE"/>
    <w:rsid w:val="5B4812AC"/>
    <w:rsid w:val="5B4E1318"/>
    <w:rsid w:val="5B5A2D8E"/>
    <w:rsid w:val="5B745BFD"/>
    <w:rsid w:val="5B914A01"/>
    <w:rsid w:val="5BA1276A"/>
    <w:rsid w:val="5BCC6689"/>
    <w:rsid w:val="5BE03293"/>
    <w:rsid w:val="5C5679F9"/>
    <w:rsid w:val="5C6043D4"/>
    <w:rsid w:val="5C86208C"/>
    <w:rsid w:val="5C9127DF"/>
    <w:rsid w:val="5CDE0783"/>
    <w:rsid w:val="5CF702E9"/>
    <w:rsid w:val="5D123920"/>
    <w:rsid w:val="5D204968"/>
    <w:rsid w:val="5D600B2F"/>
    <w:rsid w:val="5D8331B0"/>
    <w:rsid w:val="5DA02187"/>
    <w:rsid w:val="5DBC7D30"/>
    <w:rsid w:val="5DC42740"/>
    <w:rsid w:val="5DED0326"/>
    <w:rsid w:val="5DF91E52"/>
    <w:rsid w:val="5E056FE1"/>
    <w:rsid w:val="5E583CFE"/>
    <w:rsid w:val="5E6F08FE"/>
    <w:rsid w:val="5E9B5B97"/>
    <w:rsid w:val="5EC46E9C"/>
    <w:rsid w:val="5EE4753E"/>
    <w:rsid w:val="5F0223ED"/>
    <w:rsid w:val="5F8F5EE2"/>
    <w:rsid w:val="5F93686E"/>
    <w:rsid w:val="5FCD7FD2"/>
    <w:rsid w:val="5FE13A7D"/>
    <w:rsid w:val="5FE62E42"/>
    <w:rsid w:val="606E3563"/>
    <w:rsid w:val="60C27E22"/>
    <w:rsid w:val="60C7798F"/>
    <w:rsid w:val="61045C75"/>
    <w:rsid w:val="61161505"/>
    <w:rsid w:val="61265BEC"/>
    <w:rsid w:val="61295BC6"/>
    <w:rsid w:val="612C6F7A"/>
    <w:rsid w:val="61300818"/>
    <w:rsid w:val="614C3178"/>
    <w:rsid w:val="61A82AA5"/>
    <w:rsid w:val="61A96E48"/>
    <w:rsid w:val="61D94A0C"/>
    <w:rsid w:val="61DB4FEA"/>
    <w:rsid w:val="61E810F3"/>
    <w:rsid w:val="61F93300"/>
    <w:rsid w:val="62214605"/>
    <w:rsid w:val="62233ED9"/>
    <w:rsid w:val="623000AB"/>
    <w:rsid w:val="62885B17"/>
    <w:rsid w:val="62C90F25"/>
    <w:rsid w:val="62EB1C4F"/>
    <w:rsid w:val="630C0E11"/>
    <w:rsid w:val="63415C65"/>
    <w:rsid w:val="634E7584"/>
    <w:rsid w:val="63646678"/>
    <w:rsid w:val="636B5B38"/>
    <w:rsid w:val="63750765"/>
    <w:rsid w:val="63892462"/>
    <w:rsid w:val="639130C5"/>
    <w:rsid w:val="63A96660"/>
    <w:rsid w:val="63BF5E84"/>
    <w:rsid w:val="643A5E7D"/>
    <w:rsid w:val="64601415"/>
    <w:rsid w:val="649C0BA2"/>
    <w:rsid w:val="64F733FB"/>
    <w:rsid w:val="65000502"/>
    <w:rsid w:val="652D55BE"/>
    <w:rsid w:val="659E5744"/>
    <w:rsid w:val="65B740EF"/>
    <w:rsid w:val="65B8702E"/>
    <w:rsid w:val="65BF660F"/>
    <w:rsid w:val="65D025CA"/>
    <w:rsid w:val="65ED15BB"/>
    <w:rsid w:val="66410DD2"/>
    <w:rsid w:val="66501015"/>
    <w:rsid w:val="66694112"/>
    <w:rsid w:val="667271DD"/>
    <w:rsid w:val="667322A4"/>
    <w:rsid w:val="668D3D67"/>
    <w:rsid w:val="67256946"/>
    <w:rsid w:val="6787315C"/>
    <w:rsid w:val="67A61834"/>
    <w:rsid w:val="67BA52E0"/>
    <w:rsid w:val="67EE6F14"/>
    <w:rsid w:val="67F26828"/>
    <w:rsid w:val="67FC1454"/>
    <w:rsid w:val="68091DC3"/>
    <w:rsid w:val="682664D1"/>
    <w:rsid w:val="682D5AB2"/>
    <w:rsid w:val="68582403"/>
    <w:rsid w:val="68B96533"/>
    <w:rsid w:val="69095760"/>
    <w:rsid w:val="690D7691"/>
    <w:rsid w:val="698F62F8"/>
    <w:rsid w:val="69DF102E"/>
    <w:rsid w:val="69FC1BE0"/>
    <w:rsid w:val="6A01492A"/>
    <w:rsid w:val="6A0942FC"/>
    <w:rsid w:val="6A301889"/>
    <w:rsid w:val="6A5C442C"/>
    <w:rsid w:val="6A933BC6"/>
    <w:rsid w:val="6A962FC7"/>
    <w:rsid w:val="6AD77F57"/>
    <w:rsid w:val="6AEB32E1"/>
    <w:rsid w:val="6B014FD4"/>
    <w:rsid w:val="6B403D4E"/>
    <w:rsid w:val="6B6D4417"/>
    <w:rsid w:val="6B9D079E"/>
    <w:rsid w:val="6BD07D1C"/>
    <w:rsid w:val="6BD9385B"/>
    <w:rsid w:val="6C0B435C"/>
    <w:rsid w:val="6C4B6506"/>
    <w:rsid w:val="6C6D26B8"/>
    <w:rsid w:val="6CAB3449"/>
    <w:rsid w:val="6D0636B8"/>
    <w:rsid w:val="6D144025"/>
    <w:rsid w:val="6DBE0F5A"/>
    <w:rsid w:val="6DE05374"/>
    <w:rsid w:val="6DE211D7"/>
    <w:rsid w:val="6DE94229"/>
    <w:rsid w:val="6DF8446C"/>
    <w:rsid w:val="6E9C573F"/>
    <w:rsid w:val="6EBC36EB"/>
    <w:rsid w:val="6EEB2223"/>
    <w:rsid w:val="6EF56BFD"/>
    <w:rsid w:val="6F265009"/>
    <w:rsid w:val="6F5558EE"/>
    <w:rsid w:val="6F773AB6"/>
    <w:rsid w:val="6F906926"/>
    <w:rsid w:val="6FBB33FD"/>
    <w:rsid w:val="702C664F"/>
    <w:rsid w:val="70457711"/>
    <w:rsid w:val="7047792D"/>
    <w:rsid w:val="70814BED"/>
    <w:rsid w:val="70974410"/>
    <w:rsid w:val="70D71D1E"/>
    <w:rsid w:val="70E30808"/>
    <w:rsid w:val="70EB650A"/>
    <w:rsid w:val="71031AA6"/>
    <w:rsid w:val="71063BA2"/>
    <w:rsid w:val="71285068"/>
    <w:rsid w:val="71324139"/>
    <w:rsid w:val="714D2D21"/>
    <w:rsid w:val="71520337"/>
    <w:rsid w:val="71D945B4"/>
    <w:rsid w:val="71EC2A3F"/>
    <w:rsid w:val="721008CE"/>
    <w:rsid w:val="722577FA"/>
    <w:rsid w:val="724E4FA2"/>
    <w:rsid w:val="72630EE2"/>
    <w:rsid w:val="72986975"/>
    <w:rsid w:val="72BA62F1"/>
    <w:rsid w:val="72C708B1"/>
    <w:rsid w:val="73005B71"/>
    <w:rsid w:val="73022D0C"/>
    <w:rsid w:val="731C29AB"/>
    <w:rsid w:val="73214465"/>
    <w:rsid w:val="73357F10"/>
    <w:rsid w:val="735A7977"/>
    <w:rsid w:val="738B5D82"/>
    <w:rsid w:val="73B1611F"/>
    <w:rsid w:val="73EC1AA2"/>
    <w:rsid w:val="741A3445"/>
    <w:rsid w:val="744A1799"/>
    <w:rsid w:val="746A5998"/>
    <w:rsid w:val="747D56CB"/>
    <w:rsid w:val="74C26A47"/>
    <w:rsid w:val="74E10843"/>
    <w:rsid w:val="74F82D81"/>
    <w:rsid w:val="74FD05BA"/>
    <w:rsid w:val="74FF07D6"/>
    <w:rsid w:val="750758DC"/>
    <w:rsid w:val="75157FF9"/>
    <w:rsid w:val="75662603"/>
    <w:rsid w:val="75AA6994"/>
    <w:rsid w:val="75C94940"/>
    <w:rsid w:val="75CB06B8"/>
    <w:rsid w:val="760065B4"/>
    <w:rsid w:val="760D0CD1"/>
    <w:rsid w:val="762A1882"/>
    <w:rsid w:val="762B1157"/>
    <w:rsid w:val="763D406E"/>
    <w:rsid w:val="76593EF3"/>
    <w:rsid w:val="765B4ACC"/>
    <w:rsid w:val="765C7562"/>
    <w:rsid w:val="7691545E"/>
    <w:rsid w:val="769907B6"/>
    <w:rsid w:val="76C43A85"/>
    <w:rsid w:val="76E063E5"/>
    <w:rsid w:val="77057BFA"/>
    <w:rsid w:val="770E6AAE"/>
    <w:rsid w:val="77185C44"/>
    <w:rsid w:val="77387FCF"/>
    <w:rsid w:val="7750356B"/>
    <w:rsid w:val="77640DC4"/>
    <w:rsid w:val="776E2960"/>
    <w:rsid w:val="77C81353"/>
    <w:rsid w:val="77CB0E43"/>
    <w:rsid w:val="77F42148"/>
    <w:rsid w:val="77FC0FFD"/>
    <w:rsid w:val="783778FA"/>
    <w:rsid w:val="783C764B"/>
    <w:rsid w:val="78D43D28"/>
    <w:rsid w:val="78F65A4C"/>
    <w:rsid w:val="791E4FA3"/>
    <w:rsid w:val="79DB6D77"/>
    <w:rsid w:val="7A2B5BC9"/>
    <w:rsid w:val="7A342CD0"/>
    <w:rsid w:val="7A3902E6"/>
    <w:rsid w:val="7A4822D7"/>
    <w:rsid w:val="7A6C2C13"/>
    <w:rsid w:val="7A7A445B"/>
    <w:rsid w:val="7A7C0DA0"/>
    <w:rsid w:val="7A9419C0"/>
    <w:rsid w:val="7AD63D87"/>
    <w:rsid w:val="7AFB1A3F"/>
    <w:rsid w:val="7B3960C4"/>
    <w:rsid w:val="7B5B428C"/>
    <w:rsid w:val="7B656EB9"/>
    <w:rsid w:val="7B737828"/>
    <w:rsid w:val="7B7A2964"/>
    <w:rsid w:val="7BBE20CA"/>
    <w:rsid w:val="7BC92BBF"/>
    <w:rsid w:val="7BE44282"/>
    <w:rsid w:val="7C2B43D3"/>
    <w:rsid w:val="7C5C650E"/>
    <w:rsid w:val="7C7A5C40"/>
    <w:rsid w:val="7C9C690A"/>
    <w:rsid w:val="7CA37C99"/>
    <w:rsid w:val="7CAF663E"/>
    <w:rsid w:val="7CD71937"/>
    <w:rsid w:val="7CE00EED"/>
    <w:rsid w:val="7D012C11"/>
    <w:rsid w:val="7D1E37C3"/>
    <w:rsid w:val="7D6E64F9"/>
    <w:rsid w:val="7DA43CC8"/>
    <w:rsid w:val="7DF05160"/>
    <w:rsid w:val="7E1D3A7B"/>
    <w:rsid w:val="7E2D63B4"/>
    <w:rsid w:val="7E4F632A"/>
    <w:rsid w:val="7E8D6E52"/>
    <w:rsid w:val="7ECF2FC7"/>
    <w:rsid w:val="7F272E03"/>
    <w:rsid w:val="7F41118A"/>
    <w:rsid w:val="7F477001"/>
    <w:rsid w:val="7F4F5EB6"/>
    <w:rsid w:val="7F5923A2"/>
    <w:rsid w:val="7F900C29"/>
    <w:rsid w:val="7F9E20FB"/>
    <w:rsid w:val="7FB64187"/>
    <w:rsid w:val="7FC468A4"/>
    <w:rsid w:val="7FD10FC1"/>
    <w:rsid w:val="F7FE4D94"/>
    <w:rsid w:val="FD0EB29B"/>
    <w:rsid w:val="FFFEC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3"/>
    <w:qFormat/>
    <w:uiPriority w:val="0"/>
    <w:pPr>
      <w:jc w:val="left"/>
      <w:outlineLvl w:val="0"/>
    </w:pPr>
    <w:rPr>
      <w:rFonts w:ascii="Times New Roman" w:hAnsi="Times New Roman" w:eastAsia="黑体"/>
      <w:bCs/>
      <w:kern w:val="44"/>
      <w:szCs w:val="48"/>
    </w:rPr>
  </w:style>
  <w:style w:type="paragraph" w:styleId="3">
    <w:name w:val="heading 2"/>
    <w:basedOn w:val="1"/>
    <w:next w:val="1"/>
    <w:link w:val="24"/>
    <w:semiHidden/>
    <w:unhideWhenUsed/>
    <w:qFormat/>
    <w:uiPriority w:val="0"/>
    <w:pPr>
      <w:autoSpaceDE w:val="0"/>
      <w:autoSpaceDN w:val="0"/>
      <w:spacing w:line="560" w:lineRule="exact"/>
      <w:outlineLvl w:val="1"/>
    </w:pPr>
    <w:rPr>
      <w:rFonts w:ascii="Times New Roman" w:hAnsi="Times New Roman" w:eastAsia="楷体_GB2312" w:cs="宋体"/>
      <w:sz w:val="32"/>
      <w:szCs w:val="32"/>
    </w:rPr>
  </w:style>
  <w:style w:type="paragraph" w:styleId="4">
    <w:name w:val="heading 3"/>
    <w:basedOn w:val="1"/>
    <w:next w:val="1"/>
    <w:semiHidden/>
    <w:unhideWhenUsed/>
    <w:qFormat/>
    <w:uiPriority w:val="0"/>
    <w:pPr>
      <w:autoSpaceDE w:val="0"/>
      <w:autoSpaceDN w:val="0"/>
      <w:spacing w:line="560" w:lineRule="exact"/>
      <w:jc w:val="left"/>
      <w:outlineLvl w:val="2"/>
    </w:pPr>
    <w:rPr>
      <w:b/>
      <w:bCs/>
      <w:szCs w:val="27"/>
    </w:rPr>
  </w:style>
  <w:style w:type="paragraph" w:styleId="5">
    <w:name w:val="heading 4"/>
    <w:basedOn w:val="1"/>
    <w:next w:val="1"/>
    <w:semiHidden/>
    <w:unhideWhenUsed/>
    <w:qFormat/>
    <w:uiPriority w:val="0"/>
    <w:pPr>
      <w:spacing w:line="560" w:lineRule="exact"/>
      <w:outlineLvl w:val="3"/>
    </w:pPr>
    <w:rPr>
      <w:rFonts w:ascii="宋体" w:hAnsi="宋体" w:cs="宋体"/>
      <w:szCs w:val="25"/>
    </w:rPr>
  </w:style>
  <w:style w:type="paragraph" w:styleId="6">
    <w:name w:val="heading 5"/>
    <w:basedOn w:val="1"/>
    <w:next w:val="1"/>
    <w:semiHidden/>
    <w:unhideWhenUsed/>
    <w:qFormat/>
    <w:uiPriority w:val="0"/>
    <w:pPr>
      <w:keepNext/>
      <w:keepLines/>
      <w:spacing w:line="600" w:lineRule="exact"/>
      <w:ind w:left="440" w:leftChars="200"/>
      <w:outlineLvl w:val="4"/>
    </w:pPr>
    <w:rPr>
      <w:rFonts w:ascii="宋体" w:hAnsi="宋体" w:eastAsia="仿宋" w:cs="宋体"/>
      <w:b/>
      <w:sz w:val="24"/>
      <w:szCs w:val="22"/>
      <w:lang w:eastAsia="en-US"/>
    </w:rPr>
  </w:style>
  <w:style w:type="paragraph" w:styleId="7">
    <w:name w:val="heading 6"/>
    <w:basedOn w:val="1"/>
    <w:next w:val="1"/>
    <w:semiHidden/>
    <w:unhideWhenUsed/>
    <w:qFormat/>
    <w:uiPriority w:val="0"/>
    <w:pPr>
      <w:keepNext/>
      <w:keepLines/>
      <w:spacing w:line="600" w:lineRule="exact"/>
      <w:ind w:left="440" w:leftChars="200"/>
      <w:outlineLvl w:val="5"/>
    </w:pPr>
    <w:rPr>
      <w:rFonts w:ascii="Arial" w:hAnsi="Arial" w:eastAsia="仿宋" w:cs="宋体"/>
      <w:sz w:val="24"/>
      <w:szCs w:val="22"/>
      <w:lang w:eastAsia="en-US"/>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8">
    <w:name w:val="Normal Indent"/>
    <w:basedOn w:val="1"/>
    <w:qFormat/>
    <w:uiPriority w:val="0"/>
    <w:pPr>
      <w:ind w:firstLine="420" w:firstLineChars="200"/>
    </w:pPr>
  </w:style>
  <w:style w:type="paragraph" w:styleId="9">
    <w:name w:val="Body Text"/>
    <w:basedOn w:val="1"/>
    <w:qFormat/>
    <w:uiPriority w:val="0"/>
    <w:pPr>
      <w:spacing w:after="120"/>
    </w:pPr>
  </w:style>
  <w:style w:type="paragraph" w:styleId="10">
    <w:name w:val="Body Text Indent"/>
    <w:basedOn w:val="1"/>
    <w:qFormat/>
    <w:uiPriority w:val="0"/>
    <w:pPr>
      <w:spacing w:after="120"/>
      <w:ind w:left="420" w:leftChars="200"/>
    </w:pPr>
  </w:style>
  <w:style w:type="paragraph" w:styleId="11">
    <w:name w:val="Plain Text"/>
    <w:basedOn w:val="1"/>
    <w:next w:val="12"/>
    <w:qFormat/>
    <w:uiPriority w:val="0"/>
    <w:rPr>
      <w:rFonts w:ascii="宋体" w:hAnsi="Courier New"/>
    </w:rPr>
  </w:style>
  <w:style w:type="paragraph" w:styleId="12">
    <w:name w:val="index 9"/>
    <w:basedOn w:val="1"/>
    <w:next w:val="1"/>
    <w:qFormat/>
    <w:uiPriority w:val="0"/>
    <w:pPr>
      <w:ind w:left="1600" w:leftChars="1600"/>
    </w:p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header"/>
    <w:basedOn w:val="1"/>
    <w:next w:val="1"/>
    <w:unhideWhenUsed/>
    <w:qFormat/>
    <w:uiPriority w:val="99"/>
    <w:pPr>
      <w:tabs>
        <w:tab w:val="center" w:pos="4153"/>
        <w:tab w:val="right" w:pos="8306"/>
      </w:tabs>
      <w:snapToGrid w:val="0"/>
      <w:jc w:val="center"/>
    </w:pPr>
    <w:rPr>
      <w:sz w:val="18"/>
      <w:szCs w:val="18"/>
    </w:rPr>
  </w:style>
  <w:style w:type="paragraph" w:styleId="15">
    <w:name w:val="toc 1"/>
    <w:basedOn w:val="1"/>
    <w:next w:val="1"/>
    <w:qFormat/>
    <w:uiPriority w:val="0"/>
    <w:rPr>
      <w:sz w:val="28"/>
    </w:rPr>
  </w:style>
  <w:style w:type="paragraph" w:styleId="16">
    <w:name w:val="Normal (Web)"/>
    <w:next w:val="9"/>
    <w:unhideWhenUsed/>
    <w:qFormat/>
    <w:uiPriority w:val="99"/>
    <w:pPr>
      <w:spacing w:before="100" w:beforeAutospacing="1" w:after="100" w:afterAutospacing="1" w:line="276" w:lineRule="auto"/>
    </w:pPr>
    <w:rPr>
      <w:rFonts w:ascii="宋体" w:hAnsi="宋体" w:eastAsia="宋体" w:cs="宋体"/>
      <w:sz w:val="24"/>
      <w:szCs w:val="24"/>
      <w:lang w:val="en-US" w:eastAsia="zh-CN" w:bidi="ar-SA"/>
    </w:rPr>
  </w:style>
  <w:style w:type="paragraph" w:styleId="17">
    <w:name w:val="Body Text First Indent 2"/>
    <w:basedOn w:val="10"/>
    <w:qFormat/>
    <w:uiPriority w:val="0"/>
    <w:pPr>
      <w:ind w:firstLine="420" w:firstLineChars="200"/>
    </w:pPr>
  </w:style>
  <w:style w:type="table" w:styleId="19">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21">
    <w:name w:val="Strong"/>
    <w:basedOn w:val="20"/>
    <w:qFormat/>
    <w:uiPriority w:val="0"/>
    <w:rPr>
      <w:b/>
    </w:rPr>
  </w:style>
  <w:style w:type="paragraph" w:customStyle="1" w:styleId="22">
    <w:name w:val="BG正文"/>
    <w:basedOn w:val="1"/>
    <w:qFormat/>
    <w:uiPriority w:val="0"/>
    <w:pPr>
      <w:adjustRightInd w:val="0"/>
      <w:snapToGrid w:val="0"/>
      <w:spacing w:line="560" w:lineRule="atLeast"/>
      <w:ind w:firstLine="640" w:firstLineChars="200"/>
    </w:pPr>
    <w:rPr>
      <w:rFonts w:eastAsia="仿宋_GB2312" w:asciiTheme="minorHAnsi" w:hAnsiTheme="minorHAnsi"/>
    </w:rPr>
  </w:style>
  <w:style w:type="character" w:customStyle="1" w:styleId="23">
    <w:name w:val="标题 1 字符"/>
    <w:link w:val="2"/>
    <w:qFormat/>
    <w:uiPriority w:val="0"/>
    <w:rPr>
      <w:rFonts w:hint="default" w:ascii="Times New Roman" w:hAnsi="Times New Roman" w:eastAsia="黑体" w:cs="宋体"/>
      <w:kern w:val="44"/>
      <w:sz w:val="32"/>
      <w:lang w:eastAsia="en-US"/>
    </w:rPr>
  </w:style>
  <w:style w:type="character" w:customStyle="1" w:styleId="24">
    <w:name w:val="标题 2 字符"/>
    <w:link w:val="3"/>
    <w:qFormat/>
    <w:uiPriority w:val="0"/>
    <w:rPr>
      <w:rFonts w:ascii="Times New Roman" w:hAnsi="Times New Roman" w:eastAsia="楷体_GB2312" w:cs="宋体"/>
      <w:b/>
      <w:kern w:val="0"/>
      <w:sz w:val="32"/>
      <w:lang w:val="zh-CN" w:eastAsia="en-US"/>
    </w:rPr>
  </w:style>
  <w:style w:type="paragraph" w:customStyle="1" w:styleId="25">
    <w:name w:val="Table Text"/>
    <w:basedOn w:val="1"/>
    <w:semiHidden/>
    <w:qFormat/>
    <w:uiPriority w:val="0"/>
    <w:pPr>
      <w:spacing w:line="360" w:lineRule="auto"/>
      <w:jc w:val="center"/>
    </w:pPr>
    <w:rPr>
      <w:rFonts w:ascii="Times New Roman" w:hAnsi="Times New Roman" w:cs="宋体"/>
      <w:szCs w:val="18"/>
    </w:rPr>
  </w:style>
  <w:style w:type="paragraph" w:customStyle="1" w:styleId="26">
    <w:name w:val="Default"/>
    <w:qFormat/>
    <w:uiPriority w:val="0"/>
    <w:pPr>
      <w:widowControl w:val="0"/>
      <w:autoSpaceDE w:val="0"/>
      <w:autoSpaceDN w:val="0"/>
      <w:adjustRightInd w:val="0"/>
    </w:pPr>
    <w:rPr>
      <w:rFonts w:ascii="方正小标宋_GBK" w:hAnsi="Calibri" w:eastAsia="方正小标宋_GBK" w:cs="方正小标宋_GBK"/>
      <w:color w:val="000000"/>
      <w:sz w:val="24"/>
      <w:szCs w:val="24"/>
      <w:lang w:val="en-US" w:eastAsia="zh-CN" w:bidi="ar-SA"/>
    </w:rPr>
  </w:style>
  <w:style w:type="paragraph" w:customStyle="1" w:styleId="27">
    <w:name w:val="纯文本1"/>
    <w:basedOn w:val="1"/>
    <w:qFormat/>
    <w:uiPriority w:val="0"/>
    <w:rPr>
      <w:rFonts w:ascii="宋体" w:hAnsi="Courier New" w:cs="Courier New"/>
      <w:szCs w:val="21"/>
    </w:rPr>
  </w:style>
  <w:style w:type="character" w:customStyle="1" w:styleId="28">
    <w:name w:val="font41"/>
    <w:basedOn w:val="20"/>
    <w:qFormat/>
    <w:uiPriority w:val="0"/>
    <w:rPr>
      <w:rFonts w:hint="eastAsia" w:ascii="微软雅黑" w:hAnsi="微软雅黑" w:eastAsia="微软雅黑" w:cs="微软雅黑"/>
      <w:color w:val="000000"/>
      <w:sz w:val="20"/>
      <w:szCs w:val="20"/>
      <w:u w:val="none"/>
      <w:vertAlign w:val="superscript"/>
    </w:rPr>
  </w:style>
  <w:style w:type="paragraph" w:customStyle="1" w:styleId="29">
    <w:name w:val="正文内容"/>
    <w:basedOn w:val="1"/>
    <w:unhideWhenUsed/>
    <w:qFormat/>
    <w:uiPriority w:val="0"/>
    <w:pPr>
      <w:spacing w:line="580" w:lineRule="exact"/>
      <w:ind w:firstLine="640" w:firstLineChars="200"/>
      <w:textAlignment w:val="center"/>
    </w:pPr>
    <w:rPr>
      <w:rFonts w:hint="eastAsia" w:ascii="仿宋_GB2312" w:hAnsi="宋体" w:cs="宋体"/>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9841</Words>
  <Characters>9944</Characters>
  <Lines>435</Lines>
  <Paragraphs>415</Paragraphs>
  <TotalTime>12</TotalTime>
  <ScaleCrop>false</ScaleCrop>
  <LinksUpToDate>false</LinksUpToDate>
  <CharactersWithSpaces>10048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2023-05-20T01:37:00Z</dcterms:created>
  <dc:creator>yundu</dc:creator>
  <cp:lastModifiedBy>王小喵</cp:lastModifiedBy>
  <dcterms:modified xsi:type="dcterms:W3CDTF">2026-09-24T08:04:13Z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970FD45F5C834C939C97C293E60C33B5_12</vt:lpwstr>
  </property>
  <property fmtid="{D5CDD505-2E9C-101B-9397-08002B2CF9AE}" pid="4" name="KSOTemplateDocerSaveRecord">
    <vt:lpwstr>eyJoZGlkIjoiNzAyYzg2ZGI5ODcxNmNiZTA1ZjI0Zjk0MGI4OWZkYzMiLCJ1c2VySWQiOiIzNjcxOTQ4NTIifQ==</vt:lpwstr>
  </property>
</Properties>
</file>