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08A66">
      <w:pPr>
        <w:snapToGrid w:val="0"/>
        <w:spacing w:line="600" w:lineRule="exact"/>
        <w:ind w:firstLine="0" w:firstLineChars="0"/>
        <w:jc w:val="center"/>
        <w:textAlignment w:val="baseline"/>
        <w:rPr>
          <w:rFonts w:hint="eastAsia" w:ascii="方正小标宋简体" w:hAnsi="黑体" w:eastAsia="方正小标宋简体"/>
          <w:color w:val="000000"/>
          <w:sz w:val="44"/>
          <w:szCs w:val="44"/>
          <w:u w:val="none"/>
        </w:rPr>
      </w:pPr>
    </w:p>
    <w:p w14:paraId="00FE95C5">
      <w:pPr>
        <w:snapToGrid w:val="0"/>
        <w:spacing w:line="600" w:lineRule="exact"/>
        <w:ind w:firstLine="0" w:firstLineChars="0"/>
        <w:jc w:val="center"/>
        <w:textAlignment w:val="baseline"/>
        <w:rPr>
          <w:rFonts w:hint="eastAsia" w:ascii="方正小标宋简体" w:hAnsi="黑体" w:eastAsia="方正小标宋简体"/>
          <w:color w:val="000000"/>
          <w:sz w:val="44"/>
          <w:szCs w:val="44"/>
          <w:u w:val="none"/>
        </w:rPr>
      </w:pPr>
      <w:r>
        <w:rPr>
          <w:rFonts w:hint="eastAsia" w:ascii="方正小标宋简体" w:hAnsi="黑体" w:eastAsia="方正小标宋简体"/>
          <w:color w:val="000000"/>
          <w:sz w:val="44"/>
          <w:szCs w:val="44"/>
          <w:u w:val="none"/>
        </w:rPr>
        <w:t>关于北京市通州区2025年国民经济和</w:t>
      </w:r>
    </w:p>
    <w:p w14:paraId="2A4939F6">
      <w:pPr>
        <w:snapToGrid w:val="0"/>
        <w:spacing w:line="600" w:lineRule="exact"/>
        <w:ind w:firstLine="0" w:firstLineChars="0"/>
        <w:jc w:val="center"/>
        <w:textAlignment w:val="baseline"/>
        <w:rPr>
          <w:rFonts w:hint="eastAsia" w:ascii="方正小标宋简体" w:hAnsi="黑体" w:eastAsia="方正小标宋简体"/>
          <w:color w:val="000000"/>
          <w:sz w:val="44"/>
          <w:szCs w:val="44"/>
          <w:u w:val="none"/>
        </w:rPr>
      </w:pPr>
      <w:r>
        <w:rPr>
          <w:rFonts w:hint="eastAsia" w:ascii="方正小标宋简体" w:hAnsi="黑体" w:eastAsia="方正小标宋简体"/>
          <w:color w:val="000000"/>
          <w:sz w:val="44"/>
          <w:szCs w:val="44"/>
          <w:u w:val="none"/>
        </w:rPr>
        <w:t>社会发展计划执行情况与2026年国民经济和社会发展计划草案的报告</w:t>
      </w:r>
    </w:p>
    <w:p w14:paraId="47364E71">
      <w:pPr>
        <w:snapToGrid w:val="0"/>
        <w:spacing w:line="600" w:lineRule="exact"/>
        <w:ind w:firstLine="0" w:firstLineChars="0"/>
        <w:jc w:val="center"/>
        <w:textAlignment w:val="baseline"/>
        <w:rPr>
          <w:rFonts w:hint="eastAsia" w:ascii="楷体_GB2312" w:hAnsi="楷体_GB2312" w:eastAsia="楷体_GB2312" w:cs="楷体_GB2312"/>
          <w:spacing w:val="-17"/>
          <w:szCs w:val="32"/>
          <w:u w:val="none"/>
        </w:rPr>
      </w:pPr>
      <w:r>
        <w:rPr>
          <w:rFonts w:hint="eastAsia" w:ascii="楷体_GB2312" w:hAnsi="楷体_GB2312" w:eastAsia="楷体_GB2312" w:cs="楷体_GB2312"/>
          <w:spacing w:val="-17"/>
          <w:szCs w:val="32"/>
          <w:u w:val="none"/>
        </w:rPr>
        <w:t>——2026年1月6日在北京市通州区第七届人民代表大会</w:t>
      </w:r>
    </w:p>
    <w:p w14:paraId="43F8A714">
      <w:pPr>
        <w:spacing w:line="600" w:lineRule="exact"/>
        <w:ind w:firstLine="0" w:firstLineChars="0"/>
        <w:jc w:val="center"/>
        <w:rPr>
          <w:rFonts w:hint="eastAsia" w:ascii="楷体_GB2312" w:hAnsi="楷体_GB2312" w:eastAsia="楷体_GB2312" w:cs="楷体_GB2312"/>
          <w:szCs w:val="32"/>
          <w:u w:val="none"/>
        </w:rPr>
      </w:pPr>
      <w:r>
        <w:rPr>
          <w:rFonts w:hint="eastAsia" w:ascii="楷体_GB2312" w:hAnsi="楷体_GB2312" w:eastAsia="楷体_GB2312" w:cs="楷体_GB2312"/>
          <w:szCs w:val="32"/>
          <w:u w:val="none"/>
        </w:rPr>
        <w:t>第七次会议上</w:t>
      </w:r>
    </w:p>
    <w:p w14:paraId="7964F285">
      <w:pPr>
        <w:snapToGrid w:val="0"/>
        <w:spacing w:line="600" w:lineRule="exact"/>
        <w:ind w:firstLine="0" w:firstLineChars="0"/>
        <w:jc w:val="center"/>
        <w:textAlignment w:val="baseline"/>
        <w:rPr>
          <w:rFonts w:hint="eastAsia" w:ascii="楷体_GB2312" w:hAnsi="楷体_GB2312" w:eastAsia="楷体_GB2312" w:cs="楷体_GB2312"/>
          <w:szCs w:val="32"/>
          <w:u w:val="none"/>
        </w:rPr>
      </w:pPr>
      <w:r>
        <w:rPr>
          <w:rFonts w:hint="eastAsia" w:ascii="楷体_GB2312" w:hAnsi="楷体_GB2312" w:eastAsia="楷体_GB2312" w:cs="楷体_GB2312"/>
          <w:szCs w:val="32"/>
          <w:u w:val="none"/>
        </w:rPr>
        <w:t>北京市通州区发展和改革委员会</w:t>
      </w:r>
    </w:p>
    <w:p w14:paraId="5145E154">
      <w:pPr>
        <w:snapToGrid w:val="0"/>
        <w:spacing w:line="600" w:lineRule="exact"/>
        <w:ind w:firstLine="0" w:firstLineChars="0"/>
        <w:textAlignment w:val="baseline"/>
        <w:rPr>
          <w:rFonts w:hint="eastAsia" w:cs="仿宋_GB2312"/>
          <w:szCs w:val="32"/>
          <w:u w:val="none"/>
        </w:rPr>
      </w:pPr>
    </w:p>
    <w:p w14:paraId="73BFDF42">
      <w:pPr>
        <w:snapToGrid w:val="0"/>
        <w:spacing w:line="600" w:lineRule="exact"/>
        <w:ind w:firstLine="0" w:firstLineChars="0"/>
        <w:textAlignment w:val="baseline"/>
        <w:rPr>
          <w:rFonts w:hint="eastAsia" w:cs="仿宋_GB2312"/>
          <w:szCs w:val="32"/>
          <w:u w:val="none"/>
        </w:rPr>
      </w:pPr>
      <w:r>
        <w:rPr>
          <w:rFonts w:hint="eastAsia" w:cs="仿宋_GB2312"/>
          <w:szCs w:val="32"/>
          <w:u w:val="none"/>
        </w:rPr>
        <w:t>各位代表：</w:t>
      </w:r>
    </w:p>
    <w:p w14:paraId="403AE903">
      <w:pPr>
        <w:spacing w:line="600" w:lineRule="exact"/>
        <w:ind w:firstLine="640"/>
        <w:rPr>
          <w:rFonts w:hint="eastAsia" w:cs="仿宋_GB2312"/>
          <w:szCs w:val="32"/>
          <w:u w:val="none"/>
        </w:rPr>
      </w:pPr>
      <w:r>
        <w:rPr>
          <w:rFonts w:hint="eastAsia" w:cs="仿宋_GB2312"/>
          <w:szCs w:val="32"/>
          <w:u w:val="none"/>
        </w:rPr>
        <w:t>受区人民政府委托，现将2025年国民经济和社会发展计划执行情况与2026年国民经济和社会发展计划草案提请区七届人大七次会议审议，并请区政协各位委员提出意见。</w:t>
      </w:r>
    </w:p>
    <w:p w14:paraId="7D14BBBF">
      <w:pPr>
        <w:snapToGrid w:val="0"/>
        <w:spacing w:line="600" w:lineRule="exact"/>
        <w:ind w:firstLine="640"/>
        <w:textAlignment w:val="baseline"/>
        <w:outlineLvl w:val="0"/>
        <w:rPr>
          <w:rFonts w:hint="eastAsia" w:ascii="黑体" w:hAnsi="黑体" w:eastAsia="黑体"/>
          <w:color w:val="000000"/>
          <w:szCs w:val="32"/>
          <w:u w:val="none"/>
        </w:rPr>
      </w:pPr>
      <w:r>
        <w:rPr>
          <w:rFonts w:hint="eastAsia" w:ascii="黑体" w:hAnsi="黑体" w:eastAsia="黑体"/>
          <w:color w:val="000000"/>
          <w:szCs w:val="32"/>
          <w:u w:val="none"/>
        </w:rPr>
        <w:t>一、2025年国民经济和社会发展计划执行情况</w:t>
      </w:r>
    </w:p>
    <w:p w14:paraId="5E64F21F">
      <w:pPr>
        <w:spacing w:line="600" w:lineRule="exact"/>
        <w:ind w:firstLine="640"/>
        <w:rPr>
          <w:rFonts w:hint="eastAsia"/>
          <w:szCs w:val="32"/>
          <w:u w:val="none"/>
        </w:rPr>
      </w:pPr>
      <w:r>
        <w:rPr>
          <w:rFonts w:hint="eastAsia"/>
          <w:szCs w:val="32"/>
          <w:u w:val="none"/>
        </w:rPr>
        <w:t>2025年是“十四五”规划收官决胜、“十五五”规划谋篇布局之年，也是</w:t>
      </w:r>
      <w:r>
        <w:rPr>
          <w:rFonts w:hint="eastAsia" w:cs="仿宋_GB2312"/>
          <w:szCs w:val="32"/>
          <w:u w:val="none"/>
        </w:rPr>
        <w:t>打造中国式现代化进程中城市发展样板的攻坚之年</w:t>
      </w:r>
      <w:r>
        <w:rPr>
          <w:rFonts w:hint="eastAsia"/>
          <w:szCs w:val="32"/>
          <w:u w:val="none"/>
        </w:rPr>
        <w:t>。一年来，全区上下在市委市政府、城市副中心党工委管委会和区委的坚强领导下，在区人大及其常委会的有力监督与大力支持下，紧扣“高标准、干大事”工作要求，锚定全年国民经济和社会发展目标，统筹发展与安全，扎实推进各项重点任务，全区经济社会高质量发展呈现出“快进提质、进</w:t>
      </w:r>
      <w:r>
        <w:rPr>
          <w:rFonts w:hint="eastAsia" w:cs="仿宋_GB2312"/>
          <w:szCs w:val="32"/>
          <w:u w:val="none"/>
        </w:rPr>
        <w:t>位</w:t>
      </w:r>
      <w:r>
        <w:rPr>
          <w:rFonts w:hint="eastAsia"/>
          <w:szCs w:val="32"/>
          <w:u w:val="none"/>
        </w:rPr>
        <w:t>争先、突破前行”的积极态势，为实现“十四五”圆满收官、“十五五”良好开局奠定了坚实基础。</w:t>
      </w:r>
    </w:p>
    <w:p w14:paraId="3D5D1E7E">
      <w:pPr>
        <w:spacing w:line="240" w:lineRule="atLeast"/>
        <w:ind w:firstLine="0" w:firstLineChars="0"/>
        <w:jc w:val="center"/>
        <w:rPr>
          <w:rFonts w:hint="eastAsia" w:ascii="黑体" w:hAnsi="黑体" w:eastAsia="黑体" w:cs="黑体"/>
          <w:sz w:val="28"/>
          <w:szCs w:val="28"/>
          <w:u w:val="none"/>
        </w:rPr>
      </w:pPr>
      <w:r>
        <w:rPr>
          <w:rFonts w:hint="eastAsia" w:ascii="黑体" w:hAnsi="黑体" w:eastAsia="黑体" w:cs="黑体"/>
          <w:sz w:val="28"/>
          <w:szCs w:val="28"/>
          <w:u w:val="none"/>
        </w:rPr>
        <w:t>2025年计划指标执行情况表</w:t>
      </w:r>
    </w:p>
    <w:tbl>
      <w:tblPr>
        <w:tblStyle w:val="6"/>
        <w:tblW w:w="914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1"/>
        <w:gridCol w:w="3630"/>
        <w:gridCol w:w="1800"/>
        <w:gridCol w:w="1850"/>
        <w:gridCol w:w="1179"/>
      </w:tblGrid>
      <w:tr w14:paraId="6BDB16B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top w:val="single" w:color="auto" w:sz="12" w:space="0"/>
              <w:bottom w:val="single" w:color="auto" w:sz="12" w:space="0"/>
              <w:right w:val="single" w:color="auto" w:sz="12" w:space="0"/>
            </w:tcBorders>
            <w:vAlign w:val="center"/>
          </w:tcPr>
          <w:p w14:paraId="0A6986EA">
            <w:pPr>
              <w:spacing w:line="240" w:lineRule="atLeast"/>
              <w:ind w:firstLine="0" w:firstLineChars="0"/>
              <w:jc w:val="center"/>
              <w:rPr>
                <w:rFonts w:hint="eastAsia" w:cs="仿宋_GB2312"/>
                <w:b/>
                <w:bCs/>
                <w:sz w:val="22"/>
                <w:u w:val="none"/>
              </w:rPr>
            </w:pPr>
            <w:r>
              <w:rPr>
                <w:rFonts w:hint="eastAsia" w:cs="仿宋_GB2312"/>
                <w:b/>
                <w:bCs/>
                <w:sz w:val="22"/>
                <w:u w:val="none"/>
              </w:rPr>
              <w:t>序号</w:t>
            </w:r>
          </w:p>
        </w:tc>
        <w:tc>
          <w:tcPr>
            <w:tcW w:w="3630" w:type="dxa"/>
            <w:tcBorders>
              <w:top w:val="single" w:color="auto" w:sz="12" w:space="0"/>
              <w:left w:val="single" w:color="auto" w:sz="12" w:space="0"/>
              <w:bottom w:val="single" w:color="auto" w:sz="12" w:space="0"/>
              <w:right w:val="single" w:color="auto" w:sz="4" w:space="0"/>
            </w:tcBorders>
            <w:vAlign w:val="center"/>
          </w:tcPr>
          <w:p w14:paraId="391E9CD1">
            <w:pPr>
              <w:spacing w:line="240" w:lineRule="atLeast"/>
              <w:ind w:firstLine="0" w:firstLineChars="0"/>
              <w:jc w:val="center"/>
              <w:rPr>
                <w:rFonts w:hint="eastAsia" w:cs="仿宋_GB2312"/>
                <w:b/>
                <w:bCs/>
                <w:sz w:val="22"/>
                <w:u w:val="none"/>
              </w:rPr>
            </w:pPr>
            <w:r>
              <w:rPr>
                <w:rFonts w:hint="eastAsia" w:cs="仿宋_GB2312"/>
                <w:b/>
                <w:bCs/>
                <w:sz w:val="22"/>
                <w:u w:val="none"/>
              </w:rPr>
              <w:t>指标名称</w:t>
            </w:r>
          </w:p>
        </w:tc>
        <w:tc>
          <w:tcPr>
            <w:tcW w:w="1800" w:type="dxa"/>
            <w:tcBorders>
              <w:top w:val="single" w:color="auto" w:sz="12" w:space="0"/>
              <w:left w:val="single" w:color="auto" w:sz="4" w:space="0"/>
              <w:bottom w:val="single" w:color="auto" w:sz="12" w:space="0"/>
            </w:tcBorders>
            <w:vAlign w:val="center"/>
          </w:tcPr>
          <w:p w14:paraId="34860361">
            <w:pPr>
              <w:spacing w:line="240" w:lineRule="atLeast"/>
              <w:ind w:firstLine="0" w:firstLineChars="0"/>
              <w:jc w:val="center"/>
              <w:rPr>
                <w:rFonts w:hint="eastAsia" w:cs="仿宋_GB2312"/>
                <w:b/>
                <w:bCs/>
                <w:sz w:val="22"/>
                <w:u w:val="none"/>
              </w:rPr>
            </w:pPr>
            <w:r>
              <w:rPr>
                <w:rFonts w:hint="eastAsia" w:cs="仿宋_GB2312"/>
                <w:b/>
                <w:bCs/>
                <w:sz w:val="22"/>
                <w:u w:val="none"/>
              </w:rPr>
              <w:t>2025年计划</w:t>
            </w:r>
          </w:p>
        </w:tc>
        <w:tc>
          <w:tcPr>
            <w:tcW w:w="1850" w:type="dxa"/>
            <w:tcBorders>
              <w:top w:val="single" w:color="auto" w:sz="12" w:space="0"/>
              <w:bottom w:val="single" w:color="auto" w:sz="12" w:space="0"/>
              <w:right w:val="single" w:color="auto" w:sz="4" w:space="0"/>
            </w:tcBorders>
            <w:vAlign w:val="center"/>
          </w:tcPr>
          <w:p w14:paraId="34D98511">
            <w:pPr>
              <w:spacing w:line="240" w:lineRule="atLeast"/>
              <w:ind w:firstLine="0" w:firstLineChars="0"/>
              <w:jc w:val="center"/>
              <w:rPr>
                <w:rFonts w:hint="eastAsia" w:cs="仿宋_GB2312"/>
                <w:b/>
                <w:bCs/>
                <w:sz w:val="22"/>
                <w:u w:val="none"/>
              </w:rPr>
            </w:pPr>
            <w:r>
              <w:rPr>
                <w:rFonts w:hint="eastAsia" w:cs="仿宋_GB2312"/>
                <w:b/>
                <w:bCs/>
                <w:sz w:val="22"/>
                <w:u w:val="none"/>
              </w:rPr>
              <w:t>2025年预计完成</w:t>
            </w:r>
          </w:p>
        </w:tc>
        <w:tc>
          <w:tcPr>
            <w:tcW w:w="1179" w:type="dxa"/>
            <w:tcBorders>
              <w:top w:val="single" w:color="auto" w:sz="12" w:space="0"/>
              <w:left w:val="single" w:color="auto" w:sz="4" w:space="0"/>
              <w:bottom w:val="single" w:color="auto" w:sz="12" w:space="0"/>
            </w:tcBorders>
            <w:vAlign w:val="center"/>
          </w:tcPr>
          <w:p w14:paraId="3C54D822">
            <w:pPr>
              <w:spacing w:line="240" w:lineRule="atLeast"/>
              <w:ind w:firstLine="0" w:firstLineChars="0"/>
              <w:jc w:val="center"/>
              <w:rPr>
                <w:rFonts w:hint="eastAsia" w:cs="仿宋_GB2312"/>
                <w:b/>
                <w:bCs/>
                <w:sz w:val="22"/>
                <w:u w:val="none"/>
              </w:rPr>
            </w:pPr>
            <w:r>
              <w:rPr>
                <w:rFonts w:hint="eastAsia" w:cs="仿宋_GB2312"/>
                <w:b/>
                <w:bCs/>
                <w:sz w:val="22"/>
                <w:u w:val="none"/>
              </w:rPr>
              <w:t>指标属性</w:t>
            </w:r>
          </w:p>
        </w:tc>
      </w:tr>
      <w:tr w14:paraId="65FD18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top w:val="single" w:color="auto" w:sz="12" w:space="0"/>
              <w:right w:val="single" w:color="auto" w:sz="12" w:space="0"/>
            </w:tcBorders>
            <w:vAlign w:val="center"/>
          </w:tcPr>
          <w:p w14:paraId="7E10825F">
            <w:pPr>
              <w:spacing w:line="240" w:lineRule="atLeast"/>
              <w:ind w:firstLine="0" w:firstLineChars="0"/>
              <w:jc w:val="center"/>
              <w:rPr>
                <w:rFonts w:hint="eastAsia" w:cs="仿宋_GB2312"/>
                <w:sz w:val="22"/>
                <w:u w:val="none"/>
              </w:rPr>
            </w:pPr>
            <w:r>
              <w:rPr>
                <w:rFonts w:hint="eastAsia" w:cs="仿宋_GB2312"/>
                <w:sz w:val="22"/>
                <w:u w:val="none"/>
              </w:rPr>
              <w:t>1</w:t>
            </w:r>
          </w:p>
        </w:tc>
        <w:tc>
          <w:tcPr>
            <w:tcW w:w="3630" w:type="dxa"/>
            <w:tcBorders>
              <w:top w:val="single" w:color="auto" w:sz="12" w:space="0"/>
              <w:left w:val="single" w:color="auto" w:sz="12" w:space="0"/>
              <w:right w:val="single" w:color="auto" w:sz="4" w:space="0"/>
            </w:tcBorders>
            <w:vAlign w:val="center"/>
          </w:tcPr>
          <w:p w14:paraId="0BBE78C9">
            <w:pPr>
              <w:spacing w:line="240" w:lineRule="atLeast"/>
              <w:ind w:firstLine="0" w:firstLineChars="0"/>
              <w:jc w:val="center"/>
              <w:rPr>
                <w:rFonts w:hint="eastAsia" w:cs="仿宋_GB2312"/>
                <w:sz w:val="22"/>
                <w:u w:val="none"/>
              </w:rPr>
            </w:pPr>
            <w:r>
              <w:rPr>
                <w:rFonts w:hint="eastAsia" w:cs="仿宋_GB2312"/>
                <w:sz w:val="22"/>
                <w:u w:val="none"/>
              </w:rPr>
              <w:t>地区生产总值增速（%）</w:t>
            </w:r>
          </w:p>
        </w:tc>
        <w:tc>
          <w:tcPr>
            <w:tcW w:w="1800" w:type="dxa"/>
            <w:tcBorders>
              <w:top w:val="single" w:color="auto" w:sz="12" w:space="0"/>
              <w:left w:val="single" w:color="auto" w:sz="4" w:space="0"/>
              <w:tl2br w:val="nil"/>
              <w:tr2bl w:val="nil"/>
            </w:tcBorders>
            <w:vAlign w:val="center"/>
          </w:tcPr>
          <w:p w14:paraId="0E135880">
            <w:pPr>
              <w:spacing w:line="240" w:lineRule="atLeast"/>
              <w:ind w:firstLine="0" w:firstLineChars="0"/>
              <w:jc w:val="center"/>
              <w:rPr>
                <w:rFonts w:hint="eastAsia" w:cs="仿宋_GB2312"/>
                <w:sz w:val="22"/>
                <w:u w:val="none"/>
              </w:rPr>
            </w:pPr>
            <w:r>
              <w:rPr>
                <w:rFonts w:hint="eastAsia" w:cs="仿宋_GB2312"/>
                <w:sz w:val="22"/>
                <w:u w:val="none"/>
              </w:rPr>
              <w:t>5左右</w:t>
            </w:r>
          </w:p>
        </w:tc>
        <w:tc>
          <w:tcPr>
            <w:tcW w:w="1850" w:type="dxa"/>
            <w:tcBorders>
              <w:top w:val="single" w:color="auto" w:sz="12" w:space="0"/>
              <w:right w:val="single" w:color="auto" w:sz="4" w:space="0"/>
            </w:tcBorders>
            <w:vAlign w:val="center"/>
          </w:tcPr>
          <w:p w14:paraId="76123187">
            <w:pPr>
              <w:spacing w:line="240" w:lineRule="atLeast"/>
              <w:ind w:firstLine="0" w:firstLineChars="0"/>
              <w:jc w:val="center"/>
              <w:rPr>
                <w:rFonts w:hint="eastAsia" w:cs="仿宋_GB2312"/>
                <w:sz w:val="22"/>
                <w:u w:val="none"/>
              </w:rPr>
            </w:pPr>
            <w:r>
              <w:rPr>
                <w:rFonts w:hint="eastAsia" w:cs="仿宋_GB2312"/>
                <w:sz w:val="22"/>
                <w:u w:val="none"/>
              </w:rPr>
              <w:t>9左右</w:t>
            </w:r>
          </w:p>
        </w:tc>
        <w:tc>
          <w:tcPr>
            <w:tcW w:w="1179" w:type="dxa"/>
            <w:tcBorders>
              <w:top w:val="single" w:color="auto" w:sz="12" w:space="0"/>
              <w:left w:val="single" w:color="auto" w:sz="4" w:space="0"/>
            </w:tcBorders>
            <w:vAlign w:val="center"/>
          </w:tcPr>
          <w:p w14:paraId="7F7F4486">
            <w:pPr>
              <w:spacing w:line="240" w:lineRule="atLeast"/>
              <w:ind w:firstLine="0" w:firstLineChars="0"/>
              <w:jc w:val="center"/>
              <w:rPr>
                <w:rFonts w:hint="eastAsia" w:cs="仿宋_GB2312"/>
                <w:sz w:val="22"/>
                <w:u w:val="none"/>
              </w:rPr>
            </w:pPr>
            <w:r>
              <w:rPr>
                <w:rFonts w:hint="eastAsia" w:cs="仿宋_GB2312"/>
                <w:sz w:val="22"/>
                <w:u w:val="none"/>
              </w:rPr>
              <w:t>预期性</w:t>
            </w:r>
          </w:p>
        </w:tc>
      </w:tr>
      <w:tr w14:paraId="218DEB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right w:val="single" w:color="auto" w:sz="12" w:space="0"/>
            </w:tcBorders>
            <w:vAlign w:val="center"/>
          </w:tcPr>
          <w:p w14:paraId="00DB9185">
            <w:pPr>
              <w:spacing w:line="240" w:lineRule="atLeast"/>
              <w:ind w:firstLine="0" w:firstLineChars="0"/>
              <w:jc w:val="center"/>
              <w:rPr>
                <w:rFonts w:hint="eastAsia" w:cs="仿宋_GB2312"/>
                <w:sz w:val="22"/>
                <w:u w:val="none"/>
              </w:rPr>
            </w:pPr>
            <w:r>
              <w:rPr>
                <w:rFonts w:hint="eastAsia" w:cs="仿宋_GB2312"/>
                <w:sz w:val="22"/>
                <w:u w:val="none"/>
              </w:rPr>
              <w:t>2</w:t>
            </w:r>
          </w:p>
        </w:tc>
        <w:tc>
          <w:tcPr>
            <w:tcW w:w="3630" w:type="dxa"/>
            <w:tcBorders>
              <w:left w:val="single" w:color="auto" w:sz="12" w:space="0"/>
              <w:right w:val="single" w:color="auto" w:sz="4" w:space="0"/>
            </w:tcBorders>
            <w:vAlign w:val="center"/>
          </w:tcPr>
          <w:p w14:paraId="42F13160">
            <w:pPr>
              <w:spacing w:line="240" w:lineRule="atLeast"/>
              <w:ind w:firstLine="0" w:firstLineChars="0"/>
              <w:jc w:val="center"/>
              <w:rPr>
                <w:rFonts w:hint="eastAsia" w:cs="仿宋_GB2312"/>
                <w:sz w:val="22"/>
                <w:u w:val="none"/>
              </w:rPr>
            </w:pPr>
            <w:r>
              <w:rPr>
                <w:rFonts w:hint="eastAsia" w:cs="仿宋_GB2312"/>
                <w:sz w:val="22"/>
                <w:u w:val="none"/>
              </w:rPr>
              <w:t>一般公共预算收入增速（%）</w:t>
            </w:r>
          </w:p>
        </w:tc>
        <w:tc>
          <w:tcPr>
            <w:tcW w:w="1800" w:type="dxa"/>
            <w:tcBorders>
              <w:left w:val="single" w:color="auto" w:sz="4" w:space="0"/>
              <w:tl2br w:val="nil"/>
              <w:tr2bl w:val="nil"/>
            </w:tcBorders>
            <w:vAlign w:val="center"/>
          </w:tcPr>
          <w:p w14:paraId="2F743FA9">
            <w:pPr>
              <w:spacing w:line="240" w:lineRule="atLeast"/>
              <w:ind w:firstLine="0" w:firstLineChars="0"/>
              <w:jc w:val="center"/>
              <w:rPr>
                <w:rFonts w:hint="eastAsia" w:cs="仿宋_GB2312"/>
                <w:sz w:val="22"/>
                <w:u w:val="none"/>
              </w:rPr>
            </w:pPr>
            <w:r>
              <w:rPr>
                <w:rFonts w:hint="eastAsia" w:cs="仿宋_GB2312"/>
                <w:sz w:val="22"/>
                <w:u w:val="none"/>
              </w:rPr>
              <w:t>3</w:t>
            </w:r>
          </w:p>
        </w:tc>
        <w:tc>
          <w:tcPr>
            <w:tcW w:w="1850" w:type="dxa"/>
            <w:tcBorders>
              <w:right w:val="single" w:color="auto" w:sz="4" w:space="0"/>
            </w:tcBorders>
            <w:vAlign w:val="center"/>
          </w:tcPr>
          <w:p w14:paraId="6BF2FC65">
            <w:pPr>
              <w:spacing w:line="240" w:lineRule="atLeast"/>
              <w:ind w:firstLine="0" w:firstLineChars="0"/>
              <w:jc w:val="center"/>
              <w:rPr>
                <w:rFonts w:hint="default" w:eastAsia="仿宋_GB2312" w:cs="仿宋_GB2312"/>
                <w:sz w:val="22"/>
                <w:u w:val="none"/>
                <w:lang w:val="en-US" w:eastAsia="zh-CN"/>
              </w:rPr>
            </w:pPr>
            <w:r>
              <w:rPr>
                <w:rFonts w:hint="eastAsia" w:cs="仿宋_GB2312"/>
                <w:sz w:val="22"/>
                <w:u w:val="none"/>
              </w:rPr>
              <w:t>3</w:t>
            </w:r>
            <w:r>
              <w:rPr>
                <w:rFonts w:hint="eastAsia" w:cs="仿宋_GB2312"/>
                <w:sz w:val="22"/>
                <w:u w:val="none"/>
                <w:lang w:val="en-US" w:eastAsia="zh-CN"/>
              </w:rPr>
              <w:t>.1</w:t>
            </w:r>
          </w:p>
        </w:tc>
        <w:tc>
          <w:tcPr>
            <w:tcW w:w="1179" w:type="dxa"/>
            <w:tcBorders>
              <w:left w:val="single" w:color="auto" w:sz="4" w:space="0"/>
            </w:tcBorders>
            <w:vAlign w:val="center"/>
          </w:tcPr>
          <w:p w14:paraId="1A921818">
            <w:pPr>
              <w:spacing w:line="240" w:lineRule="atLeast"/>
              <w:ind w:firstLine="0" w:firstLineChars="0"/>
              <w:jc w:val="center"/>
              <w:rPr>
                <w:rFonts w:hint="eastAsia" w:cs="仿宋_GB2312"/>
                <w:sz w:val="22"/>
                <w:u w:val="none"/>
              </w:rPr>
            </w:pPr>
            <w:r>
              <w:rPr>
                <w:rFonts w:hint="eastAsia" w:cs="仿宋_GB2312"/>
                <w:sz w:val="22"/>
                <w:u w:val="none"/>
              </w:rPr>
              <w:t>预期性</w:t>
            </w:r>
          </w:p>
        </w:tc>
      </w:tr>
      <w:tr w14:paraId="5E3EFF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right w:val="single" w:color="auto" w:sz="12" w:space="0"/>
            </w:tcBorders>
            <w:vAlign w:val="center"/>
          </w:tcPr>
          <w:p w14:paraId="649802BB">
            <w:pPr>
              <w:spacing w:line="240" w:lineRule="atLeast"/>
              <w:ind w:firstLine="0" w:firstLineChars="0"/>
              <w:jc w:val="center"/>
              <w:rPr>
                <w:rFonts w:hint="eastAsia" w:cs="仿宋_GB2312"/>
                <w:sz w:val="22"/>
                <w:u w:val="none"/>
              </w:rPr>
            </w:pPr>
            <w:r>
              <w:rPr>
                <w:rFonts w:hint="eastAsia" w:cs="仿宋_GB2312"/>
                <w:sz w:val="22"/>
                <w:u w:val="none"/>
              </w:rPr>
              <w:t>3</w:t>
            </w:r>
          </w:p>
        </w:tc>
        <w:tc>
          <w:tcPr>
            <w:tcW w:w="3630" w:type="dxa"/>
            <w:tcBorders>
              <w:left w:val="single" w:color="auto" w:sz="12" w:space="0"/>
              <w:right w:val="single" w:color="auto" w:sz="4" w:space="0"/>
            </w:tcBorders>
            <w:vAlign w:val="center"/>
          </w:tcPr>
          <w:p w14:paraId="2F11DEA6">
            <w:pPr>
              <w:spacing w:line="240" w:lineRule="atLeast"/>
              <w:ind w:firstLine="0" w:firstLineChars="0"/>
              <w:jc w:val="center"/>
              <w:rPr>
                <w:rFonts w:hint="eastAsia" w:cs="仿宋_GB2312"/>
                <w:sz w:val="22"/>
                <w:u w:val="none"/>
              </w:rPr>
            </w:pPr>
            <w:r>
              <w:rPr>
                <w:rFonts w:hint="eastAsia" w:cs="仿宋_GB2312"/>
                <w:sz w:val="22"/>
                <w:u w:val="none"/>
              </w:rPr>
              <w:t>固定资产投资（亿元）</w:t>
            </w:r>
          </w:p>
        </w:tc>
        <w:tc>
          <w:tcPr>
            <w:tcW w:w="1800" w:type="dxa"/>
            <w:tcBorders>
              <w:left w:val="single" w:color="auto" w:sz="4" w:space="0"/>
              <w:tl2br w:val="nil"/>
              <w:tr2bl w:val="nil"/>
            </w:tcBorders>
            <w:vAlign w:val="center"/>
          </w:tcPr>
          <w:p w14:paraId="226572C5">
            <w:pPr>
              <w:spacing w:line="240" w:lineRule="atLeast"/>
              <w:ind w:firstLine="0" w:firstLineChars="0"/>
              <w:jc w:val="center"/>
              <w:rPr>
                <w:rFonts w:hint="eastAsia" w:cs="仿宋_GB2312"/>
                <w:sz w:val="22"/>
                <w:u w:val="none"/>
              </w:rPr>
            </w:pPr>
            <w:r>
              <w:rPr>
                <w:rFonts w:hint="eastAsia" w:cs="仿宋_GB2312"/>
                <w:sz w:val="22"/>
                <w:u w:val="none"/>
              </w:rPr>
              <w:t>达到千亿元</w:t>
            </w:r>
          </w:p>
        </w:tc>
        <w:tc>
          <w:tcPr>
            <w:tcW w:w="1850" w:type="dxa"/>
            <w:tcBorders>
              <w:right w:val="single" w:color="auto" w:sz="4" w:space="0"/>
            </w:tcBorders>
            <w:vAlign w:val="center"/>
          </w:tcPr>
          <w:p w14:paraId="028E83A1">
            <w:pPr>
              <w:spacing w:line="240" w:lineRule="atLeast"/>
              <w:ind w:firstLine="0" w:firstLineChars="0"/>
              <w:jc w:val="center"/>
              <w:rPr>
                <w:rFonts w:hint="eastAsia" w:cs="仿宋_GB2312"/>
                <w:sz w:val="22"/>
                <w:u w:val="none"/>
              </w:rPr>
            </w:pPr>
            <w:r>
              <w:rPr>
                <w:rFonts w:hint="eastAsia" w:cs="仿宋_GB2312"/>
                <w:sz w:val="22"/>
                <w:u w:val="none"/>
              </w:rPr>
              <w:t>达到千亿元</w:t>
            </w:r>
          </w:p>
        </w:tc>
        <w:tc>
          <w:tcPr>
            <w:tcW w:w="1179" w:type="dxa"/>
            <w:tcBorders>
              <w:left w:val="single" w:color="auto" w:sz="4" w:space="0"/>
            </w:tcBorders>
            <w:vAlign w:val="center"/>
          </w:tcPr>
          <w:p w14:paraId="5846740D">
            <w:pPr>
              <w:spacing w:line="240" w:lineRule="atLeast"/>
              <w:ind w:firstLine="0" w:firstLineChars="0"/>
              <w:jc w:val="center"/>
              <w:rPr>
                <w:rFonts w:hint="eastAsia" w:cs="仿宋_GB2312"/>
                <w:sz w:val="22"/>
                <w:u w:val="none"/>
              </w:rPr>
            </w:pPr>
            <w:r>
              <w:rPr>
                <w:rFonts w:hint="eastAsia" w:cs="仿宋_GB2312"/>
                <w:sz w:val="22"/>
                <w:u w:val="none"/>
              </w:rPr>
              <w:t>预期性</w:t>
            </w:r>
          </w:p>
        </w:tc>
      </w:tr>
      <w:tr w14:paraId="0C7DAD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right w:val="single" w:color="auto" w:sz="12" w:space="0"/>
            </w:tcBorders>
            <w:vAlign w:val="center"/>
          </w:tcPr>
          <w:p w14:paraId="357FC143">
            <w:pPr>
              <w:spacing w:line="240" w:lineRule="atLeast"/>
              <w:ind w:firstLine="0" w:firstLineChars="0"/>
              <w:jc w:val="center"/>
              <w:rPr>
                <w:rFonts w:hint="eastAsia" w:cs="仿宋_GB2312"/>
                <w:sz w:val="22"/>
                <w:u w:val="none"/>
              </w:rPr>
            </w:pPr>
            <w:r>
              <w:rPr>
                <w:rFonts w:hint="eastAsia" w:cs="仿宋_GB2312"/>
                <w:sz w:val="22"/>
                <w:u w:val="none"/>
              </w:rPr>
              <w:t>4</w:t>
            </w:r>
          </w:p>
        </w:tc>
        <w:tc>
          <w:tcPr>
            <w:tcW w:w="3630" w:type="dxa"/>
            <w:tcBorders>
              <w:left w:val="single" w:color="auto" w:sz="12" w:space="0"/>
              <w:right w:val="single" w:color="auto" w:sz="4" w:space="0"/>
            </w:tcBorders>
            <w:vAlign w:val="center"/>
          </w:tcPr>
          <w:p w14:paraId="4CE5E0FC">
            <w:pPr>
              <w:spacing w:line="240" w:lineRule="atLeast"/>
              <w:ind w:firstLine="0" w:firstLineChars="0"/>
              <w:jc w:val="center"/>
              <w:rPr>
                <w:rFonts w:hint="eastAsia" w:cs="仿宋_GB2312"/>
                <w:sz w:val="22"/>
                <w:u w:val="none"/>
              </w:rPr>
            </w:pPr>
            <w:r>
              <w:rPr>
                <w:rFonts w:hint="eastAsia" w:cs="仿宋_GB2312"/>
                <w:sz w:val="22"/>
                <w:u w:val="none"/>
              </w:rPr>
              <w:t>居民人均可支配收入（元）</w:t>
            </w:r>
          </w:p>
        </w:tc>
        <w:tc>
          <w:tcPr>
            <w:tcW w:w="1800" w:type="dxa"/>
            <w:tcBorders>
              <w:left w:val="single" w:color="auto" w:sz="4" w:space="0"/>
              <w:tl2br w:val="nil"/>
              <w:tr2bl w:val="nil"/>
            </w:tcBorders>
            <w:vAlign w:val="center"/>
          </w:tcPr>
          <w:p w14:paraId="5A62139D">
            <w:pPr>
              <w:spacing w:line="240" w:lineRule="atLeast"/>
              <w:ind w:firstLine="0" w:firstLineChars="0"/>
              <w:jc w:val="center"/>
              <w:rPr>
                <w:rFonts w:hint="eastAsia" w:cs="仿宋_GB2312"/>
                <w:sz w:val="22"/>
                <w:u w:val="none"/>
              </w:rPr>
            </w:pPr>
            <w:r>
              <w:rPr>
                <w:rFonts w:hint="eastAsia" w:cs="仿宋_GB2312"/>
                <w:sz w:val="22"/>
                <w:u w:val="none"/>
              </w:rPr>
              <w:t>稳步增长</w:t>
            </w:r>
          </w:p>
        </w:tc>
        <w:tc>
          <w:tcPr>
            <w:tcW w:w="1850" w:type="dxa"/>
            <w:tcBorders>
              <w:right w:val="single" w:color="auto" w:sz="4" w:space="0"/>
            </w:tcBorders>
            <w:vAlign w:val="center"/>
          </w:tcPr>
          <w:p w14:paraId="3175BC05">
            <w:pPr>
              <w:spacing w:line="240" w:lineRule="atLeast"/>
              <w:ind w:firstLine="0" w:firstLineChars="0"/>
              <w:jc w:val="center"/>
              <w:rPr>
                <w:rFonts w:hint="eastAsia" w:cs="仿宋_GB2312"/>
                <w:sz w:val="22"/>
                <w:u w:val="none"/>
              </w:rPr>
            </w:pPr>
            <w:r>
              <w:rPr>
                <w:rFonts w:hint="eastAsia" w:cs="仿宋_GB2312"/>
                <w:sz w:val="22"/>
                <w:u w:val="none"/>
              </w:rPr>
              <w:t>稳步增长</w:t>
            </w:r>
          </w:p>
        </w:tc>
        <w:tc>
          <w:tcPr>
            <w:tcW w:w="1179" w:type="dxa"/>
            <w:tcBorders>
              <w:left w:val="single" w:color="auto" w:sz="4" w:space="0"/>
            </w:tcBorders>
            <w:vAlign w:val="center"/>
          </w:tcPr>
          <w:p w14:paraId="46EBBD0D">
            <w:pPr>
              <w:spacing w:line="240" w:lineRule="atLeast"/>
              <w:ind w:firstLine="0" w:firstLineChars="0"/>
              <w:jc w:val="center"/>
              <w:rPr>
                <w:rFonts w:hint="eastAsia" w:cs="仿宋_GB2312"/>
                <w:sz w:val="22"/>
                <w:u w:val="none"/>
              </w:rPr>
            </w:pPr>
            <w:r>
              <w:rPr>
                <w:rFonts w:hint="eastAsia" w:cs="仿宋_GB2312"/>
                <w:sz w:val="22"/>
                <w:u w:val="none"/>
              </w:rPr>
              <w:t>预期性</w:t>
            </w:r>
          </w:p>
        </w:tc>
      </w:tr>
      <w:tr w14:paraId="2856BF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right w:val="single" w:color="auto" w:sz="12" w:space="0"/>
            </w:tcBorders>
            <w:vAlign w:val="center"/>
          </w:tcPr>
          <w:p w14:paraId="2C684DF7">
            <w:pPr>
              <w:spacing w:line="240" w:lineRule="atLeast"/>
              <w:ind w:firstLine="0" w:firstLineChars="0"/>
              <w:jc w:val="center"/>
              <w:rPr>
                <w:rFonts w:hint="eastAsia" w:cs="仿宋_GB2312"/>
                <w:sz w:val="22"/>
                <w:u w:val="none"/>
              </w:rPr>
            </w:pPr>
            <w:r>
              <w:rPr>
                <w:rFonts w:hint="eastAsia" w:cs="仿宋_GB2312"/>
                <w:sz w:val="22"/>
                <w:u w:val="none"/>
              </w:rPr>
              <w:t>5</w:t>
            </w:r>
          </w:p>
        </w:tc>
        <w:tc>
          <w:tcPr>
            <w:tcW w:w="3630" w:type="dxa"/>
            <w:tcBorders>
              <w:left w:val="single" w:color="auto" w:sz="12" w:space="0"/>
              <w:right w:val="single" w:color="auto" w:sz="4" w:space="0"/>
            </w:tcBorders>
            <w:vAlign w:val="center"/>
          </w:tcPr>
          <w:p w14:paraId="655FCDBF">
            <w:pPr>
              <w:spacing w:line="240" w:lineRule="atLeast"/>
              <w:ind w:firstLine="0" w:firstLineChars="0"/>
              <w:jc w:val="center"/>
              <w:rPr>
                <w:rFonts w:hint="eastAsia" w:cs="仿宋_GB2312"/>
                <w:sz w:val="22"/>
                <w:u w:val="none"/>
              </w:rPr>
            </w:pPr>
            <w:r>
              <w:rPr>
                <w:rFonts w:hint="eastAsia" w:cs="仿宋_GB2312"/>
                <w:sz w:val="22"/>
                <w:u w:val="none"/>
              </w:rPr>
              <w:t>城镇调查失业率（%）</w:t>
            </w:r>
          </w:p>
        </w:tc>
        <w:tc>
          <w:tcPr>
            <w:tcW w:w="1800" w:type="dxa"/>
            <w:tcBorders>
              <w:left w:val="single" w:color="auto" w:sz="4" w:space="0"/>
            </w:tcBorders>
            <w:vAlign w:val="center"/>
          </w:tcPr>
          <w:p w14:paraId="11A20F76">
            <w:pPr>
              <w:spacing w:line="240" w:lineRule="atLeast"/>
              <w:ind w:firstLine="0" w:firstLineChars="0"/>
              <w:jc w:val="center"/>
              <w:rPr>
                <w:rFonts w:hint="eastAsia" w:cs="仿宋_GB2312"/>
                <w:sz w:val="22"/>
                <w:u w:val="none"/>
              </w:rPr>
            </w:pPr>
            <w:r>
              <w:rPr>
                <w:rFonts w:hint="eastAsia" w:cs="仿宋_GB2312"/>
                <w:sz w:val="22"/>
                <w:u w:val="none"/>
              </w:rPr>
              <w:t>&lt;5</w:t>
            </w:r>
          </w:p>
        </w:tc>
        <w:tc>
          <w:tcPr>
            <w:tcW w:w="1850" w:type="dxa"/>
            <w:tcBorders>
              <w:right w:val="single" w:color="auto" w:sz="4" w:space="0"/>
            </w:tcBorders>
            <w:vAlign w:val="center"/>
          </w:tcPr>
          <w:p w14:paraId="06E13F45">
            <w:pPr>
              <w:spacing w:line="240" w:lineRule="atLeast"/>
              <w:ind w:firstLine="0" w:firstLineChars="0"/>
              <w:jc w:val="center"/>
              <w:rPr>
                <w:rFonts w:hint="eastAsia" w:cs="仿宋_GB2312"/>
                <w:sz w:val="22"/>
                <w:u w:val="none"/>
              </w:rPr>
            </w:pPr>
            <w:r>
              <w:rPr>
                <w:rFonts w:hint="eastAsia" w:cs="仿宋_GB2312"/>
                <w:sz w:val="22"/>
                <w:u w:val="none"/>
              </w:rPr>
              <w:t>&lt;5</w:t>
            </w:r>
          </w:p>
        </w:tc>
        <w:tc>
          <w:tcPr>
            <w:tcW w:w="1179" w:type="dxa"/>
            <w:tcBorders>
              <w:left w:val="single" w:color="auto" w:sz="4" w:space="0"/>
            </w:tcBorders>
            <w:vAlign w:val="center"/>
          </w:tcPr>
          <w:p w14:paraId="4F7A0D16">
            <w:pPr>
              <w:spacing w:line="240" w:lineRule="atLeast"/>
              <w:ind w:firstLine="0" w:firstLineChars="0"/>
              <w:jc w:val="center"/>
              <w:rPr>
                <w:rFonts w:hint="eastAsia" w:cs="仿宋_GB2312"/>
                <w:sz w:val="22"/>
                <w:u w:val="none"/>
              </w:rPr>
            </w:pPr>
            <w:r>
              <w:rPr>
                <w:rFonts w:hint="eastAsia" w:cs="仿宋_GB2312"/>
                <w:sz w:val="22"/>
                <w:u w:val="none"/>
              </w:rPr>
              <w:t>预期性</w:t>
            </w:r>
          </w:p>
        </w:tc>
      </w:tr>
      <w:tr w14:paraId="632338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right w:val="single" w:color="auto" w:sz="12" w:space="0"/>
            </w:tcBorders>
            <w:vAlign w:val="center"/>
          </w:tcPr>
          <w:p w14:paraId="4CC7EFB3">
            <w:pPr>
              <w:spacing w:line="240" w:lineRule="atLeast"/>
              <w:ind w:firstLine="0" w:firstLineChars="0"/>
              <w:jc w:val="center"/>
              <w:rPr>
                <w:rFonts w:hint="eastAsia" w:cs="仿宋_GB2312"/>
                <w:sz w:val="22"/>
                <w:u w:val="none"/>
              </w:rPr>
            </w:pPr>
            <w:r>
              <w:rPr>
                <w:rFonts w:hint="eastAsia" w:cs="仿宋_GB2312"/>
                <w:sz w:val="22"/>
                <w:u w:val="none"/>
              </w:rPr>
              <w:t>6</w:t>
            </w:r>
          </w:p>
        </w:tc>
        <w:tc>
          <w:tcPr>
            <w:tcW w:w="3630" w:type="dxa"/>
            <w:tcBorders>
              <w:left w:val="single" w:color="auto" w:sz="12" w:space="0"/>
              <w:right w:val="single" w:color="auto" w:sz="4" w:space="0"/>
            </w:tcBorders>
            <w:vAlign w:val="center"/>
          </w:tcPr>
          <w:p w14:paraId="20B32328">
            <w:pPr>
              <w:spacing w:line="240" w:lineRule="atLeast"/>
              <w:ind w:firstLine="0" w:firstLineChars="0"/>
              <w:jc w:val="center"/>
              <w:rPr>
                <w:rFonts w:hint="eastAsia" w:cs="仿宋_GB2312"/>
                <w:sz w:val="22"/>
                <w:u w:val="none"/>
              </w:rPr>
            </w:pPr>
            <w:r>
              <w:rPr>
                <w:rFonts w:hint="eastAsia" w:cs="仿宋_GB2312"/>
                <w:sz w:val="22"/>
                <w:u w:val="none"/>
              </w:rPr>
              <w:t>细颗粒物累计浓度（微克/立方米）</w:t>
            </w:r>
          </w:p>
        </w:tc>
        <w:tc>
          <w:tcPr>
            <w:tcW w:w="1800" w:type="dxa"/>
            <w:tcBorders>
              <w:left w:val="single" w:color="auto" w:sz="4" w:space="0"/>
            </w:tcBorders>
            <w:vAlign w:val="center"/>
          </w:tcPr>
          <w:p w14:paraId="51F690F9">
            <w:pPr>
              <w:spacing w:line="240" w:lineRule="atLeast"/>
              <w:ind w:firstLine="0" w:firstLineChars="0"/>
              <w:jc w:val="center"/>
              <w:rPr>
                <w:rFonts w:hint="eastAsia" w:cs="仿宋_GB2312"/>
                <w:sz w:val="22"/>
                <w:u w:val="none"/>
              </w:rPr>
            </w:pPr>
            <w:r>
              <w:rPr>
                <w:rFonts w:hint="eastAsia" w:cs="仿宋_GB2312"/>
                <w:sz w:val="22"/>
                <w:u w:val="none"/>
              </w:rPr>
              <w:t>32</w:t>
            </w:r>
          </w:p>
        </w:tc>
        <w:tc>
          <w:tcPr>
            <w:tcW w:w="1850" w:type="dxa"/>
            <w:tcBorders>
              <w:right w:val="single" w:color="auto" w:sz="4" w:space="0"/>
            </w:tcBorders>
            <w:vAlign w:val="center"/>
          </w:tcPr>
          <w:p w14:paraId="1A32EF4F">
            <w:pPr>
              <w:spacing w:line="240" w:lineRule="atLeast"/>
              <w:ind w:firstLine="0" w:firstLineChars="0"/>
              <w:jc w:val="center"/>
              <w:rPr>
                <w:rFonts w:hint="eastAsia" w:cs="仿宋_GB2312"/>
                <w:sz w:val="22"/>
                <w:u w:val="none"/>
              </w:rPr>
            </w:pPr>
            <w:r>
              <w:rPr>
                <w:rFonts w:hint="eastAsia" w:cs="仿宋_GB2312"/>
                <w:sz w:val="22"/>
                <w:u w:val="none"/>
              </w:rPr>
              <w:t>30</w:t>
            </w:r>
          </w:p>
        </w:tc>
        <w:tc>
          <w:tcPr>
            <w:tcW w:w="1179" w:type="dxa"/>
            <w:tcBorders>
              <w:left w:val="single" w:color="auto" w:sz="4" w:space="0"/>
            </w:tcBorders>
            <w:vAlign w:val="center"/>
          </w:tcPr>
          <w:p w14:paraId="2EFAC252">
            <w:pPr>
              <w:spacing w:line="240" w:lineRule="atLeast"/>
              <w:ind w:firstLine="0" w:firstLineChars="0"/>
              <w:jc w:val="center"/>
              <w:rPr>
                <w:rFonts w:hint="eastAsia" w:cs="仿宋_GB2312"/>
                <w:sz w:val="22"/>
                <w:u w:val="none"/>
              </w:rPr>
            </w:pPr>
            <w:r>
              <w:rPr>
                <w:rFonts w:hint="eastAsia" w:cs="仿宋_GB2312"/>
                <w:sz w:val="22"/>
                <w:u w:val="none"/>
              </w:rPr>
              <w:t>约束性</w:t>
            </w:r>
          </w:p>
        </w:tc>
      </w:tr>
      <w:tr w14:paraId="750ECB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right w:val="single" w:color="auto" w:sz="12" w:space="0"/>
            </w:tcBorders>
            <w:vAlign w:val="center"/>
          </w:tcPr>
          <w:p w14:paraId="4D4F5579">
            <w:pPr>
              <w:spacing w:line="240" w:lineRule="atLeast"/>
              <w:ind w:firstLine="0" w:firstLineChars="0"/>
              <w:jc w:val="center"/>
              <w:rPr>
                <w:rFonts w:hint="eastAsia" w:cs="仿宋_GB2312"/>
                <w:sz w:val="22"/>
                <w:u w:val="none"/>
              </w:rPr>
            </w:pPr>
            <w:r>
              <w:rPr>
                <w:rFonts w:hint="eastAsia" w:cs="仿宋_GB2312"/>
                <w:sz w:val="22"/>
                <w:u w:val="none"/>
              </w:rPr>
              <w:t>7</w:t>
            </w:r>
          </w:p>
        </w:tc>
        <w:tc>
          <w:tcPr>
            <w:tcW w:w="3630" w:type="dxa"/>
            <w:tcBorders>
              <w:left w:val="single" w:color="auto" w:sz="12" w:space="0"/>
              <w:right w:val="single" w:color="auto" w:sz="4" w:space="0"/>
            </w:tcBorders>
            <w:vAlign w:val="center"/>
          </w:tcPr>
          <w:p w14:paraId="305E3EA8">
            <w:pPr>
              <w:spacing w:line="240" w:lineRule="atLeast"/>
              <w:ind w:firstLine="0" w:firstLineChars="0"/>
              <w:jc w:val="center"/>
              <w:rPr>
                <w:rFonts w:hint="eastAsia" w:cs="仿宋_GB2312"/>
                <w:sz w:val="22"/>
                <w:u w:val="none"/>
              </w:rPr>
            </w:pPr>
            <w:r>
              <w:rPr>
                <w:rFonts w:hint="eastAsia" w:cs="仿宋_GB2312"/>
                <w:sz w:val="22"/>
                <w:u w:val="none"/>
              </w:rPr>
              <w:t>能耗强度（%）</w:t>
            </w:r>
          </w:p>
        </w:tc>
        <w:tc>
          <w:tcPr>
            <w:tcW w:w="1800" w:type="dxa"/>
            <w:tcBorders>
              <w:left w:val="single" w:color="auto" w:sz="4" w:space="0"/>
            </w:tcBorders>
            <w:vAlign w:val="center"/>
          </w:tcPr>
          <w:p w14:paraId="3FF7E631">
            <w:pPr>
              <w:spacing w:line="240" w:lineRule="atLeast"/>
              <w:ind w:firstLine="0" w:firstLineChars="0"/>
              <w:jc w:val="center"/>
              <w:rPr>
                <w:rFonts w:hint="eastAsia" w:cs="仿宋_GB2312"/>
                <w:sz w:val="22"/>
                <w:u w:val="none"/>
              </w:rPr>
            </w:pPr>
            <w:r>
              <w:rPr>
                <w:rFonts w:hint="eastAsia" w:cs="仿宋_GB2312"/>
                <w:sz w:val="22"/>
                <w:u w:val="none"/>
              </w:rPr>
              <w:t>市级尚未下达</w:t>
            </w:r>
          </w:p>
        </w:tc>
        <w:tc>
          <w:tcPr>
            <w:tcW w:w="1850" w:type="dxa"/>
            <w:tcBorders>
              <w:right w:val="single" w:color="auto" w:sz="4" w:space="0"/>
            </w:tcBorders>
            <w:vAlign w:val="center"/>
          </w:tcPr>
          <w:p w14:paraId="537FE663">
            <w:pPr>
              <w:spacing w:line="240" w:lineRule="atLeast"/>
              <w:ind w:firstLine="0" w:firstLineChars="0"/>
              <w:jc w:val="center"/>
              <w:rPr>
                <w:rFonts w:hint="eastAsia" w:cs="仿宋_GB2312"/>
                <w:sz w:val="22"/>
                <w:u w:val="none"/>
              </w:rPr>
            </w:pPr>
            <w:r>
              <w:rPr>
                <w:rFonts w:hint="eastAsia" w:cs="仿宋_GB2312"/>
                <w:sz w:val="22"/>
                <w:u w:val="none"/>
              </w:rPr>
              <w:t>数据尚未反馈</w:t>
            </w:r>
          </w:p>
        </w:tc>
        <w:tc>
          <w:tcPr>
            <w:tcW w:w="1179" w:type="dxa"/>
            <w:tcBorders>
              <w:left w:val="single" w:color="auto" w:sz="4" w:space="0"/>
            </w:tcBorders>
            <w:vAlign w:val="center"/>
          </w:tcPr>
          <w:p w14:paraId="5A79CE33">
            <w:pPr>
              <w:spacing w:line="240" w:lineRule="atLeast"/>
              <w:ind w:firstLine="0" w:firstLineChars="0"/>
              <w:jc w:val="center"/>
              <w:rPr>
                <w:rFonts w:hint="eastAsia" w:cs="仿宋_GB2312"/>
                <w:sz w:val="22"/>
                <w:u w:val="none"/>
              </w:rPr>
            </w:pPr>
            <w:r>
              <w:rPr>
                <w:rFonts w:hint="eastAsia" w:cs="仿宋_GB2312"/>
                <w:sz w:val="22"/>
                <w:u w:val="none"/>
              </w:rPr>
              <w:t>约束性</w:t>
            </w:r>
          </w:p>
        </w:tc>
      </w:tr>
      <w:tr w14:paraId="4B619F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right w:val="single" w:color="auto" w:sz="12" w:space="0"/>
            </w:tcBorders>
            <w:vAlign w:val="center"/>
          </w:tcPr>
          <w:p w14:paraId="6B97585D">
            <w:pPr>
              <w:spacing w:line="240" w:lineRule="atLeast"/>
              <w:ind w:firstLine="0" w:firstLineChars="0"/>
              <w:jc w:val="center"/>
              <w:rPr>
                <w:rFonts w:hint="eastAsia" w:cs="仿宋_GB2312"/>
                <w:sz w:val="22"/>
                <w:u w:val="none"/>
              </w:rPr>
            </w:pPr>
            <w:r>
              <w:rPr>
                <w:rFonts w:hint="eastAsia" w:cs="仿宋_GB2312"/>
                <w:sz w:val="22"/>
                <w:u w:val="none"/>
              </w:rPr>
              <w:t>8</w:t>
            </w:r>
          </w:p>
        </w:tc>
        <w:tc>
          <w:tcPr>
            <w:tcW w:w="3630" w:type="dxa"/>
            <w:tcBorders>
              <w:left w:val="single" w:color="auto" w:sz="12" w:space="0"/>
              <w:right w:val="single" w:color="auto" w:sz="4" w:space="0"/>
            </w:tcBorders>
            <w:vAlign w:val="center"/>
          </w:tcPr>
          <w:p w14:paraId="791740DF">
            <w:pPr>
              <w:spacing w:line="240" w:lineRule="atLeast"/>
              <w:ind w:firstLine="0" w:firstLineChars="0"/>
              <w:jc w:val="center"/>
              <w:rPr>
                <w:rFonts w:hint="eastAsia" w:cs="仿宋_GB2312"/>
                <w:sz w:val="22"/>
                <w:u w:val="none"/>
              </w:rPr>
            </w:pPr>
            <w:r>
              <w:rPr>
                <w:rFonts w:hint="eastAsia" w:cs="仿宋_GB2312"/>
                <w:sz w:val="22"/>
                <w:u w:val="none"/>
              </w:rPr>
              <w:t>生产生活用水总量（万立方米）</w:t>
            </w:r>
          </w:p>
        </w:tc>
        <w:tc>
          <w:tcPr>
            <w:tcW w:w="1800" w:type="dxa"/>
            <w:tcBorders>
              <w:left w:val="single" w:color="auto" w:sz="4" w:space="0"/>
            </w:tcBorders>
            <w:vAlign w:val="center"/>
          </w:tcPr>
          <w:p w14:paraId="7BCF52CB">
            <w:pPr>
              <w:spacing w:line="240" w:lineRule="atLeast"/>
              <w:ind w:firstLine="0" w:firstLineChars="0"/>
              <w:jc w:val="center"/>
              <w:rPr>
                <w:rFonts w:hint="eastAsia" w:cs="仿宋_GB2312"/>
                <w:sz w:val="22"/>
                <w:u w:val="none"/>
              </w:rPr>
            </w:pPr>
            <w:r>
              <w:rPr>
                <w:rFonts w:hint="eastAsia" w:cs="仿宋_GB2312"/>
                <w:sz w:val="22"/>
                <w:u w:val="none"/>
              </w:rPr>
              <w:t>&lt;24650</w:t>
            </w:r>
          </w:p>
        </w:tc>
        <w:tc>
          <w:tcPr>
            <w:tcW w:w="1850" w:type="dxa"/>
            <w:tcBorders>
              <w:right w:val="single" w:color="auto" w:sz="4" w:space="0"/>
            </w:tcBorders>
            <w:vAlign w:val="center"/>
          </w:tcPr>
          <w:p w14:paraId="4ED62A67">
            <w:pPr>
              <w:spacing w:line="240" w:lineRule="atLeast"/>
              <w:ind w:firstLine="0" w:firstLineChars="0"/>
              <w:jc w:val="center"/>
              <w:rPr>
                <w:rFonts w:hint="eastAsia" w:cs="仿宋_GB2312"/>
                <w:sz w:val="22"/>
                <w:u w:val="none"/>
              </w:rPr>
            </w:pPr>
            <w:r>
              <w:rPr>
                <w:rFonts w:hint="eastAsia" w:cs="仿宋_GB2312"/>
                <w:sz w:val="22"/>
                <w:u w:val="none"/>
              </w:rPr>
              <w:t>&lt;24650</w:t>
            </w:r>
          </w:p>
        </w:tc>
        <w:tc>
          <w:tcPr>
            <w:tcW w:w="1179" w:type="dxa"/>
            <w:tcBorders>
              <w:left w:val="single" w:color="auto" w:sz="4" w:space="0"/>
            </w:tcBorders>
            <w:vAlign w:val="center"/>
          </w:tcPr>
          <w:p w14:paraId="4DF7405C">
            <w:pPr>
              <w:spacing w:line="240" w:lineRule="atLeast"/>
              <w:ind w:firstLine="0" w:firstLineChars="0"/>
              <w:jc w:val="center"/>
              <w:rPr>
                <w:rFonts w:hint="eastAsia" w:cs="仿宋_GB2312"/>
                <w:sz w:val="22"/>
                <w:u w:val="none"/>
              </w:rPr>
            </w:pPr>
            <w:r>
              <w:rPr>
                <w:rFonts w:hint="eastAsia" w:cs="仿宋_GB2312"/>
                <w:sz w:val="22"/>
                <w:u w:val="none"/>
              </w:rPr>
              <w:t>约束性</w:t>
            </w:r>
          </w:p>
        </w:tc>
      </w:tr>
      <w:tr w14:paraId="796C8F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1" w:type="dxa"/>
            <w:tcBorders>
              <w:bottom w:val="single" w:color="auto" w:sz="12" w:space="0"/>
              <w:right w:val="single" w:color="auto" w:sz="12" w:space="0"/>
            </w:tcBorders>
            <w:vAlign w:val="center"/>
          </w:tcPr>
          <w:p w14:paraId="46FD5F53">
            <w:pPr>
              <w:spacing w:line="240" w:lineRule="atLeast"/>
              <w:ind w:firstLine="0" w:firstLineChars="0"/>
              <w:jc w:val="center"/>
              <w:rPr>
                <w:rFonts w:hint="eastAsia" w:cs="仿宋_GB2312"/>
                <w:sz w:val="22"/>
                <w:u w:val="none"/>
              </w:rPr>
            </w:pPr>
            <w:r>
              <w:rPr>
                <w:rFonts w:hint="eastAsia" w:cs="仿宋_GB2312"/>
                <w:sz w:val="22"/>
                <w:u w:val="none"/>
              </w:rPr>
              <w:t>9</w:t>
            </w:r>
          </w:p>
        </w:tc>
        <w:tc>
          <w:tcPr>
            <w:tcW w:w="3630" w:type="dxa"/>
            <w:tcBorders>
              <w:left w:val="single" w:color="auto" w:sz="12" w:space="0"/>
              <w:bottom w:val="single" w:color="auto" w:sz="12" w:space="0"/>
              <w:right w:val="single" w:color="auto" w:sz="4" w:space="0"/>
            </w:tcBorders>
            <w:vAlign w:val="center"/>
          </w:tcPr>
          <w:p w14:paraId="79FC34AF">
            <w:pPr>
              <w:spacing w:line="240" w:lineRule="atLeast"/>
              <w:ind w:firstLine="0" w:firstLineChars="0"/>
              <w:jc w:val="center"/>
              <w:rPr>
                <w:rFonts w:hint="eastAsia" w:cs="仿宋_GB2312"/>
                <w:sz w:val="22"/>
                <w:u w:val="none"/>
              </w:rPr>
            </w:pPr>
            <w:r>
              <w:rPr>
                <w:rFonts w:hint="eastAsia" w:cs="仿宋_GB2312"/>
                <w:sz w:val="22"/>
                <w:u w:val="none"/>
              </w:rPr>
              <w:t>万元GDP用水量下降率（%）</w:t>
            </w:r>
          </w:p>
        </w:tc>
        <w:tc>
          <w:tcPr>
            <w:tcW w:w="1800" w:type="dxa"/>
            <w:tcBorders>
              <w:left w:val="single" w:color="auto" w:sz="4" w:space="0"/>
              <w:bottom w:val="single" w:color="auto" w:sz="12" w:space="0"/>
            </w:tcBorders>
            <w:vAlign w:val="center"/>
          </w:tcPr>
          <w:p w14:paraId="02935B68">
            <w:pPr>
              <w:spacing w:line="240" w:lineRule="atLeast"/>
              <w:ind w:firstLine="0" w:firstLineChars="0"/>
              <w:jc w:val="center"/>
              <w:rPr>
                <w:rFonts w:hint="eastAsia" w:cs="仿宋_GB2312"/>
                <w:sz w:val="22"/>
                <w:u w:val="none"/>
              </w:rPr>
            </w:pPr>
            <w:r>
              <w:rPr>
                <w:rFonts w:hint="eastAsia" w:cs="仿宋_GB2312"/>
                <w:sz w:val="22"/>
                <w:u w:val="none"/>
              </w:rPr>
              <w:t>14</w:t>
            </w:r>
          </w:p>
        </w:tc>
        <w:tc>
          <w:tcPr>
            <w:tcW w:w="1850" w:type="dxa"/>
            <w:tcBorders>
              <w:bottom w:val="single" w:color="auto" w:sz="12" w:space="0"/>
              <w:right w:val="single" w:color="auto" w:sz="4" w:space="0"/>
            </w:tcBorders>
            <w:vAlign w:val="center"/>
          </w:tcPr>
          <w:p w14:paraId="0C63F9FC">
            <w:pPr>
              <w:spacing w:line="240" w:lineRule="atLeast"/>
              <w:ind w:firstLine="0" w:firstLineChars="0"/>
              <w:jc w:val="center"/>
              <w:rPr>
                <w:rFonts w:hint="eastAsia" w:cs="仿宋_GB2312"/>
                <w:sz w:val="22"/>
                <w:u w:val="none"/>
              </w:rPr>
            </w:pPr>
            <w:r>
              <w:rPr>
                <w:rFonts w:hint="eastAsia" w:cs="仿宋_GB2312"/>
                <w:sz w:val="22"/>
                <w:u w:val="none"/>
              </w:rPr>
              <w:t>14</w:t>
            </w:r>
          </w:p>
        </w:tc>
        <w:tc>
          <w:tcPr>
            <w:tcW w:w="1179" w:type="dxa"/>
            <w:tcBorders>
              <w:left w:val="single" w:color="auto" w:sz="4" w:space="0"/>
              <w:bottom w:val="single" w:color="auto" w:sz="12" w:space="0"/>
            </w:tcBorders>
            <w:vAlign w:val="center"/>
          </w:tcPr>
          <w:p w14:paraId="767A58F3">
            <w:pPr>
              <w:spacing w:line="240" w:lineRule="atLeast"/>
              <w:ind w:firstLine="0" w:firstLineChars="0"/>
              <w:jc w:val="center"/>
              <w:rPr>
                <w:rFonts w:hint="eastAsia" w:cs="仿宋_GB2312"/>
                <w:sz w:val="22"/>
                <w:u w:val="none"/>
              </w:rPr>
            </w:pPr>
            <w:r>
              <w:rPr>
                <w:rFonts w:hint="eastAsia" w:cs="仿宋_GB2312"/>
                <w:sz w:val="22"/>
                <w:u w:val="none"/>
              </w:rPr>
              <w:t>约束性</w:t>
            </w:r>
          </w:p>
        </w:tc>
      </w:tr>
    </w:tbl>
    <w:p w14:paraId="729663EA">
      <w:pPr>
        <w:spacing w:line="240" w:lineRule="atLeast"/>
        <w:ind w:firstLine="0" w:firstLineChars="0"/>
        <w:rPr>
          <w:rFonts w:hint="eastAsia"/>
          <w:sz w:val="28"/>
          <w:szCs w:val="28"/>
          <w:u w:val="none"/>
        </w:rPr>
      </w:pPr>
      <w:r>
        <w:rPr>
          <w:rFonts w:hint="eastAsia"/>
          <w:sz w:val="28"/>
          <w:szCs w:val="28"/>
          <w:u w:val="none"/>
        </w:rPr>
        <w:t>注：源自2024年计划报告指标安排</w:t>
      </w:r>
    </w:p>
    <w:p w14:paraId="5E1EC459">
      <w:pPr>
        <w:spacing w:line="600" w:lineRule="exact"/>
        <w:ind w:firstLine="640" w:firstLineChars="0"/>
        <w:outlineLvl w:val="1"/>
        <w:rPr>
          <w:rFonts w:hint="eastAsia" w:eastAsia="仿宋_GB2312"/>
          <w:szCs w:val="32"/>
          <w:u w:val="none"/>
          <w:lang w:eastAsia="zh-CN"/>
        </w:rPr>
      </w:pPr>
      <w:r>
        <w:rPr>
          <w:rFonts w:hint="eastAsia"/>
          <w:b/>
          <w:bCs/>
          <w:szCs w:val="32"/>
          <w:u w:val="none"/>
        </w:rPr>
        <w:t>“快进提质”主要表现为</w:t>
      </w:r>
      <w:r>
        <w:rPr>
          <w:rFonts w:hint="eastAsia"/>
          <w:szCs w:val="32"/>
          <w:u w:val="none"/>
        </w:rPr>
        <w:t>：经济运行持续向好，</w:t>
      </w:r>
      <w:r>
        <w:rPr>
          <w:szCs w:val="32"/>
          <w:u w:val="none"/>
        </w:rPr>
        <w:t>发展质效</w:t>
      </w:r>
      <w:r>
        <w:rPr>
          <w:rFonts w:hint="eastAsia"/>
          <w:szCs w:val="32"/>
          <w:u w:val="none"/>
        </w:rPr>
        <w:t>持续增强。前三季度地区生产总值实现1180.7亿元，同比增长10.9%、全市第二，超额完成市级调度目标，全年预计同比增长9%左右。1-11月规上工业总产值同比增长74.7%、前三季度批发零售业销售额同比增长32.6%，两项指标今年以来均稳居全市首位。一般公共预算收入全年预计实现98.1亿元，同比增长3%，</w:t>
      </w:r>
      <w:r>
        <w:rPr>
          <w:rFonts w:hint="eastAsia" w:cs="仿宋_GB2312"/>
          <w:szCs w:val="32"/>
          <w:u w:val="none"/>
        </w:rPr>
        <w:t>居民人均可支配收入前三季度实现47176元，同比增长5.7%、居全市第二，预计全年实现稳步增长。城镇调查失业率控制在5%以内。</w:t>
      </w:r>
      <w:r>
        <w:rPr>
          <w:rFonts w:hint="eastAsia"/>
          <w:szCs w:val="32"/>
          <w:u w:val="none"/>
        </w:rPr>
        <w:t>新设市场主体超2.5万户、居全市第六，规上企业数量同比增长14%，</w:t>
      </w:r>
      <w:r>
        <w:rPr>
          <w:rFonts w:hint="eastAsia" w:cs="仿宋_GB2312"/>
          <w:szCs w:val="32"/>
          <w:u w:val="none"/>
        </w:rPr>
        <w:t>大中型重点企业研发费用同比增长29.1%、居全市第二，高技术制造业产值同比增长12.4%，高于全市平均</w:t>
      </w:r>
      <w:r>
        <w:rPr>
          <w:rFonts w:hint="eastAsia" w:cs="仿宋_GB2312"/>
          <w:szCs w:val="32"/>
          <w:highlight w:val="none"/>
          <w:u w:val="none"/>
        </w:rPr>
        <w:t>水平</w:t>
      </w:r>
      <w:r>
        <w:rPr>
          <w:rFonts w:hint="eastAsia"/>
          <w:szCs w:val="32"/>
          <w:highlight w:val="none"/>
          <w:u w:val="none"/>
          <w:lang w:eastAsia="zh-CN"/>
        </w:rPr>
        <w:t>。</w:t>
      </w:r>
    </w:p>
    <w:p w14:paraId="445A8454">
      <w:pPr>
        <w:spacing w:line="600" w:lineRule="exact"/>
        <w:ind w:firstLine="643"/>
        <w:outlineLvl w:val="1"/>
        <w:rPr>
          <w:rFonts w:hint="eastAsia" w:cs="仿宋_GB2312"/>
          <w:szCs w:val="32"/>
          <w:u w:val="none"/>
        </w:rPr>
      </w:pPr>
      <w:r>
        <w:rPr>
          <w:rFonts w:hint="eastAsia" w:cs="仿宋_GB2312"/>
          <w:b/>
          <w:bCs/>
          <w:szCs w:val="32"/>
          <w:u w:val="none"/>
        </w:rPr>
        <w:t>“进位争先”</w:t>
      </w:r>
      <w:r>
        <w:rPr>
          <w:rFonts w:hint="eastAsia"/>
          <w:b/>
          <w:bCs/>
          <w:szCs w:val="32"/>
          <w:u w:val="none"/>
        </w:rPr>
        <w:t>主要表现为</w:t>
      </w:r>
      <w:r>
        <w:rPr>
          <w:rFonts w:hint="eastAsia" w:cs="仿宋_GB2312"/>
          <w:szCs w:val="32"/>
          <w:u w:val="none"/>
        </w:rPr>
        <w:t>：关键领域实现赶超，城市竞争力稳步提升。“七有”“五性”中“一刻钟便民生活圈优秀率”“市民服务热线公正性问题‘三率’评价”两项指标位居全市第一，较去年同期分别提升15名和4名，“住有所居”领域排名全市第二，民生福祉保障水平稳步提高。政务服务营商环境二季度斩获全市首位，</w:t>
      </w:r>
      <w:r>
        <w:rPr>
          <w:rFonts w:cs="仿宋_GB2312"/>
          <w:szCs w:val="32"/>
          <w:u w:val="none"/>
        </w:rPr>
        <w:t>“服务包”监测评价</w:t>
      </w:r>
      <w:r>
        <w:rPr>
          <w:rFonts w:hint="eastAsia" w:cs="仿宋_GB2312"/>
          <w:szCs w:val="32"/>
          <w:u w:val="none"/>
          <w:lang w:eastAsia="zh-CN"/>
        </w:rPr>
        <w:t>保持</w:t>
      </w:r>
      <w:r>
        <w:rPr>
          <w:rFonts w:cs="仿宋_GB2312"/>
          <w:szCs w:val="32"/>
          <w:u w:val="none"/>
        </w:rPr>
        <w:t>全市第一梯队。</w:t>
      </w:r>
      <w:r>
        <w:rPr>
          <w:rFonts w:hint="eastAsia" w:cs="仿宋_GB2312"/>
          <w:szCs w:val="32"/>
          <w:u w:val="none"/>
        </w:rPr>
        <w:t>全面推行“秒接速办”工作机制，实现市民诉求“秒级”响应，接诉即办综合考评成绩升至全市中上游，原始解决率提高20个百分点。率先探索生态优先、绿色低碳发展路径，全市首个区级林业碳汇开发交易管理办法“通汇赢”落地实施，</w:t>
      </w:r>
      <w:r>
        <w:rPr>
          <w:rFonts w:cs="仿宋_GB2312"/>
          <w:szCs w:val="32"/>
          <w:u w:val="none"/>
        </w:rPr>
        <w:t>绿心森林公园成为全市首个</w:t>
      </w:r>
      <w:r>
        <w:rPr>
          <w:rFonts w:hint="eastAsia" w:cs="仿宋_GB2312"/>
          <w:szCs w:val="32"/>
          <w:u w:val="none"/>
        </w:rPr>
        <w:t>国际国内双认证的</w:t>
      </w:r>
      <w:r>
        <w:rPr>
          <w:rFonts w:cs="仿宋_GB2312"/>
          <w:szCs w:val="32"/>
          <w:u w:val="none"/>
        </w:rPr>
        <w:t>“全域零碳公园”，减河北综合资源利用中心（一期）入选国家污水处理绿色低碳标杆厂，国家绿色技术交易中心、全国唯一绿色价格认证研究中心成功落户</w:t>
      </w:r>
      <w:r>
        <w:rPr>
          <w:rFonts w:hint="eastAsia" w:cs="仿宋_GB2312"/>
          <w:szCs w:val="32"/>
          <w:u w:val="none"/>
        </w:rPr>
        <w:t>，</w:t>
      </w:r>
      <w:r>
        <w:rPr>
          <w:rFonts w:cs="仿宋_GB2312"/>
          <w:szCs w:val="32"/>
          <w:u w:val="none"/>
        </w:rPr>
        <w:t>新增超低能耗建筑19.2万平方米、位居全市前列。</w:t>
      </w:r>
    </w:p>
    <w:p w14:paraId="2DE41F46">
      <w:pPr>
        <w:spacing w:line="600" w:lineRule="exact"/>
        <w:ind w:firstLine="643"/>
        <w:outlineLvl w:val="1"/>
        <w:rPr>
          <w:rFonts w:hint="eastAsia" w:cs="仿宋_GB2312"/>
          <w:color w:val="000000"/>
          <w:szCs w:val="32"/>
          <w:u w:val="none"/>
        </w:rPr>
      </w:pPr>
      <w:r>
        <w:rPr>
          <w:rFonts w:hint="eastAsia" w:cs="仿宋_GB2312"/>
          <w:b/>
          <w:bCs/>
          <w:szCs w:val="32"/>
          <w:u w:val="none"/>
        </w:rPr>
        <w:t>“突破前行”</w:t>
      </w:r>
      <w:r>
        <w:rPr>
          <w:rFonts w:hint="eastAsia"/>
          <w:b/>
          <w:bCs/>
          <w:szCs w:val="32"/>
          <w:u w:val="none"/>
        </w:rPr>
        <w:t>主要表现为</w:t>
      </w:r>
      <w:r>
        <w:rPr>
          <w:rFonts w:hint="eastAsia" w:cs="仿宋_GB2312"/>
          <w:szCs w:val="32"/>
          <w:u w:val="none"/>
        </w:rPr>
        <w:t>：</w:t>
      </w:r>
      <w:r>
        <w:rPr>
          <w:rFonts w:cs="仿宋_GB2312"/>
          <w:szCs w:val="32"/>
          <w:u w:val="none"/>
        </w:rPr>
        <w:t>改革创新多点突破，难点攻坚</w:t>
      </w:r>
      <w:r>
        <w:rPr>
          <w:rFonts w:hint="eastAsia" w:cs="仿宋_GB2312"/>
          <w:szCs w:val="32"/>
          <w:u w:val="none"/>
        </w:rPr>
        <w:t>纵深推进。</w:t>
      </w:r>
      <w:r>
        <w:rPr>
          <w:rFonts w:cs="仿宋_GB2312"/>
          <w:szCs w:val="32"/>
          <w:u w:val="none"/>
        </w:rPr>
        <w:t>成功获批国家要素市场化配置综合改革试点</w:t>
      </w:r>
      <w:r>
        <w:rPr>
          <w:rFonts w:hint="eastAsia" w:cs="仿宋_GB2312"/>
          <w:szCs w:val="32"/>
          <w:u w:val="none"/>
        </w:rPr>
        <w:t>，初步</w:t>
      </w:r>
      <w:r>
        <w:rPr>
          <w:rFonts w:cs="仿宋_GB2312"/>
          <w:szCs w:val="32"/>
          <w:u w:val="none"/>
        </w:rPr>
        <w:t>形成</w:t>
      </w:r>
      <w:r>
        <w:rPr>
          <w:rFonts w:hint="eastAsia" w:cs="仿宋_GB2312"/>
          <w:szCs w:val="32"/>
          <w:u w:val="none"/>
          <w:lang w:val="en-US" w:eastAsia="zh-CN"/>
        </w:rPr>
        <w:t>60</w:t>
      </w:r>
      <w:r>
        <w:rPr>
          <w:rFonts w:cs="仿宋_GB2312"/>
          <w:szCs w:val="32"/>
          <w:u w:val="none"/>
        </w:rPr>
        <w:t>项</w:t>
      </w:r>
      <w:r>
        <w:rPr>
          <w:rFonts w:hint="eastAsia" w:cs="仿宋_GB2312"/>
          <w:szCs w:val="32"/>
          <w:u w:val="none"/>
        </w:rPr>
        <w:t>改革任务，《北京城市副中心条例》完成市人大常委会三次审议</w:t>
      </w:r>
      <w:r>
        <w:rPr>
          <w:rFonts w:hint="eastAsia" w:cs="仿宋_GB2312"/>
          <w:szCs w:val="32"/>
          <w:u w:val="none"/>
          <w:lang w:eastAsia="zh-CN"/>
        </w:rPr>
        <w:t>，</w:t>
      </w:r>
      <w:r>
        <w:rPr>
          <w:rFonts w:cs="仿宋_GB2312"/>
          <w:szCs w:val="32"/>
          <w:u w:val="none"/>
        </w:rPr>
        <w:t>北京城市</w:t>
      </w:r>
      <w:r>
        <w:rPr>
          <w:rFonts w:hint="eastAsia" w:cs="仿宋_GB2312"/>
          <w:szCs w:val="32"/>
          <w:u w:val="none"/>
        </w:rPr>
        <w:t>副中心</w:t>
      </w:r>
      <w:r>
        <w:rPr>
          <w:rFonts w:cs="仿宋_GB2312"/>
          <w:szCs w:val="32"/>
          <w:u w:val="none"/>
        </w:rPr>
        <w:t>气候适应型城市建设项目</w:t>
      </w:r>
      <w:r>
        <w:rPr>
          <w:rFonts w:hint="eastAsia" w:cs="仿宋_GB2312"/>
          <w:szCs w:val="32"/>
          <w:u w:val="none"/>
          <w:lang w:eastAsia="zh-CN"/>
        </w:rPr>
        <w:t>荣</w:t>
      </w:r>
      <w:r>
        <w:rPr>
          <w:rFonts w:cs="仿宋_GB2312"/>
          <w:szCs w:val="32"/>
          <w:u w:val="none"/>
        </w:rPr>
        <w:t>获</w:t>
      </w:r>
      <w:r>
        <w:rPr>
          <w:rFonts w:hint="eastAsia" w:cs="仿宋_GB2312"/>
          <w:szCs w:val="32"/>
          <w:u w:val="none"/>
          <w:lang w:val="en-US" w:eastAsia="zh-CN"/>
        </w:rPr>
        <w:t>2025年城市气候领导联盟(</w:t>
      </w:r>
      <w:r>
        <w:rPr>
          <w:rFonts w:cs="仿宋_GB2312"/>
          <w:szCs w:val="32"/>
          <w:u w:val="none"/>
        </w:rPr>
        <w:t>C40</w:t>
      </w:r>
      <w:r>
        <w:rPr>
          <w:rFonts w:hint="eastAsia" w:cs="仿宋_GB2312"/>
          <w:szCs w:val="32"/>
          <w:u w:val="none"/>
          <w:lang w:val="en-US" w:eastAsia="zh-CN"/>
        </w:rPr>
        <w:t>)</w:t>
      </w:r>
      <w:r>
        <w:rPr>
          <w:rFonts w:cs="仿宋_GB2312"/>
          <w:szCs w:val="32"/>
          <w:u w:val="none"/>
        </w:rPr>
        <w:t>“地方气候领袖”奖</w:t>
      </w:r>
      <w:r>
        <w:rPr>
          <w:rFonts w:hint="eastAsia" w:cs="仿宋_GB2312"/>
          <w:szCs w:val="32"/>
          <w:u w:val="none"/>
        </w:rPr>
        <w:t>，</w:t>
      </w:r>
      <w:r>
        <w:rPr>
          <w:rFonts w:hint="eastAsia" w:cs="仿宋_GB2312"/>
          <w:color w:val="auto"/>
          <w:szCs w:val="32"/>
          <w:u w:val="none"/>
          <w:shd w:val="clear" w:color="auto" w:fill="auto"/>
        </w:rPr>
        <w:t>落地全国首个不动产信托财产登记试点案例</w:t>
      </w:r>
      <w:r>
        <w:rPr>
          <w:rFonts w:hint="eastAsia" w:cs="仿宋_GB2312"/>
          <w:color w:val="auto"/>
          <w:szCs w:val="32"/>
          <w:u w:val="none"/>
          <w:shd w:val="clear" w:color="auto" w:fill="auto"/>
          <w:lang w:eastAsia="zh-CN"/>
        </w:rPr>
        <w:t>及</w:t>
      </w:r>
      <w:r>
        <w:rPr>
          <w:rFonts w:hint="eastAsia" w:cs="仿宋_GB2312"/>
          <w:color w:val="auto"/>
          <w:szCs w:val="32"/>
          <w:u w:val="none"/>
          <w:shd w:val="clear" w:color="auto" w:fill="auto"/>
        </w:rPr>
        <w:t>首批股权信托财产登记案例</w:t>
      </w:r>
      <w:r>
        <w:rPr>
          <w:rFonts w:hint="eastAsia" w:cs="仿宋_GB2312"/>
          <w:szCs w:val="32"/>
          <w:u w:val="none"/>
          <w:shd w:val="clear" w:color="auto" w:fill="auto"/>
        </w:rPr>
        <w:t>，</w:t>
      </w:r>
      <w:r>
        <w:rPr>
          <w:rFonts w:cs="仿宋_GB2312"/>
          <w:szCs w:val="32"/>
          <w:u w:val="none"/>
        </w:rPr>
        <w:t>累计形成11项标志性制度创新成果，其中7项获</w:t>
      </w:r>
      <w:r>
        <w:rPr>
          <w:rFonts w:hint="eastAsia" w:cs="仿宋_GB2312"/>
          <w:szCs w:val="32"/>
          <w:u w:val="none"/>
        </w:rPr>
        <w:t>评</w:t>
      </w:r>
      <w:r>
        <w:rPr>
          <w:rFonts w:cs="仿宋_GB2312"/>
          <w:szCs w:val="32"/>
          <w:u w:val="none"/>
        </w:rPr>
        <w:t>市级</w:t>
      </w:r>
      <w:r>
        <w:rPr>
          <w:rFonts w:hint="eastAsia" w:cs="仿宋_GB2312"/>
          <w:szCs w:val="32"/>
          <w:u w:val="none"/>
        </w:rPr>
        <w:t>及国家级</w:t>
      </w:r>
      <w:r>
        <w:rPr>
          <w:rFonts w:cs="仿宋_GB2312"/>
          <w:szCs w:val="32"/>
          <w:u w:val="none"/>
        </w:rPr>
        <w:t>案例。</w:t>
      </w:r>
      <w:r>
        <w:rPr>
          <w:rFonts w:hint="eastAsia" w:cs="仿宋_GB2312"/>
          <w:szCs w:val="32"/>
          <w:u w:val="none"/>
        </w:rPr>
        <w:t>提炼形成一批成熟治理模式和典型经验，12个基层治理特色品牌在全国基层治理典型案例评选中获评表彰。</w:t>
      </w:r>
      <w:r>
        <w:rPr>
          <w:rFonts w:hint="eastAsia" w:cs="仿宋_GB2312"/>
          <w:szCs w:val="32"/>
          <w:highlight w:val="none"/>
          <w:u w:val="none"/>
        </w:rPr>
        <w:t>经过百日攻坚、系统施策，打通堵点1118个，</w:t>
      </w:r>
      <w:r>
        <w:rPr>
          <w:rFonts w:hint="default" w:cs="Times New Roman"/>
          <w:szCs w:val="22"/>
          <w:highlight w:val="none"/>
          <w:u w:val="none"/>
        </w:rPr>
        <w:t>腾出空间177万平方米</w:t>
      </w:r>
      <w:r>
        <w:rPr>
          <w:rFonts w:hint="eastAsia" w:cs="Times New Roman"/>
          <w:szCs w:val="22"/>
          <w:highlight w:val="none"/>
          <w:u w:val="none"/>
          <w:lang w:eastAsia="zh-CN"/>
        </w:rPr>
        <w:t>，下大力气</w:t>
      </w:r>
      <w:r>
        <w:rPr>
          <w:rFonts w:hint="eastAsia" w:cs="仿宋_GB2312"/>
          <w:szCs w:val="32"/>
          <w:highlight w:val="none"/>
          <w:u w:val="none"/>
        </w:rPr>
        <w:t>完成57个项目土地空间整理</w:t>
      </w:r>
      <w:r>
        <w:rPr>
          <w:rFonts w:hint="eastAsia" w:cs="仿宋_GB2312"/>
          <w:szCs w:val="32"/>
          <w:highlight w:val="none"/>
          <w:u w:val="none"/>
          <w:lang w:eastAsia="zh-CN"/>
        </w:rPr>
        <w:t>，一批土地资源的价值得到有效释放，</w:t>
      </w:r>
      <w:r>
        <w:rPr>
          <w:rFonts w:hint="default" w:cs="Times New Roman"/>
          <w:szCs w:val="22"/>
          <w:highlight w:val="none"/>
          <w:u w:val="none"/>
        </w:rPr>
        <w:t>一批群众期盼的民生工程加快“破障立新”</w:t>
      </w:r>
      <w:r>
        <w:rPr>
          <w:rFonts w:hint="eastAsia" w:cs="仿宋_GB2312"/>
          <w:szCs w:val="32"/>
          <w:highlight w:val="none"/>
          <w:u w:val="none"/>
        </w:rPr>
        <w:t>。</w:t>
      </w:r>
    </w:p>
    <w:p w14:paraId="01831D6D">
      <w:pPr>
        <w:spacing w:line="600" w:lineRule="exact"/>
        <w:ind w:firstLine="640"/>
        <w:rPr>
          <w:rFonts w:hint="eastAsia" w:cs="仿宋_GB2312"/>
          <w:szCs w:val="32"/>
          <w:u w:val="none"/>
        </w:rPr>
      </w:pPr>
      <w:r>
        <w:rPr>
          <w:rFonts w:hint="eastAsia" w:cs="仿宋_GB2312"/>
          <w:szCs w:val="32"/>
          <w:u w:val="none"/>
        </w:rPr>
        <w:t>一年来，重点做了以下五方面工作：</w:t>
      </w:r>
    </w:p>
    <w:p w14:paraId="1B9DF868">
      <w:pPr>
        <w:spacing w:line="600" w:lineRule="exact"/>
        <w:ind w:firstLine="640"/>
        <w:outlineLvl w:val="1"/>
        <w:rPr>
          <w:rFonts w:hint="eastAsia" w:ascii="楷体_GB2312" w:hAnsi="楷体_GB2312" w:eastAsia="楷体_GB2312" w:cs="楷体_GB2312"/>
          <w:szCs w:val="32"/>
          <w:u w:val="none"/>
        </w:rPr>
      </w:pPr>
      <w:r>
        <w:rPr>
          <w:rFonts w:hint="eastAsia" w:ascii="楷体_GB2312" w:hAnsi="楷体_GB2312" w:eastAsia="楷体_GB2312" w:cs="楷体_GB2312"/>
          <w:szCs w:val="32"/>
          <w:u w:val="none"/>
        </w:rPr>
        <w:t>（一）产业升级增创新优势</w:t>
      </w:r>
    </w:p>
    <w:p w14:paraId="39430AB3">
      <w:pPr>
        <w:spacing w:line="600" w:lineRule="exact"/>
        <w:ind w:firstLine="640" w:firstLineChars="0"/>
        <w:rPr>
          <w:rFonts w:hint="eastAsia" w:cs="仿宋_GB2312"/>
          <w:b/>
          <w:bCs/>
          <w:szCs w:val="32"/>
          <w:u w:val="none"/>
        </w:rPr>
      </w:pPr>
      <w:r>
        <w:rPr>
          <w:rFonts w:hint="eastAsia" w:cs="仿宋_GB2312"/>
          <w:b/>
          <w:bCs/>
          <w:szCs w:val="32"/>
          <w:u w:val="none"/>
        </w:rPr>
        <w:t>育商强企协同发力。</w:t>
      </w:r>
      <w:r>
        <w:rPr>
          <w:rFonts w:hint="eastAsia" w:cs="仿宋_GB2312"/>
          <w:szCs w:val="32"/>
          <w:u w:val="none"/>
        </w:rPr>
        <w:t>存量企业发展能级持续提升，支持企业技改升级与产能提升，高端化、智能化、绿色化转型进展加快。博格华纳北京新工厂实现满产运行、累计产销突破1000万台，天纳克新厂区正式投产，</w:t>
      </w:r>
      <w:r>
        <w:rPr>
          <w:rFonts w:cs="仿宋_GB2312"/>
          <w:szCs w:val="32"/>
          <w:u w:val="none"/>
        </w:rPr>
        <w:t>北京服装学院</w:t>
      </w:r>
      <w:r>
        <w:rPr>
          <w:rFonts w:hint="eastAsia" w:cs="仿宋_GB2312"/>
          <w:szCs w:val="32"/>
          <w:u w:val="none"/>
        </w:rPr>
        <w:t>未来实验室正式交付，天海氢能前沿科技产业发展项目全面投产，福元医药高精尖医药产业化项目建设完工，东方医用气体集体土地扩产项目开工，累计获评国家级绿色工厂13家，新增市级先进级智能工厂11家，卓越级智能工厂1家。新建产业项目加快推进，</w:t>
      </w:r>
      <w:r>
        <w:rPr>
          <w:rFonts w:hint="eastAsia"/>
          <w:szCs w:val="32"/>
          <w:u w:val="none"/>
        </w:rPr>
        <w:t>数智北京创新中心投入运行，数字经济智城园精彩亮相，</w:t>
      </w:r>
      <w:r>
        <w:rPr>
          <w:rFonts w:hint="eastAsia" w:cs="仿宋_GB2312"/>
          <w:szCs w:val="32"/>
          <w:u w:val="none"/>
        </w:rPr>
        <w:t>北京规模最大冷链物流园区—北京东南高速公路智慧物流港（一期）开园，网络安全领军人才培育基地、启动区办公及服务配套项目、联东U谷数字安全产业基地竣工验收，</w:t>
      </w:r>
      <w:r>
        <w:rPr>
          <w:rFonts w:cs="仿宋_GB2312"/>
          <w:szCs w:val="32"/>
          <w:u w:val="none"/>
        </w:rPr>
        <w:t>软通动力</w:t>
      </w:r>
      <w:r>
        <w:rPr>
          <w:rFonts w:hint="eastAsia" w:cs="仿宋_GB2312"/>
          <w:szCs w:val="32"/>
          <w:u w:val="none"/>
        </w:rPr>
        <w:t>智能</w:t>
      </w:r>
      <w:r>
        <w:rPr>
          <w:rFonts w:cs="仿宋_GB2312"/>
          <w:szCs w:val="32"/>
          <w:u w:val="none"/>
        </w:rPr>
        <w:t>制造基地</w:t>
      </w:r>
      <w:r>
        <w:rPr>
          <w:rFonts w:hint="eastAsia" w:cs="仿宋_GB2312"/>
          <w:szCs w:val="32"/>
          <w:u w:val="none"/>
        </w:rPr>
        <w:t>、</w:t>
      </w:r>
      <w:r>
        <w:rPr>
          <w:rFonts w:cs="仿宋_GB2312"/>
          <w:szCs w:val="32"/>
          <w:u w:val="none"/>
        </w:rPr>
        <w:t>电投工业互联网数据安全信息港</w:t>
      </w:r>
      <w:r>
        <w:rPr>
          <w:rFonts w:hint="eastAsia" w:cs="仿宋_GB2312"/>
          <w:szCs w:val="32"/>
          <w:u w:val="none"/>
        </w:rPr>
        <w:t>主体结构基本完工</w:t>
      </w:r>
      <w:r>
        <w:rPr>
          <w:rFonts w:cs="仿宋_GB2312"/>
          <w:szCs w:val="32"/>
          <w:u w:val="none"/>
        </w:rPr>
        <w:t>，</w:t>
      </w:r>
      <w:r>
        <w:rPr>
          <w:rFonts w:hint="eastAsia" w:cs="仿宋_GB2312"/>
          <w:szCs w:val="32"/>
          <w:u w:val="none"/>
        </w:rPr>
        <w:t>京津冀信创小镇建设全面提速</w:t>
      </w:r>
      <w:r>
        <w:rPr>
          <w:rFonts w:hint="eastAsia"/>
          <w:szCs w:val="32"/>
          <w:u w:val="none"/>
        </w:rPr>
        <w:t>。</w:t>
      </w:r>
      <w:r>
        <w:rPr>
          <w:rFonts w:hint="eastAsia" w:cs="仿宋_GB2312"/>
          <w:szCs w:val="32"/>
          <w:u w:val="none"/>
        </w:rPr>
        <w:t>特色园区深化发展，运河商务区税收贡献占全区比重超22%，新增完工面积18万平方米，推动存量楼宇空间去化</w:t>
      </w:r>
      <w:r>
        <w:rPr>
          <w:rFonts w:hint="eastAsia" w:cs="仿宋_GB2312"/>
          <w:szCs w:val="32"/>
          <w:u w:val="none"/>
          <w:lang w:eastAsia="zh-CN"/>
        </w:rPr>
        <w:t>超</w:t>
      </w:r>
      <w:r>
        <w:rPr>
          <w:rFonts w:hint="eastAsia" w:cs="仿宋_GB2312"/>
          <w:szCs w:val="32"/>
          <w:u w:val="none"/>
          <w:lang w:val="en-US" w:eastAsia="zh-CN"/>
        </w:rPr>
        <w:t>5.4</w:t>
      </w:r>
      <w:r>
        <w:rPr>
          <w:rFonts w:hint="eastAsia" w:cs="仿宋_GB2312"/>
          <w:szCs w:val="32"/>
          <w:u w:val="none"/>
        </w:rPr>
        <w:t>万平方米，空置率降至38%以下。中关村通州园提质升级，出台全市首个落地的区域时尚产业专项方案，“未来设计+大健康”两业融合示范区正式授牌，中关村（通州）创新医学转化产业园、张家湾未来设计创新产业园正式获批，北大人民医院医产协同创新港、安贞</w:t>
      </w:r>
      <w:r>
        <w:rPr>
          <w:rFonts w:hint="eastAsia" w:cs="仿宋_GB2312"/>
          <w:spacing w:val="-6"/>
          <w:szCs w:val="32"/>
          <w:u w:val="none"/>
        </w:rPr>
        <w:t>医院未来医学创新谷等“一院一策”产业园项目前期手续加快推进。</w:t>
      </w:r>
    </w:p>
    <w:p w14:paraId="2C177DFB">
      <w:pPr>
        <w:spacing w:line="600" w:lineRule="exact"/>
        <w:ind w:firstLine="640" w:firstLineChars="0"/>
        <w:rPr>
          <w:rFonts w:hint="eastAsia" w:cs="仿宋_GB2312"/>
          <w:b/>
          <w:bCs/>
          <w:szCs w:val="32"/>
          <w:u w:val="none"/>
        </w:rPr>
      </w:pPr>
      <w:r>
        <w:rPr>
          <w:rFonts w:hint="eastAsia" w:cs="仿宋_GB2312"/>
          <w:b/>
          <w:bCs/>
          <w:szCs w:val="32"/>
          <w:u w:val="none"/>
        </w:rPr>
        <w:t>科创赋能更加凸显。</w:t>
      </w:r>
      <w:r>
        <w:rPr>
          <w:rFonts w:hint="eastAsia" w:cs="仿宋_GB2312"/>
          <w:szCs w:val="32"/>
          <w:u w:val="none"/>
        </w:rPr>
        <w:t>创新主体蓬勃发展，新增市级创新型中小企业165家、市级“专精特新”中小企业107家、</w:t>
      </w:r>
      <w:r>
        <w:rPr>
          <w:rFonts w:hint="eastAsia" w:cs="仿宋_GB2312"/>
          <w:color w:val="000000"/>
          <w:szCs w:val="32"/>
          <w:u w:val="none"/>
        </w:rPr>
        <w:t>国家级“小巨人”企业11家</w:t>
      </w:r>
      <w:r>
        <w:rPr>
          <w:rFonts w:hint="eastAsia" w:cs="仿宋_GB2312"/>
          <w:szCs w:val="32"/>
          <w:u w:val="none"/>
        </w:rPr>
        <w:t>。创新平台建设提速，布局建设重点实验室、工程技术研究中心、企业技术中心等高能级创新载体，累计获评国家级企业技术中心1家、市级企业技术中心89家，全区市级及以上创新平台数量达167家。前期落地的铀资源探采与核遥感全国重点实验室、北京市结核病防治关键技术重点实验室等成果加速涌现。首家动物试验平台灵赋生物揭牌，成立“北京城市副中心医药健康产教联合体”，产学研用进一步融合。</w:t>
      </w:r>
    </w:p>
    <w:p w14:paraId="7E2A937F">
      <w:pPr>
        <w:spacing w:line="600" w:lineRule="exact"/>
        <w:ind w:firstLine="640" w:firstLineChars="0"/>
        <w:rPr>
          <w:rFonts w:hint="eastAsia" w:eastAsia="楷体_GB2312" w:cs="楷体_GB2312"/>
          <w:b/>
          <w:bCs/>
          <w:szCs w:val="32"/>
          <w:u w:val="none"/>
        </w:rPr>
      </w:pPr>
      <w:r>
        <w:rPr>
          <w:rFonts w:hint="eastAsia" w:cs="仿宋_GB2312"/>
          <w:b/>
          <w:bCs/>
          <w:szCs w:val="32"/>
          <w:u w:val="none"/>
        </w:rPr>
        <w:t>大招商力度持续增强。</w:t>
      </w:r>
      <w:r>
        <w:rPr>
          <w:rFonts w:hint="eastAsia" w:cs="仿宋_GB2312"/>
          <w:szCs w:val="32"/>
          <w:u w:val="none"/>
        </w:rPr>
        <w:t>招商机制提质增效，成立区属招商公司，出台区投资促进工作专班方案，</w:t>
      </w:r>
      <w:r>
        <w:rPr>
          <w:rFonts w:cs="仿宋_GB2312"/>
          <w:szCs w:val="32"/>
          <w:u w:val="none"/>
        </w:rPr>
        <w:t>建立“招商服务专员”机制，</w:t>
      </w:r>
      <w:r>
        <w:rPr>
          <w:rFonts w:hint="eastAsia" w:cs="仿宋_GB2312"/>
          <w:szCs w:val="32"/>
          <w:u w:val="none"/>
        </w:rPr>
        <w:t>实现</w:t>
      </w:r>
      <w:r>
        <w:rPr>
          <w:rFonts w:cs="仿宋_GB2312"/>
          <w:szCs w:val="32"/>
          <w:u w:val="none"/>
        </w:rPr>
        <w:t>22个街乡镇</w:t>
      </w:r>
      <w:r>
        <w:rPr>
          <w:rFonts w:hint="eastAsia" w:cs="仿宋_GB2312"/>
          <w:szCs w:val="32"/>
          <w:u w:val="none"/>
        </w:rPr>
        <w:t>全</w:t>
      </w:r>
      <w:r>
        <w:rPr>
          <w:rFonts w:cs="仿宋_GB2312"/>
          <w:szCs w:val="32"/>
          <w:u w:val="none"/>
        </w:rPr>
        <w:t>配备</w:t>
      </w:r>
      <w:r>
        <w:rPr>
          <w:rFonts w:hint="eastAsia" w:cs="仿宋_GB2312"/>
          <w:szCs w:val="32"/>
          <w:u w:val="none"/>
        </w:rPr>
        <w:t>，全面搭建财源建设</w:t>
      </w:r>
      <w:r>
        <w:rPr>
          <w:rFonts w:hint="eastAsia" w:cs="仿宋_GB2312"/>
          <w:szCs w:val="32"/>
          <w:u w:val="none"/>
          <w:lang w:eastAsia="zh-CN"/>
        </w:rPr>
        <w:t>、</w:t>
      </w:r>
      <w:r>
        <w:rPr>
          <w:rFonts w:hint="eastAsia"/>
          <w:u w:val="none"/>
        </w:rPr>
        <w:t>推进经济高质量发展评价方案</w:t>
      </w:r>
      <w:r>
        <w:rPr>
          <w:rFonts w:hint="eastAsia" w:cs="仿宋_GB2312"/>
          <w:szCs w:val="32"/>
          <w:u w:val="none"/>
        </w:rPr>
        <w:t>等奖励激励体系</w:t>
      </w:r>
      <w:r>
        <w:rPr>
          <w:rFonts w:hint="eastAsia" w:hAnsi="宋体" w:cs="仿宋_GB2312"/>
          <w:bCs/>
          <w:szCs w:val="32"/>
          <w:u w:val="none"/>
          <w:lang w:eastAsia="zh-CN"/>
        </w:rPr>
        <w:t>，</w:t>
      </w:r>
      <w:r>
        <w:rPr>
          <w:rFonts w:hint="eastAsia" w:ascii="仿宋_GB2312" w:hAnsi="宋体" w:cs="仿宋_GB2312"/>
          <w:bCs/>
          <w:szCs w:val="32"/>
          <w:u w:val="none"/>
        </w:rPr>
        <w:t>全员、全域、全链条招商体系</w:t>
      </w:r>
      <w:r>
        <w:rPr>
          <w:rFonts w:cs="仿宋_GB2312"/>
          <w:szCs w:val="32"/>
          <w:u w:val="none"/>
        </w:rPr>
        <w:t>加快构建</w:t>
      </w:r>
      <w:r>
        <w:rPr>
          <w:rFonts w:hint="eastAsia" w:hAnsi="宋体" w:cs="仿宋_GB2312"/>
          <w:bCs/>
          <w:szCs w:val="32"/>
          <w:u w:val="none"/>
          <w:lang w:eastAsia="zh-CN"/>
        </w:rPr>
        <w:t>，</w:t>
      </w:r>
      <w:r>
        <w:rPr>
          <w:rFonts w:hint="eastAsia" w:cs="仿宋_GB2312"/>
          <w:szCs w:val="32"/>
          <w:u w:val="none"/>
        </w:rPr>
        <w:t>新设英国、韩国、比利时国际招商联络站，国际化</w:t>
      </w:r>
      <w:r>
        <w:rPr>
          <w:rFonts w:cs="仿宋_GB2312"/>
          <w:szCs w:val="32"/>
          <w:u w:val="none"/>
        </w:rPr>
        <w:t>招商</w:t>
      </w:r>
      <w:r>
        <w:rPr>
          <w:rFonts w:hint="eastAsia" w:cs="仿宋_GB2312"/>
          <w:szCs w:val="32"/>
          <w:u w:val="none"/>
          <w:lang w:eastAsia="zh-CN"/>
        </w:rPr>
        <w:t>进一步做强</w:t>
      </w:r>
      <w:r>
        <w:rPr>
          <w:rFonts w:hint="eastAsia" w:cs="仿宋_GB2312"/>
          <w:szCs w:val="32"/>
          <w:u w:val="none"/>
        </w:rPr>
        <w:t>。</w:t>
      </w:r>
      <w:r>
        <w:rPr>
          <w:rFonts w:hint="eastAsia" w:cs="仿宋_GB2312"/>
          <w:snapToGrid w:val="0"/>
          <w:kern w:val="0"/>
          <w:szCs w:val="32"/>
          <w:u w:val="none"/>
        </w:rPr>
        <w:t>产业链招商实现延链补链，</w:t>
      </w:r>
      <w:r>
        <w:rPr>
          <w:rFonts w:hint="eastAsia" w:cs="仿宋_GB2312"/>
          <w:szCs w:val="32"/>
          <w:u w:val="none"/>
        </w:rPr>
        <w:t>推动</w:t>
      </w:r>
      <w:r>
        <w:rPr>
          <w:rFonts w:cs="仿宋_GB2312"/>
          <w:szCs w:val="32"/>
          <w:u w:val="none"/>
        </w:rPr>
        <w:t>天纳克、维通利等企业融入小米汽车供应链</w:t>
      </w:r>
      <w:r>
        <w:rPr>
          <w:rFonts w:hint="eastAsia" w:cs="仿宋_GB2312"/>
          <w:szCs w:val="32"/>
          <w:u w:val="none"/>
        </w:rPr>
        <w:t>。</w:t>
      </w:r>
      <w:r>
        <w:rPr>
          <w:rFonts w:cs="仿宋_GB2312"/>
          <w:szCs w:val="32"/>
          <w:u w:val="none"/>
        </w:rPr>
        <w:t>多元化招商活动成果丰硕，成功</w:t>
      </w:r>
      <w:r>
        <w:rPr>
          <w:rFonts w:hint="eastAsia" w:cs="仿宋_GB2312"/>
          <w:szCs w:val="32"/>
          <w:u w:val="none"/>
        </w:rPr>
        <w:t>举办</w:t>
      </w:r>
      <w:r>
        <w:rPr>
          <w:rFonts w:cs="仿宋_GB2312"/>
          <w:szCs w:val="32"/>
          <w:u w:val="none"/>
        </w:rPr>
        <w:t>北京城市产业高质量发展大会、中国（</w:t>
      </w:r>
      <w:r>
        <w:rPr>
          <w:rFonts w:hint="eastAsia" w:cs="仿宋_GB2312"/>
          <w:szCs w:val="32"/>
          <w:u w:val="none"/>
        </w:rPr>
        <w:t>北京城市副中心</w:t>
      </w:r>
      <w:r>
        <w:rPr>
          <w:rFonts w:cs="仿宋_GB2312"/>
          <w:szCs w:val="32"/>
          <w:u w:val="none"/>
        </w:rPr>
        <w:t>）—东盟贸易投资推介会等重大活动，建成全区场景招商项目库，累计挖掘场景机会</w:t>
      </w:r>
      <w:r>
        <w:rPr>
          <w:rFonts w:hint="eastAsia" w:cs="仿宋_GB2312"/>
          <w:szCs w:val="32"/>
          <w:u w:val="none"/>
        </w:rPr>
        <w:t>163</w:t>
      </w:r>
      <w:r>
        <w:rPr>
          <w:rFonts w:cs="仿宋_GB2312"/>
          <w:szCs w:val="32"/>
          <w:u w:val="none"/>
        </w:rPr>
        <w:t>项、场景能力</w:t>
      </w:r>
      <w:r>
        <w:rPr>
          <w:rFonts w:hint="eastAsia" w:cs="仿宋_GB2312"/>
          <w:szCs w:val="32"/>
          <w:u w:val="none"/>
        </w:rPr>
        <w:t>291</w:t>
      </w:r>
      <w:r>
        <w:rPr>
          <w:rFonts w:cs="仿宋_GB2312"/>
          <w:szCs w:val="32"/>
          <w:u w:val="none"/>
        </w:rPr>
        <w:t>项、标杆场景38项。</w:t>
      </w:r>
      <w:r>
        <w:rPr>
          <w:rFonts w:hint="eastAsia" w:cs="仿宋_GB2312"/>
          <w:szCs w:val="32"/>
          <w:u w:val="none"/>
        </w:rPr>
        <w:t>“强招商”带动优质资源加速集聚，新引进医药健康企业26家，邮储银行北京分行正式落地，华夏理财、北银理财资管规模突破万亿，金融及关联企业突破480家，金融科技</w:t>
      </w:r>
      <w:r>
        <w:rPr>
          <w:rFonts w:hint="eastAsia" w:cs="仿宋_GB2312"/>
          <w:szCs w:val="32"/>
          <w:u w:val="none"/>
          <w:lang w:eastAsia="zh-CN"/>
        </w:rPr>
        <w:t>类</w:t>
      </w:r>
      <w:r>
        <w:rPr>
          <w:rFonts w:hint="eastAsia" w:cs="仿宋_GB2312"/>
          <w:szCs w:val="32"/>
          <w:u w:val="none"/>
        </w:rPr>
        <w:t>企业超150家，</w:t>
      </w:r>
      <w:bookmarkStart w:id="0" w:name="OLE_LINK3"/>
      <w:r>
        <w:rPr>
          <w:rFonts w:hint="eastAsia" w:cs="仿宋_GB2312"/>
          <w:szCs w:val="32"/>
          <w:u w:val="none"/>
        </w:rPr>
        <w:t>随视通管理咨询等重点商务服务企业落地发展，北京数据基础制度先行区已注册企业80余家，超90家企业落户紫光VID网络视听产业园，</w:t>
      </w:r>
      <w:bookmarkEnd w:id="0"/>
      <w:r>
        <w:rPr>
          <w:rFonts w:hint="eastAsia" w:cs="仿宋_GB2312"/>
          <w:szCs w:val="32"/>
          <w:u w:val="none"/>
        </w:rPr>
        <w:t>数字经济核心企业收入同比增速位居全市首位，</w:t>
      </w:r>
      <w:r>
        <w:rPr>
          <w:rFonts w:hint="eastAsia" w:cs="仿宋_GB2312"/>
          <w:color w:val="000000" w:themeColor="text1"/>
          <w:szCs w:val="32"/>
          <w:u w:val="none"/>
          <w:shd w:val="clear" w:color="auto" w:fill="FFFFFF"/>
          <w14:textFill>
            <w14:solidFill>
              <w14:schemeClr w14:val="tx1"/>
            </w14:solidFill>
          </w14:textFill>
        </w:rPr>
        <w:t>20家种业及相关企业落地国际种业科技园区。</w:t>
      </w:r>
      <w:r>
        <w:rPr>
          <w:rFonts w:hint="eastAsia" w:hAnsi="黑体"/>
          <w:szCs w:val="32"/>
          <w:u w:val="none"/>
        </w:rPr>
        <w:t>全年累计新增储备在谈项目995个，落地“两区”项目559个，新设外资企业179家。</w:t>
      </w:r>
    </w:p>
    <w:p w14:paraId="0DBF7181">
      <w:pPr>
        <w:spacing w:line="600" w:lineRule="exact"/>
        <w:ind w:firstLine="643"/>
        <w:rPr>
          <w:rFonts w:hint="eastAsia"/>
          <w:szCs w:val="32"/>
          <w:u w:val="none"/>
        </w:rPr>
      </w:pPr>
      <w:r>
        <w:rPr>
          <w:rFonts w:hint="eastAsia" w:cs="仿宋_GB2312"/>
          <w:b/>
          <w:bCs/>
          <w:szCs w:val="32"/>
          <w:u w:val="none"/>
        </w:rPr>
        <w:t>营商环境更加优化。</w:t>
      </w:r>
      <w:r>
        <w:rPr>
          <w:rFonts w:cs="仿宋_GB2312"/>
          <w:szCs w:val="32"/>
          <w:u w:val="none"/>
        </w:rPr>
        <w:t>企业服务精准高效</w:t>
      </w:r>
      <w:r>
        <w:rPr>
          <w:rFonts w:hint="eastAsia"/>
          <w:szCs w:val="32"/>
          <w:u w:val="none"/>
        </w:rPr>
        <w:t>，在全市首创</w:t>
      </w:r>
      <w:r>
        <w:rPr>
          <w:rFonts w:hint="eastAsia" w:cs="仿宋_GB2312"/>
          <w:szCs w:val="32"/>
          <w:u w:val="none"/>
        </w:rPr>
        <w:t>推出“服务包”提质增效十大行动，</w:t>
      </w:r>
      <w:r>
        <w:rPr>
          <w:rFonts w:hint="eastAsia"/>
          <w:szCs w:val="32"/>
          <w:u w:val="none"/>
        </w:rPr>
        <w:t>促成“服务包”新设企业</w:t>
      </w:r>
      <w:r>
        <w:rPr>
          <w:rFonts w:hint="eastAsia" w:ascii="仿宋_GB2312" w:hAnsi="仿宋_GB2312" w:eastAsia="仿宋_GB2312" w:cs="仿宋_GB2312"/>
          <w:sz w:val="32"/>
          <w:szCs w:val="32"/>
          <w:highlight w:val="none"/>
          <w:u w:val="none"/>
          <w:lang w:val="en-US" w:eastAsia="zh-CN"/>
        </w:rPr>
        <w:t>65</w:t>
      </w:r>
      <w:r>
        <w:rPr>
          <w:rFonts w:hint="eastAsia" w:ascii="仿宋_GB2312" w:hAnsi="仿宋_GB2312" w:eastAsia="仿宋_GB2312" w:cs="仿宋_GB2312"/>
          <w:sz w:val="32"/>
          <w:szCs w:val="32"/>
          <w:highlight w:val="none"/>
          <w:u w:val="none"/>
          <w:lang w:eastAsia="zh-CN"/>
        </w:rPr>
        <w:t>个、新落地项目</w:t>
      </w:r>
      <w:r>
        <w:rPr>
          <w:rFonts w:hint="eastAsia" w:ascii="仿宋_GB2312" w:hAnsi="仿宋_GB2312" w:eastAsia="仿宋_GB2312" w:cs="仿宋_GB2312"/>
          <w:sz w:val="32"/>
          <w:szCs w:val="32"/>
          <w:highlight w:val="none"/>
          <w:u w:val="none"/>
          <w:lang w:val="en-US" w:eastAsia="zh-CN"/>
        </w:rPr>
        <w:t>42</w:t>
      </w:r>
      <w:r>
        <w:rPr>
          <w:rFonts w:hint="eastAsia" w:ascii="仿宋_GB2312" w:hAnsi="仿宋_GB2312" w:eastAsia="仿宋_GB2312" w:cs="仿宋_GB2312"/>
          <w:sz w:val="32"/>
          <w:szCs w:val="32"/>
          <w:highlight w:val="none"/>
          <w:u w:val="none"/>
          <w:lang w:eastAsia="zh-CN"/>
        </w:rPr>
        <w:t>个，办结企业诉求3</w:t>
      </w:r>
      <w:r>
        <w:rPr>
          <w:rFonts w:hint="eastAsia" w:ascii="仿宋_GB2312" w:hAnsi="仿宋_GB2312" w:eastAsia="仿宋_GB2312" w:cs="仿宋_GB2312"/>
          <w:sz w:val="32"/>
          <w:szCs w:val="32"/>
          <w:highlight w:val="none"/>
          <w:u w:val="none"/>
          <w:lang w:val="en-US" w:eastAsia="zh-CN"/>
        </w:rPr>
        <w:t>6</w:t>
      </w:r>
      <w:r>
        <w:rPr>
          <w:rFonts w:hint="eastAsia" w:ascii="仿宋_GB2312" w:hAnsi="仿宋_GB2312" w:eastAsia="仿宋_GB2312" w:cs="仿宋_GB2312"/>
          <w:sz w:val="32"/>
          <w:szCs w:val="32"/>
          <w:highlight w:val="none"/>
          <w:u w:val="none"/>
          <w:lang w:eastAsia="zh-CN"/>
        </w:rPr>
        <w:t>00余项，同比增长</w:t>
      </w:r>
      <w:r>
        <w:rPr>
          <w:rFonts w:hint="eastAsia" w:ascii="仿宋_GB2312" w:hAnsi="仿宋_GB2312" w:eastAsia="仿宋_GB2312" w:cs="仿宋_GB2312"/>
          <w:sz w:val="32"/>
          <w:szCs w:val="32"/>
          <w:highlight w:val="none"/>
          <w:u w:val="none"/>
          <w:lang w:val="en-US" w:eastAsia="zh-CN"/>
        </w:rPr>
        <w:t>10.9%，</w:t>
      </w:r>
      <w:r>
        <w:rPr>
          <w:rFonts w:hint="eastAsia" w:ascii="仿宋_GB2312" w:hAnsi="仿宋_GB2312" w:eastAsia="仿宋_GB2312" w:cs="仿宋_GB2312"/>
          <w:sz w:val="32"/>
          <w:szCs w:val="32"/>
          <w:highlight w:val="none"/>
          <w:u w:val="none"/>
          <w:lang w:eastAsia="zh-CN"/>
        </w:rPr>
        <w:t>办结率100%</w:t>
      </w:r>
      <w:r>
        <w:rPr>
          <w:rFonts w:hint="eastAsia" w:ascii="仿宋_GB2312" w:hAnsi="仿宋_GB2312" w:eastAsia="仿宋_GB2312" w:cs="仿宋_GB2312"/>
          <w:sz w:val="32"/>
          <w:szCs w:val="32"/>
          <w:u w:val="none"/>
          <w:lang w:eastAsia="zh-CN"/>
        </w:rPr>
        <w:t>。</w:t>
      </w:r>
      <w:r>
        <w:rPr>
          <w:rFonts w:hint="eastAsia" w:cs="仿宋_GB2312"/>
          <w:szCs w:val="32"/>
          <w:u w:val="none"/>
        </w:rPr>
        <w:t>政策供给更加充分，实现177家企业共计2.5亿元的政策兑现，</w:t>
      </w:r>
      <w:r>
        <w:rPr>
          <w:rFonts w:hint="eastAsia"/>
          <w:szCs w:val="32"/>
          <w:u w:val="none"/>
        </w:rPr>
        <w:t>城市副中心青年友好创业空间和青年创业投资基金正式启用</w:t>
      </w:r>
      <w:r>
        <w:rPr>
          <w:rFonts w:hint="eastAsia" w:cs="仿宋_GB2312"/>
          <w:szCs w:val="32"/>
          <w:u w:val="none"/>
        </w:rPr>
        <w:t>。</w:t>
      </w:r>
      <w:r>
        <w:rPr>
          <w:rFonts w:cs="仿宋_GB2312"/>
          <w:szCs w:val="32"/>
          <w:u w:val="none"/>
          <w:lang w:bidi="ar"/>
        </w:rPr>
        <w:t>举办“大运金融行”“政务融资服务专区”等品牌惠企服务活动</w:t>
      </w:r>
      <w:r>
        <w:rPr>
          <w:rFonts w:hint="eastAsia" w:cs="仿宋_GB2312"/>
          <w:szCs w:val="32"/>
          <w:u w:val="none"/>
          <w:lang w:bidi="ar"/>
        </w:rPr>
        <w:t>近30</w:t>
      </w:r>
      <w:r>
        <w:rPr>
          <w:rFonts w:cs="仿宋_GB2312"/>
          <w:szCs w:val="32"/>
          <w:u w:val="none"/>
          <w:lang w:bidi="ar"/>
        </w:rPr>
        <w:t>场</w:t>
      </w:r>
      <w:r>
        <w:rPr>
          <w:rFonts w:hint="eastAsia" w:cs="仿宋_GB2312"/>
          <w:szCs w:val="32"/>
          <w:u w:val="none"/>
          <w:lang w:bidi="ar"/>
        </w:rPr>
        <w:t>，</w:t>
      </w:r>
      <w:r>
        <w:rPr>
          <w:rFonts w:hint="eastAsia" w:cs="仿宋_GB2312"/>
          <w:color w:val="000000"/>
          <w:szCs w:val="32"/>
          <w:u w:val="none"/>
        </w:rPr>
        <w:t>小微企业融资协调机制持续完善，金融支持实体经济能力进一步增强。</w:t>
      </w:r>
      <w:r>
        <w:rPr>
          <w:rFonts w:hint="eastAsia" w:cs="仿宋_GB2312"/>
          <w:szCs w:val="32"/>
          <w:u w:val="none"/>
        </w:rPr>
        <w:t>一体化综合监管持续推进，</w:t>
      </w:r>
      <w:r>
        <w:rPr>
          <w:rFonts w:hint="eastAsia" w:cs="仿宋_GB2312"/>
          <w:szCs w:val="32"/>
          <w:u w:val="none"/>
          <w:lang w:bidi="ar"/>
        </w:rPr>
        <w:t>“无事不扰”企业清单扩容至5万余家，占全区经营主体25.4%。</w:t>
      </w:r>
      <w:r>
        <w:rPr>
          <w:rFonts w:hint="eastAsia" w:cs="仿宋_GB2312"/>
          <w:szCs w:val="32"/>
          <w:u w:val="none"/>
        </w:rPr>
        <w:t>挂牌全市首个涉碳交易“一站式多元解纷中心”，推动环境权益交易与司法实践深度融合。政务服务提质增效，</w:t>
      </w:r>
      <w:r>
        <w:rPr>
          <w:rFonts w:hint="eastAsia" w:cs="仿宋_GB2312"/>
          <w:bCs/>
          <w:szCs w:val="32"/>
          <w:u w:val="none"/>
        </w:rPr>
        <w:t>成功办理城市副中心首张“个转企”全程网办业务，</w:t>
      </w:r>
      <w:r>
        <w:rPr>
          <w:rFonts w:hint="eastAsia" w:cs="仿宋_GB2312"/>
          <w:szCs w:val="32"/>
          <w:u w:val="none"/>
        </w:rPr>
        <w:t>政务服务热线“0转接”服务模式在全市推广，</w:t>
      </w:r>
      <w:r>
        <w:rPr>
          <w:rFonts w:hint="eastAsia"/>
          <w:szCs w:val="32"/>
          <w:u w:val="none"/>
        </w:rPr>
        <w:t>在全市率先实现“市、区、街（乡镇）”三级政务服务事项一厅集中办理</w:t>
      </w:r>
      <w:r>
        <w:rPr>
          <w:rFonts w:hint="eastAsia" w:cs="仿宋_GB2312"/>
          <w:szCs w:val="32"/>
          <w:u w:val="none"/>
        </w:rPr>
        <w:t>，持续推动100个“高效办成一件事/一业一证”服务场景改革落地，3400余项政务服务事项实现</w:t>
      </w:r>
      <w:r>
        <w:rPr>
          <w:rFonts w:cs="仿宋_GB2312"/>
          <w:szCs w:val="32"/>
          <w:u w:val="none"/>
        </w:rPr>
        <w:t>“就近办、多点办、帮代办”</w:t>
      </w:r>
      <w:r>
        <w:rPr>
          <w:rFonts w:hint="eastAsia" w:cs="仿宋_GB2312"/>
          <w:szCs w:val="32"/>
          <w:u w:val="none"/>
        </w:rPr>
        <w:t>。</w:t>
      </w:r>
    </w:p>
    <w:p w14:paraId="20EF3A1A">
      <w:pPr>
        <w:spacing w:line="600" w:lineRule="exact"/>
        <w:ind w:firstLine="640"/>
        <w:outlineLvl w:val="1"/>
        <w:rPr>
          <w:rFonts w:hint="eastAsia" w:cs="仿宋_GB2312"/>
          <w:szCs w:val="32"/>
          <w:u w:val="none"/>
        </w:rPr>
      </w:pPr>
      <w:r>
        <w:rPr>
          <w:rFonts w:hint="eastAsia" w:ascii="楷体_GB2312" w:hAnsi="楷体_GB2312" w:eastAsia="楷体_GB2312" w:cs="楷体_GB2312"/>
          <w:szCs w:val="32"/>
          <w:u w:val="none"/>
        </w:rPr>
        <w:t>（二）宜居品质得到新提升</w:t>
      </w:r>
    </w:p>
    <w:p w14:paraId="02A22703">
      <w:pPr>
        <w:spacing w:line="600" w:lineRule="exact"/>
        <w:ind w:firstLine="643"/>
        <w:rPr>
          <w:rFonts w:hint="eastAsia" w:cs="仿宋_GB2312"/>
          <w:szCs w:val="32"/>
          <w:u w:val="none"/>
        </w:rPr>
      </w:pPr>
      <w:r>
        <w:rPr>
          <w:rFonts w:hint="eastAsia" w:cs="仿宋_GB2312"/>
          <w:b/>
          <w:bCs/>
          <w:szCs w:val="32"/>
          <w:u w:val="none"/>
        </w:rPr>
        <w:t>城市功能品质持续优化。</w:t>
      </w:r>
      <w:r>
        <w:rPr>
          <w:rFonts w:hint="eastAsia" w:cs="仿宋_GB2312"/>
          <w:szCs w:val="32"/>
          <w:u w:val="none"/>
        </w:rPr>
        <w:t>基础设施建设进一步提速，东六环入地改造建成通车，北京通州站投入运营，地铁6号线南延开通，</w:t>
      </w:r>
      <w:r>
        <w:rPr>
          <w:rFonts w:hint="eastAsia" w:hAnsi="仿宋"/>
          <w:w w:val="100"/>
          <w:szCs w:val="32"/>
          <w:u w:val="none"/>
        </w:rPr>
        <w:t>通燕高速与东六环快速联络线、通怀路（宋庄南大街-通燕高速）西侧拓宽工程、</w:t>
      </w:r>
      <w:r>
        <w:rPr>
          <w:rFonts w:hint="eastAsia" w:cs="仿宋_GB2312"/>
          <w:szCs w:val="32"/>
          <w:u w:val="none"/>
        </w:rPr>
        <w:t>吉祥路北延、西潞苑西一号路建成通车，打通文盛街等10余条断头路。交通综合治理大力度推进，完成10个重点路口拥堵治理、5处轨道站点接驳优化，实施潞城地铁站等11个重点区域非机动车停放治理</w:t>
      </w:r>
      <w:r>
        <w:rPr>
          <w:rFonts w:hint="eastAsia" w:cs="仿宋_GB2312"/>
          <w:szCs w:val="32"/>
          <w:u w:val="none"/>
          <w:lang w:eastAsia="zh-CN"/>
        </w:rPr>
        <w:t>，</w:t>
      </w:r>
      <w:r>
        <w:rPr>
          <w:rFonts w:hint="eastAsia" w:cs="仿宋_GB2312"/>
          <w:szCs w:val="32"/>
          <w:u w:val="none"/>
        </w:rPr>
        <w:t>优化调整公交线路15条，</w:t>
      </w:r>
      <w:r>
        <w:rPr>
          <w:rFonts w:hint="eastAsia" w:cs="仿宋_GB2312"/>
          <w:color w:val="000000"/>
          <w:szCs w:val="32"/>
          <w:u w:val="none"/>
        </w:rPr>
        <w:t>实现干线绿波1</w:t>
      </w:r>
      <w:r>
        <w:rPr>
          <w:rFonts w:hint="eastAsia" w:cs="仿宋_GB2312"/>
          <w:color w:val="000000"/>
          <w:szCs w:val="32"/>
          <w:u w:val="none"/>
          <w:lang w:val="en-US" w:eastAsia="zh-CN"/>
        </w:rPr>
        <w:t>18</w:t>
      </w:r>
      <w:r>
        <w:rPr>
          <w:rFonts w:hint="eastAsia" w:cs="仿宋_GB2312"/>
          <w:color w:val="000000"/>
          <w:szCs w:val="32"/>
          <w:u w:val="none"/>
        </w:rPr>
        <w:t>条，</w:t>
      </w:r>
      <w:r>
        <w:rPr>
          <w:rFonts w:hint="eastAsia" w:cs="仿宋_GB2312"/>
          <w:szCs w:val="32"/>
          <w:u w:val="none"/>
        </w:rPr>
        <w:t>建成三大文化设施周边首批8座公交候车亭，新增停车位4.3万个，开放错时共享停车位950个，试点投放共享电单车6000辆，全市首个交通治理非现场执法中心落地马驹桥镇。城市环境秩序持续优化，拆围挡、清杂草等城市环境治理专项行动成效显著</w:t>
      </w:r>
      <w:r>
        <w:rPr>
          <w:rFonts w:hint="eastAsia" w:cs="仿宋_GB2312"/>
          <w:szCs w:val="32"/>
          <w:u w:val="none"/>
          <w:lang w:eastAsia="zh-CN"/>
        </w:rPr>
        <w:t>，</w:t>
      </w:r>
      <w:r>
        <w:rPr>
          <w:rFonts w:hint="eastAsia" w:cs="仿宋_GB2312"/>
          <w:szCs w:val="32"/>
          <w:u w:val="none"/>
        </w:rPr>
        <w:t>规范城市家具1.18万处，打造运河商务区、永乐店中心区等城市家具样板片区，完成“金角银边”精雕细琢行动年度任务，千余件艺术品扮靓城市公共空间。城市更新深入推进，新完工88个</w:t>
      </w:r>
      <w:bookmarkStart w:id="1" w:name="OLE_LINK79"/>
      <w:bookmarkStart w:id="2" w:name="OLE_LINK80"/>
      <w:r>
        <w:rPr>
          <w:rFonts w:hint="eastAsia" w:cs="仿宋_GB2312"/>
          <w:szCs w:val="32"/>
          <w:u w:val="none"/>
        </w:rPr>
        <w:t>老旧小区综合整治</w:t>
      </w:r>
      <w:bookmarkEnd w:id="1"/>
      <w:bookmarkEnd w:id="2"/>
      <w:r>
        <w:rPr>
          <w:rFonts w:hint="eastAsia" w:cs="仿宋_GB2312"/>
          <w:szCs w:val="32"/>
          <w:u w:val="none"/>
        </w:rPr>
        <w:t>，</w:t>
      </w:r>
      <w:bookmarkStart w:id="3" w:name="OLE_LINK84"/>
      <w:bookmarkStart w:id="4" w:name="OLE_LINK83"/>
      <w:r>
        <w:rPr>
          <w:rFonts w:hint="eastAsia" w:cs="仿宋_GB2312"/>
          <w:szCs w:val="32"/>
          <w:u w:val="none"/>
        </w:rPr>
        <w:t>加装电梯70部，全面推进2000年底前建成的老旧小区</w:t>
      </w:r>
      <w:bookmarkEnd w:id="3"/>
      <w:bookmarkEnd w:id="4"/>
      <w:r>
        <w:rPr>
          <w:rFonts w:hint="eastAsia" w:cs="仿宋_GB2312"/>
          <w:szCs w:val="32"/>
          <w:u w:val="none"/>
        </w:rPr>
        <w:t>应改尽改，台湖图书城、北运河西岸等4个项目成功入选2025年北京城市更新“最佳实践”和“优秀项目”名单，成为全市城市更新实践的亮眼标杆。</w:t>
      </w:r>
    </w:p>
    <w:p w14:paraId="42DAC3A9">
      <w:pPr>
        <w:spacing w:line="600" w:lineRule="exact"/>
        <w:ind w:firstLine="643"/>
        <w:rPr>
          <w:rFonts w:hint="eastAsia"/>
          <w:spacing w:val="-6"/>
          <w:szCs w:val="32"/>
          <w:u w:val="none"/>
        </w:rPr>
      </w:pPr>
      <w:r>
        <w:rPr>
          <w:rFonts w:hint="eastAsia" w:cs="仿宋_GB2312"/>
          <w:b/>
          <w:bCs/>
          <w:szCs w:val="32"/>
          <w:u w:val="none"/>
        </w:rPr>
        <w:t>绿色发展优势持续彰显。</w:t>
      </w:r>
      <w:r>
        <w:rPr>
          <w:rFonts w:hint="eastAsia" w:cs="仿宋_GB2312"/>
          <w:szCs w:val="32"/>
          <w:u w:val="none"/>
        </w:rPr>
        <w:t>蓝绿基底不</w:t>
      </w:r>
      <w:r>
        <w:rPr>
          <w:rFonts w:hint="eastAsia" w:cs="仿宋_GB2312"/>
          <w:szCs w:val="32"/>
          <w:highlight w:val="none"/>
          <w:u w:val="none"/>
        </w:rPr>
        <w:t>断筑牢，PM2.5</w:t>
      </w:r>
      <w:r>
        <w:rPr>
          <w:rFonts w:hint="eastAsia" w:cs="仿宋_GB2312"/>
          <w:szCs w:val="32"/>
          <w:highlight w:val="none"/>
          <w:u w:val="none"/>
          <w:lang w:eastAsia="zh-CN"/>
        </w:rPr>
        <w:t>累计</w:t>
      </w:r>
      <w:r>
        <w:rPr>
          <w:rFonts w:hint="eastAsia" w:cs="仿宋_GB2312"/>
          <w:szCs w:val="32"/>
          <w:highlight w:val="none"/>
          <w:u w:val="none"/>
        </w:rPr>
        <w:t>浓度同比改善</w:t>
      </w:r>
      <w:r>
        <w:rPr>
          <w:rFonts w:hint="eastAsia" w:cs="仿宋_GB2312"/>
          <w:szCs w:val="32"/>
          <w:highlight w:val="none"/>
          <w:u w:val="none"/>
          <w:lang w:val="en-US" w:eastAsia="zh-CN"/>
        </w:rPr>
        <w:t>9.1</w:t>
      </w:r>
      <w:r>
        <w:rPr>
          <w:rFonts w:hint="eastAsia" w:cs="仿宋_GB2312"/>
          <w:szCs w:val="32"/>
          <w:highlight w:val="none"/>
          <w:u w:val="none"/>
        </w:rPr>
        <w:t>%，空气质量创历史最优，8</w:t>
      </w:r>
      <w:r>
        <w:rPr>
          <w:rFonts w:hint="eastAsia" w:cs="仿宋_GB2312"/>
          <w:szCs w:val="32"/>
          <w:u w:val="none"/>
        </w:rPr>
        <w:t>个国市控出境考核断面水质全部达标，其中1个达到Ⅱ类，</w:t>
      </w:r>
      <w:r>
        <w:rPr>
          <w:rFonts w:cs="仿宋_GB2312"/>
          <w:szCs w:val="32"/>
          <w:u w:val="none"/>
        </w:rPr>
        <w:t>通惠河水环境综合治理二期及水网工程加快推进</w:t>
      </w:r>
      <w:r>
        <w:rPr>
          <w:rFonts w:hint="eastAsia" w:cs="仿宋_GB2312"/>
          <w:szCs w:val="32"/>
          <w:u w:val="none"/>
        </w:rPr>
        <w:t>，</w:t>
      </w:r>
      <w:r>
        <w:rPr>
          <w:rFonts w:cs="仿宋_GB2312"/>
          <w:szCs w:val="32"/>
          <w:u w:val="none"/>
        </w:rPr>
        <w:t>全市首个融合地下水厂与地上景观的生态综合体—碧水污水处理厂地面景观工程正式开放，累计建成污水、再生水处理设施194座，日处理能力达55.4万吨。绿色空间品质持续提升，城市副中心首个花园城市试点项目—梨园镇颐瑞中二路花园大道精彩亮相，首个一级古槐公园（槐荫公园）顺利开园</w:t>
      </w:r>
      <w:r>
        <w:rPr>
          <w:rFonts w:hint="eastAsia" w:cs="仿宋_GB2312"/>
          <w:szCs w:val="32"/>
          <w:u w:val="none"/>
        </w:rPr>
        <w:t>，</w:t>
      </w:r>
      <w:r>
        <w:rPr>
          <w:rFonts w:hint="eastAsia" w:cs="仿宋_GB2312"/>
          <w:color w:val="000000"/>
          <w:szCs w:val="32"/>
          <w:u w:val="none"/>
        </w:rPr>
        <w:t>实施超千亩绿化造林和</w:t>
      </w:r>
      <w:r>
        <w:rPr>
          <w:rFonts w:hint="eastAsia" w:cs="仿宋_GB2312"/>
          <w:color w:val="000000"/>
          <w:szCs w:val="32"/>
          <w:u w:val="none"/>
          <w:lang w:eastAsia="zh-CN"/>
        </w:rPr>
        <w:t>超</w:t>
      </w:r>
      <w:r>
        <w:rPr>
          <w:rFonts w:hint="eastAsia" w:cs="仿宋_GB2312"/>
          <w:color w:val="000000"/>
          <w:szCs w:val="32"/>
          <w:u w:val="none"/>
        </w:rPr>
        <w:t>5.7万平方米小微绿地建设，</w:t>
      </w:r>
      <w:r>
        <w:rPr>
          <w:rFonts w:cs="仿宋_GB2312"/>
          <w:szCs w:val="32"/>
          <w:u w:val="none"/>
        </w:rPr>
        <w:t>累计建成12处社区微花园、1处校园微花园、20处村头微型公园，激活1100平方米街角空间，故城东路、潞苑东路、荟萃南路等</w:t>
      </w:r>
      <w:r>
        <w:rPr>
          <w:rFonts w:hint="eastAsia" w:cs="仿宋_GB2312"/>
          <w:szCs w:val="32"/>
          <w:u w:val="none"/>
        </w:rPr>
        <w:t>3</w:t>
      </w:r>
      <w:r>
        <w:rPr>
          <w:rFonts w:cs="仿宋_GB2312"/>
          <w:szCs w:val="32"/>
          <w:u w:val="none"/>
        </w:rPr>
        <w:t>条城市画廊加快建设，推窗见绿、出门入园的生态格局</w:t>
      </w:r>
      <w:r>
        <w:rPr>
          <w:rFonts w:hint="eastAsia" w:cs="仿宋_GB2312"/>
          <w:szCs w:val="32"/>
          <w:u w:val="none"/>
        </w:rPr>
        <w:t>进一步</w:t>
      </w:r>
      <w:r>
        <w:rPr>
          <w:rFonts w:cs="仿宋_GB2312"/>
          <w:szCs w:val="32"/>
          <w:u w:val="none"/>
        </w:rPr>
        <w:t>形成。</w:t>
      </w:r>
      <w:r>
        <w:rPr>
          <w:rFonts w:hint="eastAsia" w:cs="仿宋_GB2312"/>
          <w:color w:val="000000"/>
          <w:szCs w:val="32"/>
          <w:u w:val="none"/>
        </w:rPr>
        <w:t>生态资源活化利用提质增效，建成运潮减河、西海子等公园活化标杆项目30个，建成林下空间特色项目14处，活化林地面积6792亩。</w:t>
      </w:r>
      <w:r>
        <w:rPr>
          <w:rFonts w:hint="eastAsia" w:cs="仿宋_GB2312"/>
          <w:szCs w:val="32"/>
          <w:u w:val="none"/>
        </w:rPr>
        <w:t>发展“含绿量”不断增加，首</w:t>
      </w:r>
      <w:r>
        <w:rPr>
          <w:rFonts w:hint="eastAsia" w:cs="仿宋_GB2312"/>
          <w:color w:val="000000"/>
          <w:szCs w:val="32"/>
          <w:u w:val="none"/>
        </w:rPr>
        <w:t>个深层地热供暖示范工程—北京城市副中心站枢纽中深层地热井下换热供热项目开工建设，公共机构绿电采集量居全市第一</w:t>
      </w:r>
      <w:r>
        <w:rPr>
          <w:rFonts w:hint="eastAsia" w:cs="仿宋_GB2312"/>
          <w:szCs w:val="32"/>
          <w:u w:val="none"/>
        </w:rPr>
        <w:t>，</w:t>
      </w:r>
      <w:r>
        <w:rPr>
          <w:rFonts w:cs="仿宋_GB2312"/>
          <w:szCs w:val="32"/>
          <w:u w:val="none"/>
        </w:rPr>
        <w:t>城市副中心首座油氢电一体化加能站投产运行</w:t>
      </w:r>
      <w:r>
        <w:rPr>
          <w:rFonts w:hint="eastAsia" w:cs="仿宋_GB2312"/>
          <w:szCs w:val="32"/>
          <w:u w:val="none"/>
        </w:rPr>
        <w:t>。</w:t>
      </w:r>
      <w:r>
        <w:rPr>
          <w:rFonts w:cs="仿宋_GB2312"/>
          <w:szCs w:val="32"/>
          <w:u w:val="none"/>
        </w:rPr>
        <w:t>绿色建筑规模持续扩大，</w:t>
      </w:r>
      <w:r>
        <w:rPr>
          <w:rFonts w:hint="eastAsia" w:cs="仿宋_GB2312"/>
          <w:szCs w:val="32"/>
          <w:u w:val="none"/>
        </w:rPr>
        <w:t>新增装配式建筑245.5万平方米、</w:t>
      </w:r>
      <w:r>
        <w:rPr>
          <w:rFonts w:cs="仿宋_GB2312"/>
          <w:szCs w:val="32"/>
          <w:u w:val="none"/>
        </w:rPr>
        <w:t>超低能耗建筑47.6万平方米，人民大学通州校区获评</w:t>
      </w:r>
      <w:r>
        <w:rPr>
          <w:rFonts w:hint="eastAsia" w:cs="仿宋_GB2312"/>
          <w:szCs w:val="32"/>
          <w:u w:val="none"/>
        </w:rPr>
        <w:t>国家绿色低碳先进技术示范项目</w:t>
      </w:r>
      <w:r>
        <w:rPr>
          <w:rFonts w:cs="仿宋_GB2312"/>
          <w:szCs w:val="32"/>
          <w:u w:val="none"/>
        </w:rPr>
        <w:t>，绿建更新示范项目北光厂一期</w:t>
      </w:r>
      <w:r>
        <w:rPr>
          <w:rFonts w:hint="eastAsia" w:cs="仿宋_GB2312"/>
          <w:szCs w:val="32"/>
          <w:u w:val="none"/>
        </w:rPr>
        <w:t>完工</w:t>
      </w:r>
      <w:r>
        <w:rPr>
          <w:rFonts w:cs="仿宋_GB2312"/>
          <w:szCs w:val="32"/>
          <w:u w:val="none"/>
        </w:rPr>
        <w:t>。</w:t>
      </w:r>
      <w:r>
        <w:rPr>
          <w:rFonts w:hint="eastAsia" w:cs="仿宋_GB2312"/>
          <w:szCs w:val="32"/>
          <w:u w:val="none"/>
        </w:rPr>
        <w:t>成功举办全国生态日主场活动，副中心绿色发展论坛升级为北京绿色发展论坛，</w:t>
      </w:r>
      <w:r>
        <w:rPr>
          <w:rFonts w:cs="仿宋_GB2312"/>
          <w:szCs w:val="32"/>
          <w:u w:val="none"/>
        </w:rPr>
        <w:t>绿色品牌影响力</w:t>
      </w:r>
      <w:r>
        <w:rPr>
          <w:rFonts w:cs="仿宋_GB2312"/>
          <w:spacing w:val="-6"/>
          <w:szCs w:val="32"/>
          <w:u w:val="none"/>
        </w:rPr>
        <w:t>持续扩大。绿色低碳制度创新持续发力，生态产品价值实现、能源互联网建设试点等方案</w:t>
      </w:r>
      <w:r>
        <w:rPr>
          <w:rFonts w:hint="eastAsia" w:cs="仿宋_GB2312"/>
          <w:spacing w:val="-6"/>
          <w:szCs w:val="32"/>
          <w:u w:val="none"/>
        </w:rPr>
        <w:t>加快实施</w:t>
      </w:r>
      <w:r>
        <w:rPr>
          <w:rFonts w:cs="仿宋_GB2312"/>
          <w:spacing w:val="-6"/>
          <w:szCs w:val="32"/>
          <w:u w:val="none"/>
        </w:rPr>
        <w:t>，碳普惠发展</w:t>
      </w:r>
      <w:r>
        <w:rPr>
          <w:rFonts w:hint="eastAsia" w:cs="仿宋_GB2312"/>
          <w:spacing w:val="-6"/>
          <w:szCs w:val="32"/>
          <w:u w:val="none"/>
        </w:rPr>
        <w:t>政策</w:t>
      </w:r>
      <w:r>
        <w:rPr>
          <w:rFonts w:cs="仿宋_GB2312"/>
          <w:spacing w:val="-6"/>
          <w:szCs w:val="32"/>
          <w:u w:val="none"/>
        </w:rPr>
        <w:t>措施落地见效。</w:t>
      </w:r>
    </w:p>
    <w:p w14:paraId="574A5113">
      <w:pPr>
        <w:spacing w:line="600" w:lineRule="exact"/>
        <w:ind w:firstLine="643"/>
        <w:rPr>
          <w:rFonts w:hint="eastAsia"/>
          <w:szCs w:val="32"/>
          <w:u w:val="none"/>
        </w:rPr>
      </w:pPr>
      <w:r>
        <w:rPr>
          <w:rFonts w:hint="eastAsia" w:cs="仿宋_GB2312"/>
          <w:b/>
          <w:bCs/>
          <w:szCs w:val="32"/>
          <w:u w:val="none"/>
        </w:rPr>
        <w:t>社会治理效能持续增强。</w:t>
      </w:r>
      <w:r>
        <w:rPr>
          <w:rFonts w:hint="eastAsia" w:cs="仿宋_GB2312"/>
          <w:szCs w:val="32"/>
          <w:u w:val="none"/>
        </w:rPr>
        <w:t>基层治理基础不断夯实，“提升基层治理年”20项任务全面完成，</w:t>
      </w:r>
      <w:r>
        <w:rPr>
          <w:rFonts w:hint="eastAsia" w:cs="仿宋_GB2312"/>
          <w:color w:val="000000"/>
          <w:szCs w:val="32"/>
          <w:u w:val="none"/>
        </w:rPr>
        <w:t>制定《关于深入推进“副中心有我”社会动员工作的实施方案》，</w:t>
      </w:r>
      <w:r>
        <w:rPr>
          <w:rFonts w:hint="eastAsia" w:cs="仿宋_GB2312"/>
          <w:szCs w:val="32"/>
          <w:u w:val="none"/>
        </w:rPr>
        <w:t>建成志愿服务站和社会动员站点近700个，“副中心有我”社会动员平台实现试运行。“热线+网格”深度融合，“每月一题”取得5</w:t>
      </w:r>
      <w:r>
        <w:rPr>
          <w:rFonts w:hint="eastAsia" w:cs="仿宋_GB2312"/>
          <w:szCs w:val="32"/>
          <w:u w:val="none"/>
          <w:shd w:val="clear" w:color="auto" w:fill="FFFFFF"/>
        </w:rPr>
        <w:t>0项成果，诉求同比降量37%。</w:t>
      </w:r>
      <w:r>
        <w:rPr>
          <w:rFonts w:hint="eastAsia" w:cs="仿宋_GB2312"/>
          <w:szCs w:val="32"/>
          <w:u w:val="none"/>
        </w:rPr>
        <w:t>智慧治理赋能增效，</w:t>
      </w:r>
      <w:r>
        <w:rPr>
          <w:rFonts w:hint="eastAsia" w:cs="仿宋_GB2312"/>
          <w:color w:val="000000"/>
          <w:szCs w:val="32"/>
          <w:u w:val="none"/>
        </w:rPr>
        <w:t>社会治理大脑升级开发新功能50余个，</w:t>
      </w:r>
      <w:r>
        <w:rPr>
          <w:rFonts w:hint="eastAsia" w:cs="仿宋_GB2312"/>
          <w:szCs w:val="32"/>
          <w:u w:val="none"/>
        </w:rPr>
        <w:t>建成城市副中心“人口千问”智能体，构建“数据+AI”全场景人口动态管理体系。智慧交通（一期）基本建成，智慧水务场景上线应用。区目录链管理体系不断完善，持续推动数据汇聚共享，完成市区两级数据资源交换327个，广泛应用于交通执法、灾害预警等场景，76个数据集面向公众开放。</w:t>
      </w:r>
    </w:p>
    <w:p w14:paraId="690AFD0D">
      <w:pPr>
        <w:adjustRightInd w:val="0"/>
        <w:snapToGrid w:val="0"/>
        <w:spacing w:line="600" w:lineRule="exact"/>
        <w:ind w:firstLine="640"/>
        <w:textAlignment w:val="baseline"/>
        <w:outlineLvl w:val="1"/>
        <w:rPr>
          <w:rFonts w:hint="eastAsia" w:ascii="楷体_GB2312" w:hAnsi="楷体_GB2312" w:eastAsia="楷体_GB2312" w:cs="楷体_GB2312"/>
          <w:szCs w:val="32"/>
          <w:u w:val="none"/>
        </w:rPr>
      </w:pPr>
      <w:r>
        <w:rPr>
          <w:rFonts w:hint="eastAsia" w:ascii="楷体_GB2312" w:hAnsi="楷体_GB2312" w:eastAsia="楷体_GB2312" w:cs="楷体_GB2312"/>
          <w:szCs w:val="32"/>
          <w:u w:val="none"/>
        </w:rPr>
        <w:t>（三）发展活力实现新迸发</w:t>
      </w:r>
    </w:p>
    <w:p w14:paraId="72AF17C7">
      <w:pPr>
        <w:spacing w:line="600" w:lineRule="exact"/>
        <w:ind w:firstLine="643"/>
        <w:rPr>
          <w:rFonts w:hint="eastAsia" w:cs="仿宋_GB2312"/>
          <w:color w:val="auto"/>
          <w:szCs w:val="32"/>
          <w:u w:val="none"/>
        </w:rPr>
      </w:pPr>
      <w:r>
        <w:rPr>
          <w:rFonts w:hint="eastAsia" w:cs="仿宋_GB2312"/>
          <w:b/>
          <w:bCs/>
          <w:szCs w:val="32"/>
          <w:u w:val="none"/>
        </w:rPr>
        <w:t>文商旅体融合更加深入。</w:t>
      </w:r>
      <w:r>
        <w:rPr>
          <w:rFonts w:hint="eastAsia" w:cs="仿宋_GB2312"/>
          <w:szCs w:val="32"/>
          <w:u w:val="none"/>
        </w:rPr>
        <w:t>消费载体建设持续提速，</w:t>
      </w:r>
      <w:r>
        <w:rPr>
          <w:rFonts w:hint="eastAsia" w:cs="仿宋_GB2312"/>
          <w:szCs w:val="32"/>
          <w:u w:val="none"/>
          <w:lang w:eastAsia="zh-CN"/>
        </w:rPr>
        <w:t>“</w:t>
      </w:r>
      <w:r>
        <w:rPr>
          <w:rFonts w:hint="eastAsia" w:cs="仿宋_GB2312"/>
          <w:szCs w:val="32"/>
          <w:u w:val="none"/>
        </w:rPr>
        <w:t>湾里</w:t>
      </w:r>
      <w:r>
        <w:rPr>
          <w:rFonts w:hint="eastAsia" w:cs="仿宋_GB2312"/>
          <w:szCs w:val="32"/>
          <w:u w:val="none"/>
          <w:lang w:eastAsia="zh-CN"/>
        </w:rPr>
        <w:t>”</w:t>
      </w:r>
      <w:r>
        <w:rPr>
          <w:rFonts w:hint="eastAsia" w:cs="仿宋_GB2312"/>
          <w:szCs w:val="32"/>
          <w:u w:val="none"/>
        </w:rPr>
        <w:t>商业娱乐综合体盛大开业，山姆会员店开工建设，皇冠假日、诺岚等一批高品质酒店项目投入运营，运河西岸街区、三大文化设施滨河空间焕彩亮相，运河大集、月亮河市集等成为人气打卡地，1-11月</w:t>
      </w:r>
      <w:r>
        <w:rPr>
          <w:rFonts w:hint="eastAsia" w:cs="仿宋_GB2312"/>
          <w:color w:val="000000"/>
          <w:szCs w:val="32"/>
          <w:u w:val="none"/>
        </w:rPr>
        <w:t>社会消费品零售总额同比增长8.6%、高于全市11.7个百分点</w:t>
      </w:r>
      <w:r>
        <w:rPr>
          <w:rFonts w:hint="eastAsia" w:cs="仿宋_GB2312"/>
          <w:szCs w:val="32"/>
          <w:u w:val="none"/>
        </w:rPr>
        <w:t>。传统商圈升级改造扎实推进，领展广场转型为现代化生活方式中心，永辉超市完成“胖东来”模式优化调整，营业额与客流量实现翻倍增长。文旅活动热度持续攀升，</w:t>
      </w:r>
      <w:r>
        <w:rPr>
          <w:rFonts w:hint="eastAsia" w:cs="仿宋_GB2312"/>
          <w:color w:val="auto"/>
          <w:szCs w:val="32"/>
          <w:u w:val="none"/>
        </w:rPr>
        <w:t>全面推出“运河上的通州”文旅品牌，运河红毯、时尚大赏、“开漕了”等活动破圈出彩，</w:t>
      </w:r>
      <w:r>
        <w:rPr>
          <w:rFonts w:hint="eastAsia" w:cs="仿宋_GB2312"/>
          <w:color w:val="auto"/>
          <w:spacing w:val="-6"/>
          <w:szCs w:val="32"/>
          <w:u w:val="none"/>
        </w:rPr>
        <w:t>城市副中心帆船公开赛、运河有戏等品牌活动IP效应持续增强，城市知名度和吸引力显著提升。</w:t>
      </w:r>
    </w:p>
    <w:p w14:paraId="4F84CD5C">
      <w:pPr>
        <w:spacing w:line="600" w:lineRule="exact"/>
        <w:ind w:firstLine="643"/>
        <w:rPr>
          <w:rFonts w:hint="eastAsia" w:cs="仿宋_GB2312"/>
          <w:szCs w:val="32"/>
          <w:u w:val="none"/>
        </w:rPr>
      </w:pPr>
      <w:r>
        <w:rPr>
          <w:rFonts w:hint="eastAsia" w:cs="仿宋_GB2312"/>
          <w:b/>
          <w:bCs/>
          <w:szCs w:val="32"/>
          <w:u w:val="none"/>
        </w:rPr>
        <w:t>重点领域改革持续深化。</w:t>
      </w:r>
      <w:r>
        <w:rPr>
          <w:rFonts w:hint="eastAsia" w:cs="仿宋_GB2312"/>
          <w:szCs w:val="32"/>
          <w:u w:val="none"/>
        </w:rPr>
        <w:t>空间利用模式不断创新，探索城市空间立体开发路径，完成全市首例三维确权项目。人才发展生态持续优化，出台北京城市副中心（通州区）就业友好之城三年行动方案、“运河英才计划2.0版”，配套制定青年后备人才支持政策及住房安居保障举措，为优秀创业企业提供10万平方米创业空间，对青年人才吸引力进一步提升。国有“三资”改革深入推进，印发运作处置专项方案，灵活运用“用、售、租、融”多元方式，稳步提升处置质效。</w:t>
      </w:r>
    </w:p>
    <w:p w14:paraId="404FB7C4">
      <w:pPr>
        <w:spacing w:line="600" w:lineRule="exact"/>
        <w:ind w:firstLine="640"/>
        <w:outlineLvl w:val="1"/>
        <w:rPr>
          <w:rFonts w:hint="eastAsia"/>
          <w:szCs w:val="32"/>
          <w:u w:val="none"/>
        </w:rPr>
      </w:pPr>
      <w:r>
        <w:rPr>
          <w:rFonts w:hint="eastAsia" w:ascii="楷体_GB2312" w:hAnsi="楷体_GB2312" w:eastAsia="楷体_GB2312" w:cs="楷体_GB2312"/>
          <w:szCs w:val="32"/>
          <w:u w:val="none"/>
        </w:rPr>
        <w:t>（四）多维协同取得新进展</w:t>
      </w:r>
    </w:p>
    <w:p w14:paraId="17CD1062">
      <w:pPr>
        <w:spacing w:line="600" w:lineRule="exact"/>
        <w:ind w:firstLine="643"/>
        <w:textAlignment w:val="baseline"/>
        <w:rPr>
          <w:rFonts w:hint="eastAsia" w:cs="仿宋_GB2312"/>
          <w:szCs w:val="32"/>
          <w:u w:val="none"/>
        </w:rPr>
      </w:pPr>
      <w:r>
        <w:rPr>
          <w:rFonts w:hint="eastAsia" w:cs="仿宋_GB2312"/>
          <w:b/>
          <w:bCs/>
          <w:szCs w:val="32"/>
          <w:u w:val="none"/>
        </w:rPr>
        <w:t>京津冀协同不断深入。</w:t>
      </w:r>
      <w:r>
        <w:rPr>
          <w:rFonts w:hint="eastAsia" w:cs="仿宋_GB2312"/>
          <w:szCs w:val="32"/>
          <w:u w:val="none"/>
        </w:rPr>
        <w:t>以副辅主、主副共兴进一步强化，持续对接、错位承接央企二三级公司，新落地央企二三级总部及市属国企18家，首旅集团、北规院总部建成投用，北咨、北建院总部基本完工，第二批搬迁市属国企总部基本落位。“四区结对”机制持续深化，政府结对和自主招商引入企业超100家。与周边地区协同发展更加紧密，与北三县一体化高质量发展示范区执委会高效运转，创新建立交通运输领域部、市、区三级联动机制，京唐城际铁路全线贯通，轨道交通22号线加快建设，石小路</w:t>
      </w:r>
      <w:r>
        <w:rPr>
          <w:rFonts w:hint="eastAsia" w:cs="仿宋_GB2312"/>
          <w:szCs w:val="32"/>
          <w:u w:val="none"/>
          <w:lang w:eastAsia="zh-CN"/>
        </w:rPr>
        <w:t>建成</w:t>
      </w:r>
      <w:r>
        <w:rPr>
          <w:rFonts w:hint="eastAsia" w:cs="仿宋_GB2312"/>
          <w:szCs w:val="32"/>
          <w:u w:val="none"/>
        </w:rPr>
        <w:t>通车，建成罗庄综合检查站，白庙南、白庙北进京检查站改造完成，</w:t>
      </w:r>
      <w:r>
        <w:rPr>
          <w:rFonts w:hint="eastAsia" w:ascii="仿宋_GB2312" w:hAnsi="仿宋_GB2312" w:cs="仿宋_GB2312"/>
          <w:bCs/>
          <w:u w:val="none"/>
        </w:rPr>
        <w:t>实现空气质量、入河排口水质、执法等监测数据共享，</w:t>
      </w:r>
      <w:r>
        <w:rPr>
          <w:rFonts w:hint="eastAsia" w:cs="仿宋_GB2312"/>
          <w:szCs w:val="32"/>
          <w:u w:val="none"/>
          <w:shd w:val="clear" w:color="auto" w:fill="FFFFFF"/>
        </w:rPr>
        <w:t>通北示范区产业图谱编制完成，区妇幼保健院托管大厂妇幼保健院开诊运行，</w:t>
      </w:r>
      <w:r>
        <w:rPr>
          <w:rFonts w:hint="eastAsia" w:cs="仿宋_GB2312"/>
          <w:szCs w:val="32"/>
          <w:u w:val="none"/>
        </w:rPr>
        <w:t>京津冀三地累计2.7万余项政务服务事项纳入“区域通办”联动圈；与经开区形成“1+</w:t>
      </w:r>
      <w:r>
        <w:rPr>
          <w:rFonts w:hint="eastAsia" w:hAnsi="黑体"/>
          <w:szCs w:val="32"/>
          <w:u w:val="none"/>
        </w:rPr>
        <w:t>2+N”协同工作体系，</w:t>
      </w:r>
      <w:r>
        <w:rPr>
          <w:rFonts w:hint="eastAsia" w:cs="仿宋_GB2312"/>
          <w:szCs w:val="32"/>
          <w:u w:val="none"/>
        </w:rPr>
        <w:t>29个基础设施和公共服务项目全速推进，小米汽车二期B项目实现供地。</w:t>
      </w:r>
    </w:p>
    <w:p w14:paraId="7FDA3218">
      <w:pPr>
        <w:spacing w:line="600" w:lineRule="exact"/>
        <w:ind w:firstLine="643"/>
        <w:textAlignment w:val="baseline"/>
        <w:rPr>
          <w:rFonts w:hint="eastAsia" w:hAnsi="黑体"/>
          <w:szCs w:val="32"/>
          <w:u w:val="none"/>
        </w:rPr>
      </w:pPr>
      <w:r>
        <w:rPr>
          <w:rFonts w:hint="eastAsia" w:hAnsi="黑体"/>
          <w:b/>
          <w:bCs/>
          <w:szCs w:val="32"/>
          <w:u w:val="none"/>
        </w:rPr>
        <w:t>镇村配套进一步完善</w:t>
      </w:r>
      <w:r>
        <w:rPr>
          <w:rFonts w:hint="eastAsia" w:hAnsi="黑体"/>
          <w:szCs w:val="32"/>
          <w:u w:val="none"/>
        </w:rPr>
        <w:t>。九德路（京哈高速公路-潞西路）道路改建工程、通马路改扩建工程正式通车，编制完成《北京城市副中心拓展区县乡村公路网规划（2025—2035）》，南部乡镇44个基础设施和公共服务项目加快实施，</w:t>
      </w:r>
      <w:r>
        <w:rPr>
          <w:rFonts w:hint="eastAsia" w:cs="仿宋_GB2312"/>
          <w:color w:val="000000"/>
          <w:szCs w:val="32"/>
          <w:u w:val="none"/>
        </w:rPr>
        <w:t>完成15条乡村公路精细化提升工程，创建美丽乡村路27条，</w:t>
      </w:r>
      <w:r>
        <w:rPr>
          <w:rFonts w:hint="eastAsia" w:hAnsi="黑体"/>
          <w:szCs w:val="32"/>
          <w:u w:val="none"/>
        </w:rPr>
        <w:t>9项公路桥梁大修工程启动。</w:t>
      </w:r>
      <w:r>
        <w:rPr>
          <w:rFonts w:hint="eastAsia" w:cs="仿宋_GB2312"/>
          <w:color w:val="000000" w:themeColor="text1"/>
          <w:szCs w:val="32"/>
          <w:u w:val="none"/>
          <w14:textFill>
            <w14:solidFill>
              <w14:schemeClr w14:val="tx1"/>
            </w14:solidFill>
          </w14:textFill>
        </w:rPr>
        <w:t>64座农村污水处理厂站基本完工，累计207个村庄完成供水管线改造，</w:t>
      </w:r>
      <w:r>
        <w:rPr>
          <w:rFonts w:hint="eastAsia" w:hAnsi="黑体"/>
          <w:szCs w:val="32"/>
          <w:u w:val="none"/>
        </w:rPr>
        <w:t>新增乡村供水管线2200余公里。一户一表安装率超过75%，农村水质抽检合格率超过90%,优质供水服务覆盖新增3万人。</w:t>
      </w:r>
      <w:r>
        <w:rPr>
          <w:rFonts w:hint="eastAsia" w:cs="仿宋_GB2312"/>
          <w:szCs w:val="32"/>
          <w:u w:val="none"/>
        </w:rPr>
        <w:t>梨园220千伏输变电工程、枢纽东110千伏输变电工程、永开110千伏送电工程、创意园220千伏输变电工程竣工投产，丁各庄110千伏输变电工程开工建设。城乡生活垃圾收运一体化改革加快实施，6座转运站高效运行，张家湾、台湖、马驹桥镇三座生活垃圾转运站开工建设，实现农村地区垃圾物流调度优化和体系化运营，农村垃圾清运不及时、管理分散等难题有效解决。</w:t>
      </w:r>
      <w:r>
        <w:rPr>
          <w:rFonts w:hint="eastAsia" w:hAnsi="黑体"/>
          <w:szCs w:val="32"/>
          <w:u w:val="none"/>
        </w:rPr>
        <w:t>建成一体化村卫生室61家，一体化率达到71%。潞城镇区域养老服务中心正式投入运营。美丽乡村建设纵深推进，第三批</w:t>
      </w:r>
      <w:r>
        <w:rPr>
          <w:rFonts w:hint="eastAsia" w:cs="仿宋_GB2312"/>
          <w:szCs w:val="32"/>
          <w:u w:val="none"/>
        </w:rPr>
        <w:t>106个村全部进场，其中</w:t>
      </w:r>
      <w:r>
        <w:rPr>
          <w:rFonts w:hAnsi="黑体"/>
          <w:szCs w:val="32"/>
          <w:u w:val="none"/>
        </w:rPr>
        <w:t>36个完工</w:t>
      </w:r>
      <w:r>
        <w:rPr>
          <w:rFonts w:hint="eastAsia" w:hAnsi="黑体"/>
          <w:szCs w:val="32"/>
          <w:u w:val="none"/>
        </w:rPr>
        <w:t>，农村黑臭水体实现动态清零，乡村人居环境水平持续提升。</w:t>
      </w:r>
    </w:p>
    <w:p w14:paraId="33D3D6A1">
      <w:pPr>
        <w:spacing w:line="600" w:lineRule="exact"/>
        <w:ind w:firstLine="643"/>
        <w:textAlignment w:val="baseline"/>
        <w:rPr>
          <w:rFonts w:hint="eastAsia" w:cs="仿宋_GB2312"/>
          <w:color w:val="000000" w:themeColor="text1"/>
          <w:szCs w:val="32"/>
          <w:u w:val="none"/>
          <w14:textFill>
            <w14:solidFill>
              <w14:schemeClr w14:val="tx1"/>
            </w14:solidFill>
          </w14:textFill>
        </w:rPr>
      </w:pPr>
      <w:r>
        <w:rPr>
          <w:rFonts w:hint="eastAsia" w:cs="仿宋_GB2312"/>
          <w:b/>
          <w:bCs/>
          <w:color w:val="000000" w:themeColor="text1"/>
          <w:szCs w:val="32"/>
          <w:u w:val="none"/>
          <w14:textFill>
            <w14:solidFill>
              <w14:schemeClr w14:val="tx1"/>
            </w14:solidFill>
          </w14:textFill>
        </w:rPr>
        <w:t>乡村产业振兴步伐进一步加快</w:t>
      </w:r>
      <w:r>
        <w:rPr>
          <w:rFonts w:hint="eastAsia" w:cs="仿宋_GB2312"/>
          <w:color w:val="000000" w:themeColor="text1"/>
          <w:szCs w:val="32"/>
          <w:u w:val="none"/>
          <w14:textFill>
            <w14:solidFill>
              <w14:schemeClr w14:val="tx1"/>
            </w14:solidFill>
          </w14:textFill>
        </w:rPr>
        <w:t>。重点农业项目扎实推进，成功举办第三十二届中国北京种业大会，</w:t>
      </w:r>
      <w:r>
        <w:rPr>
          <w:rFonts w:hint="eastAsia" w:cs="仿宋_GB2312"/>
          <w:color w:val="000000"/>
          <w:szCs w:val="32"/>
          <w:u w:val="none"/>
        </w:rPr>
        <w:t>全市首家“伏羲农场”落地发展</w:t>
      </w:r>
      <w:r>
        <w:rPr>
          <w:rFonts w:hint="eastAsia" w:hAnsi="Calibri"/>
          <w:color w:val="000000" w:themeColor="text1"/>
          <w:szCs w:val="32"/>
          <w:u w:val="none"/>
          <w14:textFill>
            <w14:solidFill>
              <w14:schemeClr w14:val="tx1"/>
            </w14:solidFill>
          </w14:textFill>
        </w:rPr>
        <w:t>，</w:t>
      </w:r>
      <w:r>
        <w:rPr>
          <w:rFonts w:hint="eastAsia" w:cs="仿宋_GB2312"/>
          <w:color w:val="000000" w:themeColor="text1"/>
          <w:szCs w:val="32"/>
          <w:u w:val="none"/>
          <w14:textFill>
            <w14:solidFill>
              <w14:schemeClr w14:val="tx1"/>
            </w14:solidFill>
          </w14:textFill>
        </w:rPr>
        <w:t>杨氏集团供港蔬菜项目成功</w:t>
      </w:r>
      <w:r>
        <w:rPr>
          <w:rFonts w:hint="eastAsia" w:hAnsi="Calibri"/>
          <w:color w:val="000000" w:themeColor="text1"/>
          <w:szCs w:val="32"/>
          <w:u w:val="none"/>
          <w14:textFill>
            <w14:solidFill>
              <w14:schemeClr w14:val="tx1"/>
            </w14:solidFill>
          </w14:textFill>
        </w:rPr>
        <w:t>落户，日均供应产量6万斤</w:t>
      </w:r>
      <w:r>
        <w:rPr>
          <w:rFonts w:hint="eastAsia" w:cs="仿宋_GB2312"/>
          <w:color w:val="000000" w:themeColor="text1"/>
          <w:szCs w:val="32"/>
          <w:u w:val="none"/>
          <w14:textFill>
            <w14:solidFill>
              <w14:schemeClr w14:val="tx1"/>
            </w14:solidFill>
          </w14:textFill>
        </w:rPr>
        <w:t>，农作物育种加速器二期扩建项目完工，中国农科院国家农业微生物种质资源库、中国农科院作科所国家作物分子育种表型与基因型鉴定平台、农业水资源高效利用全国重点实验室通州智慧节水农业产业研究院等项目前期工作加快推进</w:t>
      </w:r>
      <w:r>
        <w:rPr>
          <w:rFonts w:hint="eastAsia" w:hAnsi="Calibri"/>
          <w:color w:val="000000" w:themeColor="text1"/>
          <w:szCs w:val="32"/>
          <w:u w:val="none"/>
          <w14:textFill>
            <w14:solidFill>
              <w14:schemeClr w14:val="tx1"/>
            </w14:solidFill>
          </w14:textFill>
        </w:rPr>
        <w:t>。</w:t>
      </w:r>
      <w:r>
        <w:rPr>
          <w:rFonts w:cs="仿宋_GB2312"/>
          <w:color w:val="000000" w:themeColor="text1"/>
          <w:szCs w:val="32"/>
          <w:u w:val="none"/>
          <w14:textFill>
            <w14:solidFill>
              <w14:schemeClr w14:val="tx1"/>
            </w14:solidFill>
          </w14:textFill>
        </w:rPr>
        <w:t>农文旅融合深度拓展，</w:t>
      </w:r>
      <w:r>
        <w:rPr>
          <w:rFonts w:hint="eastAsia" w:cs="仿宋_GB2312"/>
          <w:color w:val="000000" w:themeColor="text1"/>
          <w:szCs w:val="32"/>
          <w:u w:val="none"/>
          <w14:textFill>
            <w14:solidFill>
              <w14:schemeClr w14:val="tx1"/>
            </w14:solidFill>
          </w14:textFill>
        </w:rPr>
        <w:t>申报全市休闲农业星级园区9个</w:t>
      </w:r>
      <w:r>
        <w:rPr>
          <w:rFonts w:hint="eastAsia" w:cs="仿宋_GB2312"/>
          <w:color w:val="000000" w:themeColor="text1"/>
          <w:szCs w:val="32"/>
          <w:u w:val="none"/>
          <w:shd w:val="clear" w:color="auto" w:fill="FFFFFF"/>
          <w:lang w:eastAsia="zh-CN"/>
          <w14:textFill>
            <w14:solidFill>
              <w14:schemeClr w14:val="tx1"/>
            </w14:solidFill>
          </w14:textFill>
        </w:rPr>
        <w:t>，</w:t>
      </w:r>
      <w:r>
        <w:rPr>
          <w:rFonts w:hint="eastAsia" w:cs="仿宋_GB2312"/>
          <w:bCs/>
          <w:color w:val="000000"/>
          <w:kern w:val="0"/>
          <w:szCs w:val="32"/>
          <w:u w:val="none"/>
          <w:lang w:bidi="ar"/>
        </w:rPr>
        <w:t>组织开展“乡村旅游生活季”系列活动，持续</w:t>
      </w:r>
      <w:r>
        <w:rPr>
          <w:rFonts w:hint="eastAsia" w:cs="仿宋_GB2312"/>
          <w:color w:val="000000" w:themeColor="text1"/>
          <w:szCs w:val="32"/>
          <w:u w:val="none"/>
          <w14:textFill>
            <w14:solidFill>
              <w14:schemeClr w14:val="tx1"/>
            </w14:solidFill>
          </w14:textFill>
        </w:rPr>
        <w:t>打造“运河小院”民宿品牌，</w:t>
      </w:r>
      <w:r>
        <w:rPr>
          <w:rFonts w:hint="eastAsia"/>
          <w:szCs w:val="32"/>
          <w:u w:val="none"/>
        </w:rPr>
        <w:t>乡村休闲旅游人数同比增长超50%。</w:t>
      </w:r>
      <w:r>
        <w:rPr>
          <w:rFonts w:hint="eastAsia" w:cs="仿宋_GB2312"/>
          <w:szCs w:val="32"/>
          <w:u w:val="none"/>
        </w:rPr>
        <w:t>“百千工程”建设取得新成效，</w:t>
      </w:r>
      <w:r>
        <w:rPr>
          <w:rFonts w:hint="eastAsia" w:cs="仿宋_GB2312"/>
          <w:bCs/>
          <w:szCs w:val="32"/>
          <w:u w:val="none"/>
        </w:rPr>
        <w:t>台湖“环影宿游”示范片区全面建成，接待游客超20万人次、营收超7500万元</w:t>
      </w:r>
      <w:r>
        <w:rPr>
          <w:rFonts w:hint="eastAsia" w:cs="仿宋_GB2312"/>
          <w:color w:val="000000" w:themeColor="text1"/>
          <w:szCs w:val="32"/>
          <w:u w:val="none"/>
          <w:shd w:val="clear" w:color="auto" w:fill="FFFFFF"/>
          <w14:textFill>
            <w14:solidFill>
              <w14:schemeClr w14:val="tx1"/>
            </w14:solidFill>
          </w14:textFill>
        </w:rPr>
        <w:t>，</w:t>
      </w:r>
      <w:r>
        <w:rPr>
          <w:rFonts w:hint="eastAsia" w:cs="仿宋_GB2312"/>
          <w:bCs/>
          <w:szCs w:val="32"/>
          <w:u w:val="none"/>
        </w:rPr>
        <w:t>西集“樱游运河”示范片区一期工程主体全面完工</w:t>
      </w:r>
      <w:r>
        <w:rPr>
          <w:rFonts w:hint="eastAsia" w:cs="仿宋_GB2312"/>
          <w:szCs w:val="32"/>
          <w:u w:val="none"/>
        </w:rPr>
        <w:t>。</w:t>
      </w:r>
      <w:r>
        <w:rPr>
          <w:rFonts w:hint="eastAsia" w:cs="仿宋_GB2312"/>
          <w:color w:val="000000" w:themeColor="text1"/>
          <w:szCs w:val="32"/>
          <w:u w:val="none"/>
          <w14:textFill>
            <w14:solidFill>
              <w14:schemeClr w14:val="tx1"/>
            </w14:solidFill>
          </w14:textFill>
        </w:rPr>
        <w:t>农村居民收入保持稳定增长态势，</w:t>
      </w:r>
      <w:r>
        <w:rPr>
          <w:rFonts w:hint="eastAsia" w:cs="仿宋_GB2312"/>
          <w:color w:val="000000" w:themeColor="text1"/>
          <w:szCs w:val="32"/>
          <w:u w:val="none"/>
          <w:lang w:val="en-US" w:eastAsia="zh-CN"/>
          <w14:textFill>
            <w14:solidFill>
              <w14:schemeClr w14:val="tx1"/>
            </w14:solidFill>
          </w14:textFill>
        </w:rPr>
        <w:t>前三季度，农村</w:t>
      </w:r>
      <w:r>
        <w:rPr>
          <w:rFonts w:hint="eastAsia" w:cs="仿宋_GB2312"/>
          <w:color w:val="000000" w:themeColor="text1"/>
          <w:szCs w:val="32"/>
          <w:u w:val="none"/>
          <w14:textFill>
            <w14:solidFill>
              <w14:schemeClr w14:val="tx1"/>
            </w14:solidFill>
          </w14:textFill>
        </w:rPr>
        <w:t>居民人均可支配收入同比增长6%、全市排名第三。</w:t>
      </w:r>
    </w:p>
    <w:p w14:paraId="09AE7EBA">
      <w:pPr>
        <w:spacing w:line="600" w:lineRule="exact"/>
        <w:ind w:firstLine="640"/>
        <w:textAlignment w:val="baseline"/>
        <w:outlineLvl w:val="1"/>
        <w:rPr>
          <w:rFonts w:hint="eastAsia" w:ascii="楷体_GB2312" w:hAnsi="楷体_GB2312" w:eastAsia="楷体_GB2312" w:cs="楷体_GB2312"/>
          <w:szCs w:val="32"/>
          <w:u w:val="none"/>
        </w:rPr>
      </w:pPr>
      <w:r>
        <w:rPr>
          <w:rFonts w:hint="eastAsia" w:ascii="楷体_GB2312" w:hAnsi="楷体_GB2312" w:eastAsia="楷体_GB2312" w:cs="楷体_GB2312"/>
          <w:szCs w:val="32"/>
          <w:u w:val="none"/>
        </w:rPr>
        <w:t>（五）民生改善交出新答卷</w:t>
      </w:r>
    </w:p>
    <w:p w14:paraId="4A43CB7E">
      <w:pPr>
        <w:spacing w:line="600" w:lineRule="exact"/>
        <w:ind w:firstLine="643"/>
        <w:rPr>
          <w:rFonts w:hint="eastAsia" w:cs="仿宋_GB2312"/>
          <w:szCs w:val="32"/>
          <w:u w:val="none"/>
        </w:rPr>
      </w:pPr>
      <w:r>
        <w:rPr>
          <w:rFonts w:hint="eastAsia" w:cs="仿宋_GB2312"/>
          <w:b/>
          <w:bCs/>
          <w:szCs w:val="32"/>
          <w:u w:val="none"/>
        </w:rPr>
        <w:t>公共服务更加优质。</w:t>
      </w:r>
      <w:r>
        <w:rPr>
          <w:rFonts w:hint="eastAsia" w:cs="仿宋_GB2312"/>
          <w:szCs w:val="32"/>
          <w:u w:val="none"/>
        </w:rPr>
        <w:t>教育资源扩容提质，新开5个公办幼儿园，玉桥小学、文旅区幼儿园完工，文旅区中小学、北京第一实验中学开工建设，扩充学位8500余个，</w:t>
      </w:r>
      <w:r>
        <w:rPr>
          <w:rFonts w:hint="eastAsia" w:cs="仿宋_GB2312"/>
          <w:color w:val="000000"/>
          <w:szCs w:val="32"/>
          <w:u w:val="none"/>
        </w:rPr>
        <w:t>区综合托育服务中心挂牌成立，</w:t>
      </w:r>
      <w:r>
        <w:rPr>
          <w:rFonts w:hint="eastAsia" w:cs="仿宋_GB2312"/>
          <w:szCs w:val="32"/>
          <w:u w:val="none"/>
        </w:rPr>
        <w:t>累计新增普惠托位1380个，提前超额完成市级任务，全区托位总数超4200个，普惠率达66%，累计形成22个区内教育集团，建成智慧教室615间。</w:t>
      </w:r>
      <w:r>
        <w:rPr>
          <w:rFonts w:cs="仿宋_GB2312"/>
          <w:szCs w:val="32"/>
          <w:u w:val="none"/>
        </w:rPr>
        <w:t>医疗卫生服务</w:t>
      </w:r>
      <w:r>
        <w:rPr>
          <w:rFonts w:hint="eastAsia" w:cs="仿宋_GB2312"/>
          <w:szCs w:val="32"/>
          <w:u w:val="none"/>
        </w:rPr>
        <w:t>能力持续提升，</w:t>
      </w:r>
      <w:r>
        <w:rPr>
          <w:rFonts w:hint="eastAsia"/>
          <w:szCs w:val="32"/>
          <w:u w:val="none"/>
        </w:rPr>
        <w:t>北京胸科医院医疗综合楼正式开诊，</w:t>
      </w:r>
      <w:r>
        <w:rPr>
          <w:rFonts w:hint="eastAsia" w:cs="仿宋_GB2312"/>
          <w:szCs w:val="32"/>
          <w:u w:val="none"/>
          <w:shd w:val="clear" w:color="auto" w:fill="FFFFFF"/>
        </w:rPr>
        <w:t>市疾控中心迁建项目完工，</w:t>
      </w:r>
      <w:r>
        <w:rPr>
          <w:rFonts w:hint="eastAsia" w:cs="仿宋_GB2312"/>
          <w:szCs w:val="32"/>
          <w:u w:val="none"/>
        </w:rPr>
        <w:t>安贞医院通州院区急救站正式运行，院前急救平均反应时间优于全市平均水平，三级联动儿科诊疗服务体系正式建立，</w:t>
      </w:r>
      <w:r>
        <w:rPr>
          <w:rFonts w:hint="eastAsia" w:cs="仿宋_GB2312"/>
          <w:szCs w:val="32"/>
          <w:u w:val="none"/>
          <w:shd w:val="clear" w:color="auto" w:fill="FFFFFF"/>
        </w:rPr>
        <w:t>家庭医生常住人口签约率达47.8%</w:t>
      </w:r>
      <w:r>
        <w:rPr>
          <w:rFonts w:hint="eastAsia" w:cs="仿宋_GB2312"/>
          <w:szCs w:val="32"/>
          <w:u w:val="none"/>
        </w:rPr>
        <w:t>。养老服务体系建设扎实推进，新建养老助餐点10家，</w:t>
      </w:r>
      <w:r>
        <w:rPr>
          <w:rFonts w:hint="eastAsia"/>
          <w:szCs w:val="32"/>
          <w:u w:val="none"/>
        </w:rPr>
        <w:t>新增家庭养老照护床位3000张</w:t>
      </w:r>
      <w:r>
        <w:rPr>
          <w:rFonts w:hint="eastAsia" w:cs="仿宋_GB2312"/>
          <w:color w:val="000000"/>
          <w:szCs w:val="32"/>
          <w:u w:val="none"/>
        </w:rPr>
        <w:t>，</w:t>
      </w:r>
      <w:r>
        <w:rPr>
          <w:rFonts w:hint="eastAsia"/>
          <w:szCs w:val="32"/>
          <w:u w:val="none"/>
        </w:rPr>
        <w:t>养老机构床位使用率超50%，全市首创医保代开药白名单制度，破解失能老人用药难题</w:t>
      </w:r>
      <w:r>
        <w:rPr>
          <w:rFonts w:hint="eastAsia" w:cs="仿宋_GB2312"/>
          <w:szCs w:val="32"/>
          <w:u w:val="none"/>
        </w:rPr>
        <w:t>。</w:t>
      </w:r>
      <w:r>
        <w:rPr>
          <w:rFonts w:hint="eastAsia" w:hAnsi="宋体" w:cs="仿宋_GB2312"/>
          <w:szCs w:val="32"/>
          <w:u w:val="none"/>
        </w:rPr>
        <w:t>文体设施和活动进一步丰富，区档案馆竣工验收，区体育场正式投用，</w:t>
      </w:r>
      <w:r>
        <w:rPr>
          <w:rFonts w:hint="eastAsia" w:cs="仿宋_GB2312"/>
          <w:szCs w:val="32"/>
          <w:u w:val="none"/>
        </w:rPr>
        <w:t>新建4处24小时智能文化空间和5处图书馆分馆，实</w:t>
      </w:r>
      <w:r>
        <w:rPr>
          <w:rFonts w:hint="eastAsia" w:cs="仿宋_GB2312"/>
          <w:color w:val="000000"/>
          <w:szCs w:val="32"/>
          <w:u w:val="none"/>
        </w:rPr>
        <w:t>体书店170家，“城市书香”韵味更浓，</w:t>
      </w:r>
      <w:r>
        <w:rPr>
          <w:rFonts w:hint="eastAsia" w:cs="仿宋_GB2312"/>
          <w:szCs w:val="32"/>
          <w:u w:val="none"/>
        </w:rPr>
        <w:t>2025年中国文化馆年会</w:t>
      </w:r>
      <w:r>
        <w:rPr>
          <w:rFonts w:hint="eastAsia"/>
          <w:szCs w:val="32"/>
          <w:u w:val="none"/>
        </w:rPr>
        <w:t>、北京国际非遗周</w:t>
      </w:r>
      <w:r>
        <w:rPr>
          <w:rFonts w:hint="eastAsia" w:cs="仿宋_GB2312"/>
          <w:szCs w:val="32"/>
          <w:u w:val="none"/>
        </w:rPr>
        <w:t>等重点活动高质量举办。便民服务设施持续扩容，</w:t>
      </w:r>
      <w:r>
        <w:rPr>
          <w:rFonts w:hint="eastAsia" w:cs="仿宋_GB2312"/>
          <w:color w:val="000000"/>
          <w:szCs w:val="32"/>
          <w:u w:val="none"/>
        </w:rPr>
        <w:t>北泡轻钢、怡乐园二区家园中心建设完成</w:t>
      </w:r>
      <w:r>
        <w:rPr>
          <w:rFonts w:hint="eastAsia" w:cs="仿宋_GB2312"/>
          <w:szCs w:val="32"/>
          <w:u w:val="none"/>
        </w:rPr>
        <w:t>，新建17个一刻钟便民生活圈，完成2000个充电桩建设，持续推广电动汽车“移动充电机器人”试点模式，基本建成城区3公里充电服务圈。</w:t>
      </w:r>
    </w:p>
    <w:p w14:paraId="45C22F15">
      <w:pPr>
        <w:spacing w:line="600" w:lineRule="exact"/>
        <w:ind w:firstLine="643"/>
        <w:textAlignment w:val="baseline"/>
        <w:rPr>
          <w:rFonts w:hint="eastAsia"/>
          <w:szCs w:val="32"/>
          <w:u w:val="none"/>
        </w:rPr>
      </w:pPr>
      <w:r>
        <w:rPr>
          <w:rFonts w:hint="eastAsia" w:cs="仿宋_GB2312"/>
          <w:b/>
          <w:bCs/>
          <w:szCs w:val="32"/>
          <w:u w:val="none"/>
        </w:rPr>
        <w:t>民生保障更加有力。</w:t>
      </w:r>
      <w:r>
        <w:rPr>
          <w:rFonts w:hint="eastAsia" w:cs="仿宋_GB2312"/>
          <w:szCs w:val="32"/>
          <w:u w:val="none"/>
        </w:rPr>
        <w:t>就业优先政策全面落实，制定零工市场(驿站)规范化建设实施意见和支持奖励实施方案，采集空岗信息5万余个，多元化开展“1131”高校毕业生、就业困难人员、农村劳动力等重点群体就业帮扶，</w:t>
      </w:r>
      <w:r>
        <w:rPr>
          <w:rFonts w:hint="eastAsia" w:cs="仿宋_GB2312"/>
          <w:szCs w:val="32"/>
          <w:u w:val="none"/>
          <w:lang w:val="zh-CN"/>
        </w:rPr>
        <w:t>促进各类城乡劳动力就业</w:t>
      </w:r>
      <w:r>
        <w:rPr>
          <w:rFonts w:hint="eastAsia" w:cs="仿宋_GB2312"/>
          <w:szCs w:val="32"/>
          <w:u w:val="none"/>
        </w:rPr>
        <w:t>2.2万</w:t>
      </w:r>
      <w:r>
        <w:rPr>
          <w:rFonts w:hint="eastAsia" w:cs="仿宋_GB2312"/>
          <w:szCs w:val="32"/>
          <w:u w:val="none"/>
          <w:lang w:val="zh-CN"/>
        </w:rPr>
        <w:t>人</w:t>
      </w:r>
      <w:r>
        <w:rPr>
          <w:rFonts w:hint="eastAsia" w:cs="仿宋_GB2312"/>
          <w:color w:val="000000"/>
          <w:szCs w:val="32"/>
          <w:u w:val="none"/>
        </w:rPr>
        <w:t>。</w:t>
      </w:r>
      <w:r>
        <w:rPr>
          <w:rFonts w:hint="eastAsia"/>
          <w:szCs w:val="32"/>
          <w:u w:val="none"/>
        </w:rPr>
        <w:t>社会保障和社会救助水平不断提高，</w:t>
      </w:r>
      <w:r>
        <w:rPr>
          <w:rFonts w:hint="eastAsia" w:cs="仿宋_GB2312"/>
          <w:szCs w:val="32"/>
          <w:u w:val="none"/>
        </w:rPr>
        <w:t>参保单位超8万家，实现6类55项社保业务在银行网点“同标准、无差别”受理，</w:t>
      </w:r>
      <w:r>
        <w:rPr>
          <w:rFonts w:hint="eastAsia"/>
          <w:szCs w:val="32"/>
          <w:u w:val="none"/>
        </w:rPr>
        <w:t>及时足额发放</w:t>
      </w:r>
      <w:r>
        <w:rPr>
          <w:rFonts w:hint="eastAsia" w:cs="仿宋_GB2312"/>
          <w:szCs w:val="32"/>
          <w:u w:val="none"/>
        </w:rPr>
        <w:t>城乡低保金、低收入家庭救助金等各类社会救助资金7065.53万元。住房保障力度持续加大，筹集各类保障房1.4万余套，公租房轮候家庭房源可供率、重点人群保障率均位列全市首位。“疏整促”工作全面推进，完成拆违205万平方米、腾退土地130公顷，完成55条</w:t>
      </w:r>
      <w:r>
        <w:rPr>
          <w:rFonts w:cs="仿宋_GB2312"/>
          <w:szCs w:val="32"/>
          <w:u w:val="none"/>
        </w:rPr>
        <w:t>背街小巷</w:t>
      </w:r>
      <w:r>
        <w:rPr>
          <w:rFonts w:hint="eastAsia" w:cs="仿宋_GB2312"/>
          <w:szCs w:val="32"/>
          <w:u w:val="none"/>
        </w:rPr>
        <w:t>精细化整治，打造精品街巷4条、优美街巷35条，12条道路架空线实现入地，190项小微项目惠民生工程有力</w:t>
      </w:r>
      <w:r>
        <w:rPr>
          <w:rFonts w:hint="eastAsia"/>
          <w:szCs w:val="32"/>
          <w:u w:val="none"/>
        </w:rPr>
        <w:t>实施</w:t>
      </w:r>
      <w:r>
        <w:rPr>
          <w:rFonts w:hint="eastAsia" w:cs="仿宋_GB2312"/>
          <w:szCs w:val="32"/>
          <w:u w:val="none"/>
        </w:rPr>
        <w:t>，</w:t>
      </w:r>
      <w:r>
        <w:rPr>
          <w:rFonts w:hint="eastAsia"/>
          <w:szCs w:val="32"/>
          <w:u w:val="none"/>
        </w:rPr>
        <w:t>一批群众反映强烈的问题有效解决。</w:t>
      </w:r>
    </w:p>
    <w:p w14:paraId="1BB67770">
      <w:pPr>
        <w:spacing w:line="600" w:lineRule="exact"/>
        <w:ind w:firstLine="643"/>
        <w:textAlignment w:val="baseline"/>
        <w:rPr>
          <w:rFonts w:hint="eastAsia" w:cs="仿宋_GB2312"/>
          <w:color w:val="000000"/>
          <w:szCs w:val="32"/>
          <w:u w:val="none"/>
        </w:rPr>
      </w:pPr>
      <w:r>
        <w:rPr>
          <w:rFonts w:hint="eastAsia" w:cs="仿宋_GB2312"/>
          <w:b/>
          <w:bCs/>
          <w:szCs w:val="32"/>
          <w:u w:val="none"/>
        </w:rPr>
        <w:t>安全防线更加牢固。</w:t>
      </w:r>
      <w:r>
        <w:rPr>
          <w:rFonts w:hint="eastAsia" w:cs="仿宋_GB2312"/>
          <w:szCs w:val="32"/>
          <w:u w:val="none"/>
        </w:rPr>
        <w:t>动真碰硬推进重大事故隐患动态清零，排查治理重大事故隐患超3500个，重大事故隐患发现率和排查治理数量均居全市前列；持续开展电、气、热、地下管线等重点领域</w:t>
      </w:r>
      <w:r>
        <w:rPr>
          <w:rFonts w:hint="eastAsia" w:cs="仿宋_GB2312"/>
          <w:snapToGrid w:val="0"/>
          <w:kern w:val="0"/>
          <w:szCs w:val="32"/>
          <w:u w:val="none"/>
        </w:rPr>
        <w:t>排查整治，</w:t>
      </w:r>
      <w:r>
        <w:rPr>
          <w:rFonts w:hint="eastAsia" w:cs="仿宋_GB2312"/>
          <w:color w:val="000000" w:themeColor="text1"/>
          <w:szCs w:val="32"/>
          <w:u w:val="none"/>
          <w14:textFill>
            <w14:solidFill>
              <w14:schemeClr w14:val="tx1"/>
            </w14:solidFill>
          </w14:textFill>
        </w:rPr>
        <w:t>常态化开展</w:t>
      </w:r>
      <w:r>
        <w:rPr>
          <w:rFonts w:hint="eastAsia" w:cs="仿宋_GB2312"/>
          <w:szCs w:val="32"/>
          <w:u w:val="none"/>
        </w:rPr>
        <w:t>危险化学品“打非治违”专项行动，</w:t>
      </w:r>
      <w:r>
        <w:rPr>
          <w:rFonts w:hint="eastAsia" w:cs="仿宋_GB2312"/>
          <w:color w:val="000000" w:themeColor="text1"/>
          <w:szCs w:val="32"/>
          <w:u w:val="none"/>
          <w14:textFill>
            <w14:solidFill>
              <w14:schemeClr w14:val="tx1"/>
            </w14:solidFill>
          </w14:textFill>
        </w:rPr>
        <w:t>成功化解“7.31”潮白河漂移采砂船等重大险情任务处置，全区火灾总量同比下降6.14%。精准发力破解民生领域安全痛点，扎实推进电动自行车安全管理，扩充电动自行车充电接口至16.8万个，接口与车辆配比达1:1.33，超额完成市级建设要求；应急救灾物资储备管理扎实开展，持续强化民生商品价格监管，居民“菜篮子”“粮袋子”供应安全稳定。</w:t>
      </w:r>
      <w:r>
        <w:rPr>
          <w:rFonts w:hint="eastAsia" w:cs="仿宋_GB2312"/>
          <w:szCs w:val="32"/>
          <w:u w:val="none"/>
        </w:rPr>
        <w:t>应急治理能力不断提升，完成全国应急避难场所辅助调度系统更新升级，常态化开展灾害风险形势会商、物资储备管理清查、自然灾害综合风险普查数据更新等专题培训，</w:t>
      </w:r>
      <w:r>
        <w:rPr>
          <w:rFonts w:hint="eastAsia" w:cs="仿宋_GB2312"/>
          <w:color w:val="000000"/>
          <w:szCs w:val="32"/>
          <w:u w:val="none"/>
        </w:rPr>
        <w:t>社会面防控全面强化，各类矛盾风险妥善化解，社会发展环境总体安全稳定。</w:t>
      </w:r>
    </w:p>
    <w:p w14:paraId="0228A500">
      <w:pPr>
        <w:adjustRightInd w:val="0"/>
        <w:snapToGrid w:val="0"/>
        <w:spacing w:line="600" w:lineRule="exact"/>
        <w:ind w:firstLine="640"/>
        <w:textAlignment w:val="baseline"/>
        <w:rPr>
          <w:rFonts w:hint="eastAsia"/>
          <w:szCs w:val="32"/>
          <w:u w:val="none"/>
        </w:rPr>
      </w:pPr>
      <w:r>
        <w:rPr>
          <w:rFonts w:hint="eastAsia"/>
          <w:szCs w:val="32"/>
          <w:u w:val="none"/>
        </w:rPr>
        <w:t>同时，妇女、助残、档案、宗教、侨务、双拥等各项事业取得积极进展。</w:t>
      </w:r>
    </w:p>
    <w:p w14:paraId="03324478">
      <w:pPr>
        <w:spacing w:line="600" w:lineRule="exact"/>
        <w:ind w:firstLine="640"/>
        <w:rPr>
          <w:rFonts w:hint="eastAsia"/>
          <w:szCs w:val="32"/>
          <w:u w:val="none"/>
        </w:rPr>
      </w:pPr>
      <w:r>
        <w:rPr>
          <w:rFonts w:hint="eastAsia"/>
          <w:szCs w:val="32"/>
          <w:u w:val="none"/>
        </w:rPr>
        <w:t>过去一年，通州区坚决落实中央和市委、市政府决策部署，各项政策执行有力有效，经济社会运行稳中有进、稳中向好。同时，</w:t>
      </w:r>
      <w:r>
        <w:rPr>
          <w:rFonts w:hint="eastAsia" w:cs="仿宋_GB2312"/>
          <w:szCs w:val="32"/>
          <w:u w:val="none"/>
        </w:rPr>
        <w:t>也要客观清醒认识到</w:t>
      </w:r>
      <w:r>
        <w:rPr>
          <w:rFonts w:hint="eastAsia"/>
          <w:szCs w:val="32"/>
          <w:u w:val="none"/>
        </w:rPr>
        <w:t>，我区经济社会发展中还存在不少短板弱项，需要重点关注以下问题：</w:t>
      </w:r>
      <w:r>
        <w:rPr>
          <w:rFonts w:hint="eastAsia"/>
          <w:b/>
          <w:bCs/>
          <w:szCs w:val="32"/>
          <w:u w:val="none"/>
        </w:rPr>
        <w:t>一是</w:t>
      </w:r>
      <w:r>
        <w:rPr>
          <w:rFonts w:hint="eastAsia"/>
          <w:szCs w:val="32"/>
          <w:u w:val="none"/>
        </w:rPr>
        <w:t>新质生产力支撑尚显薄弱。</w:t>
      </w:r>
      <w:r>
        <w:rPr>
          <w:rFonts w:hint="eastAsia" w:cs="仿宋_GB2312"/>
          <w:szCs w:val="32"/>
          <w:u w:val="none"/>
        </w:rPr>
        <w:t>科技服务、信息服务等新兴产业规模占比偏低，对经济增长的带动作用有限，高校、医院等创新资源与本地产业融合不足，未能充分释放协同效应，科技创新策源能力与成果本地转化效能有待进一步提升。</w:t>
      </w:r>
      <w:r>
        <w:rPr>
          <w:rFonts w:hint="eastAsia"/>
          <w:b/>
          <w:bCs/>
          <w:szCs w:val="32"/>
          <w:u w:val="none"/>
        </w:rPr>
        <w:t>二是</w:t>
      </w:r>
      <w:r>
        <w:rPr>
          <w:rFonts w:hint="eastAsia"/>
          <w:szCs w:val="32"/>
          <w:u w:val="none"/>
        </w:rPr>
        <w:t>发展活力支撑仍有</w:t>
      </w:r>
      <w:r>
        <w:rPr>
          <w:szCs w:val="32"/>
          <w:u w:val="none"/>
        </w:rPr>
        <w:t>不足</w:t>
      </w:r>
      <w:r>
        <w:rPr>
          <w:rFonts w:hint="eastAsia"/>
          <w:szCs w:val="32"/>
          <w:u w:val="none"/>
        </w:rPr>
        <w:t>。投资消费</w:t>
      </w:r>
      <w:r>
        <w:rPr>
          <w:szCs w:val="32"/>
          <w:u w:val="none"/>
        </w:rPr>
        <w:t>延续现有增长态势面临</w:t>
      </w:r>
      <w:r>
        <w:rPr>
          <w:rFonts w:hint="eastAsia"/>
          <w:szCs w:val="32"/>
          <w:u w:val="none"/>
        </w:rPr>
        <w:t>一定</w:t>
      </w:r>
      <w:r>
        <w:rPr>
          <w:szCs w:val="32"/>
          <w:u w:val="none"/>
        </w:rPr>
        <w:t>压力</w:t>
      </w:r>
      <w:r>
        <w:rPr>
          <w:rFonts w:hint="eastAsia"/>
          <w:szCs w:val="32"/>
          <w:u w:val="none"/>
        </w:rPr>
        <w:t>，适应新消费趋势的沉浸式、体验式等新场景供给不够丰富，特色商业载体、夜间经济等领域的业态创新和品质提升有待加强，对消费群体的吸引力和消费潜力的释放效能尚未充分激发，</w:t>
      </w:r>
      <w:r>
        <w:rPr>
          <w:szCs w:val="32"/>
          <w:u w:val="none"/>
        </w:rPr>
        <w:t>扩大有效投资的项目储备和落地效能有待提升。</w:t>
      </w:r>
      <w:r>
        <w:rPr>
          <w:rFonts w:hint="eastAsia"/>
          <w:b/>
          <w:bCs/>
          <w:szCs w:val="32"/>
          <w:u w:val="none"/>
        </w:rPr>
        <w:t>三是</w:t>
      </w:r>
      <w:r>
        <w:rPr>
          <w:szCs w:val="32"/>
          <w:u w:val="none"/>
        </w:rPr>
        <w:t>城市治理仍存短板弱项</w:t>
      </w:r>
      <w:r>
        <w:rPr>
          <w:rFonts w:hint="eastAsia"/>
          <w:szCs w:val="32"/>
          <w:u w:val="none"/>
        </w:rPr>
        <w:t>。</w:t>
      </w:r>
      <w:r>
        <w:rPr>
          <w:szCs w:val="32"/>
          <w:u w:val="none"/>
        </w:rPr>
        <w:t>城市管理精细化、智慧化水平仍需提升，交通拥堵、环境治理等问题尚未根治，架空线入地等精细化整治任务仍需发力</w:t>
      </w:r>
      <w:r>
        <w:rPr>
          <w:rFonts w:hint="eastAsia"/>
          <w:szCs w:val="32"/>
          <w:u w:val="none"/>
        </w:rPr>
        <w:t>，</w:t>
      </w:r>
      <w:r>
        <w:rPr>
          <w:szCs w:val="32"/>
          <w:u w:val="none"/>
        </w:rPr>
        <w:t>韧性安全城市建设</w:t>
      </w:r>
      <w:r>
        <w:rPr>
          <w:rFonts w:hint="eastAsia"/>
          <w:szCs w:val="32"/>
          <w:u w:val="none"/>
        </w:rPr>
        <w:t>还需进一步做深做实。</w:t>
      </w:r>
      <w:r>
        <w:rPr>
          <w:rFonts w:hint="eastAsia"/>
          <w:b/>
          <w:bCs/>
          <w:szCs w:val="32"/>
          <w:u w:val="none"/>
        </w:rPr>
        <w:t>四是</w:t>
      </w:r>
      <w:r>
        <w:rPr>
          <w:szCs w:val="32"/>
          <w:u w:val="none"/>
        </w:rPr>
        <w:t>民生保障</w:t>
      </w:r>
      <w:r>
        <w:rPr>
          <w:rFonts w:hint="eastAsia"/>
          <w:szCs w:val="32"/>
          <w:u w:val="none"/>
        </w:rPr>
        <w:t>水平</w:t>
      </w:r>
      <w:r>
        <w:rPr>
          <w:szCs w:val="32"/>
          <w:u w:val="none"/>
        </w:rPr>
        <w:t>有待提高</w:t>
      </w:r>
      <w:r>
        <w:rPr>
          <w:rFonts w:hint="eastAsia"/>
          <w:szCs w:val="32"/>
          <w:u w:val="none"/>
        </w:rPr>
        <w:t>。</w:t>
      </w:r>
      <w:r>
        <w:rPr>
          <w:szCs w:val="32"/>
          <w:u w:val="none"/>
        </w:rPr>
        <w:t>优质公共服务资源配置不够均衡</w:t>
      </w:r>
      <w:r>
        <w:rPr>
          <w:rFonts w:hint="eastAsia"/>
          <w:szCs w:val="32"/>
          <w:u w:val="none"/>
        </w:rPr>
        <w:t>，</w:t>
      </w:r>
      <w:r>
        <w:rPr>
          <w:szCs w:val="32"/>
          <w:u w:val="none"/>
        </w:rPr>
        <w:t>“接诉即办”中反映的物业管理、就业增收、教育医疗等民生问题依然突出。</w:t>
      </w:r>
    </w:p>
    <w:p w14:paraId="5F16C0EA">
      <w:pPr>
        <w:adjustRightInd w:val="0"/>
        <w:snapToGrid w:val="0"/>
        <w:spacing w:line="600" w:lineRule="exact"/>
        <w:ind w:firstLine="640"/>
        <w:textAlignment w:val="baseline"/>
        <w:outlineLvl w:val="0"/>
        <w:rPr>
          <w:rFonts w:hint="eastAsia" w:ascii="黑体" w:hAnsi="黑体" w:eastAsia="黑体"/>
          <w:color w:val="000000"/>
          <w:szCs w:val="32"/>
          <w:u w:val="none"/>
        </w:rPr>
      </w:pPr>
      <w:r>
        <w:rPr>
          <w:rFonts w:hint="eastAsia" w:ascii="黑体" w:hAnsi="黑体" w:eastAsia="黑体"/>
          <w:color w:val="000000"/>
          <w:szCs w:val="32"/>
          <w:u w:val="none"/>
        </w:rPr>
        <w:t>二、2026年国民经济和社会发展主要目标</w:t>
      </w:r>
    </w:p>
    <w:p w14:paraId="49512526">
      <w:pPr>
        <w:spacing w:line="600" w:lineRule="exact"/>
        <w:ind w:firstLine="640"/>
        <w:rPr>
          <w:rFonts w:hint="eastAsia"/>
          <w:szCs w:val="32"/>
          <w:u w:val="none"/>
        </w:rPr>
      </w:pPr>
      <w:r>
        <w:rPr>
          <w:rFonts w:hint="eastAsia"/>
          <w:szCs w:val="32"/>
          <w:u w:val="none"/>
        </w:rPr>
        <w:t>2026年是“十五五”规划扬帆起航的开局之年。做好全年各项工作，对于巩固拓展发展优势、夯实“十五五”规划实施基础、服务首都高质量发展大局具有重大意义。总体来看，我国发展环境面临深刻复杂变化，战略机遇与风险挑战并存，不确定难预料因素增多。但也要看到，我国经济基础稳、优势多、韧性强、潜能大，长期向好的支撑条件和基本趋势没有变，支撑城市副中心高质量发展的积极因素持续积累、不断增强。</w:t>
      </w:r>
      <w:r>
        <w:rPr>
          <w:rFonts w:hint="eastAsia"/>
          <w:b/>
          <w:bCs/>
          <w:szCs w:val="32"/>
          <w:u w:val="none"/>
        </w:rPr>
        <w:t>一是</w:t>
      </w:r>
      <w:r>
        <w:rPr>
          <w:rFonts w:hint="eastAsia"/>
          <w:szCs w:val="32"/>
          <w:u w:val="none"/>
        </w:rPr>
        <w:t>百年变局下国际力量对比深度调整，我国国际影响力持续提升，北京“四个中心”功能建设日益强化，作为首都发展重要“一翼”的城市副中心将承担更多功能使命，为汇聚高端资源创造有利条件。</w:t>
      </w:r>
      <w:r>
        <w:rPr>
          <w:rFonts w:hint="eastAsia"/>
          <w:b/>
          <w:bCs/>
          <w:szCs w:val="32"/>
          <w:u w:val="none"/>
        </w:rPr>
        <w:t>二是</w:t>
      </w:r>
      <w:r>
        <w:rPr>
          <w:rFonts w:hint="eastAsia"/>
          <w:szCs w:val="32"/>
          <w:u w:val="none"/>
        </w:rPr>
        <w:t>新一轮科技革命和产业变革加速演进，我国积极抢占科技制高点、培育新质生产力，北京在科技创新领域的突破，为城市副中心抢占新赛道、实现弯道超车提供有力支撑。</w:t>
      </w:r>
      <w:r>
        <w:rPr>
          <w:rFonts w:hint="eastAsia"/>
          <w:b/>
          <w:bCs/>
          <w:szCs w:val="32"/>
          <w:u w:val="none"/>
        </w:rPr>
        <w:t>三是</w:t>
      </w:r>
      <w:r>
        <w:rPr>
          <w:rFonts w:hint="eastAsia" w:cs="仿宋_GB2312"/>
          <w:szCs w:val="32"/>
          <w:u w:val="none"/>
          <w:shd w:val="clear" w:color="auto" w:fill="FFFFFF"/>
        </w:rPr>
        <w:t>京津冀协同发展进入全方位、高质量深入推进的阶段</w:t>
      </w:r>
      <w:r>
        <w:rPr>
          <w:rFonts w:hint="eastAsia"/>
          <w:szCs w:val="32"/>
          <w:u w:val="none"/>
        </w:rPr>
        <w:t>，城市副中心作为关键节点，有望落地国家层面重大项目资源，获得全市超常规力度支持。</w:t>
      </w:r>
      <w:r>
        <w:rPr>
          <w:rFonts w:hint="eastAsia"/>
          <w:b/>
          <w:bCs/>
          <w:szCs w:val="32"/>
          <w:u w:val="none"/>
        </w:rPr>
        <w:t>四是</w:t>
      </w:r>
      <w:r>
        <w:rPr>
          <w:rFonts w:hint="eastAsia"/>
          <w:szCs w:val="32"/>
          <w:u w:val="none"/>
        </w:rPr>
        <w:t>要素市场化配置改革试点任务加快落地实施，将有效带动资源高效流动与优化配置，为产业吸引与培育注入强劲动力，不断提升城市副中心的发展活力。</w:t>
      </w:r>
      <w:r>
        <w:rPr>
          <w:rFonts w:hint="eastAsia"/>
          <w:b/>
          <w:bCs/>
          <w:szCs w:val="32"/>
          <w:u w:val="none"/>
        </w:rPr>
        <w:t>五是</w:t>
      </w:r>
      <w:r>
        <w:rPr>
          <w:rFonts w:hint="eastAsia"/>
          <w:szCs w:val="32"/>
          <w:u w:val="none"/>
        </w:rPr>
        <w:t>年均千亿规模投资与大量新增市场主体集聚所形成的发展势能正加速释放，生态优势与优质公共服务资源的吸引力日益增强，为城市副中心实现跨越式发展奠定坚实基础。</w:t>
      </w:r>
    </w:p>
    <w:p w14:paraId="0592E8A7">
      <w:pPr>
        <w:adjustRightInd w:val="0"/>
        <w:snapToGrid w:val="0"/>
        <w:spacing w:line="600" w:lineRule="exact"/>
        <w:ind w:firstLine="640"/>
        <w:rPr>
          <w:rFonts w:hint="eastAsia"/>
          <w:szCs w:val="32"/>
          <w:u w:val="none"/>
        </w:rPr>
      </w:pPr>
      <w:r>
        <w:rPr>
          <w:rFonts w:hint="eastAsia"/>
          <w:szCs w:val="32"/>
          <w:u w:val="none"/>
        </w:rPr>
        <w:t>2026年国民经济和社会发展计划安排的总体思路是：坚持以习近平新时代中国特色社会主义思想为指导，全面贯彻落实党的二十大和二十届历次全会精神，深入贯彻市委、市政府和区委的各项决策部署，始终锚定高质量发展首要任务，深化落实国家层面“1+1+4”顶层设计体系，坚持稳中求进、提质增效，全力以赴做大总量、做优质量、做快速度、做强后劲，推动经济提质、城市提能、治理提效、民生提标，推动“十五五”规划任务落地生根，奋力打造中国式现代化进程中的城市发展样板。</w:t>
      </w:r>
    </w:p>
    <w:p w14:paraId="1CAC6DA9">
      <w:pPr>
        <w:adjustRightInd w:val="0"/>
        <w:snapToGrid w:val="0"/>
        <w:spacing w:line="600" w:lineRule="exact"/>
        <w:ind w:firstLine="640"/>
        <w:rPr>
          <w:rFonts w:hint="eastAsia"/>
          <w:szCs w:val="32"/>
          <w:u w:val="none"/>
        </w:rPr>
      </w:pPr>
      <w:r>
        <w:rPr>
          <w:rFonts w:hint="eastAsia"/>
          <w:szCs w:val="32"/>
          <w:u w:val="none"/>
        </w:rPr>
        <w:t>综合考量宏观经济形势、城市副中心战略定位与发展实际，按照积极稳妥、引导预期的原则，建议2026年国民经济和社会发展主要指标安排如下，工作中将锚定更高标准争取更好结果：</w:t>
      </w:r>
    </w:p>
    <w:p w14:paraId="75512CBC">
      <w:pPr>
        <w:adjustRightInd w:val="0"/>
        <w:snapToGrid w:val="0"/>
        <w:spacing w:line="600" w:lineRule="exact"/>
        <w:ind w:firstLine="640"/>
        <w:rPr>
          <w:rFonts w:hint="eastAsia"/>
          <w:szCs w:val="32"/>
          <w:u w:val="none"/>
        </w:rPr>
      </w:pPr>
      <w:r>
        <w:rPr>
          <w:rFonts w:hint="eastAsia"/>
          <w:szCs w:val="32"/>
          <w:u w:val="none"/>
        </w:rPr>
        <w:t>——地区生产总值比上年增长6%左右；</w:t>
      </w:r>
    </w:p>
    <w:p w14:paraId="1209B9EC">
      <w:pPr>
        <w:spacing w:line="600" w:lineRule="exact"/>
        <w:ind w:firstLine="640"/>
        <w:rPr>
          <w:rFonts w:hint="eastAsia"/>
          <w:szCs w:val="32"/>
          <w:u w:val="none"/>
        </w:rPr>
      </w:pPr>
      <w:r>
        <w:rPr>
          <w:rFonts w:hint="eastAsia"/>
          <w:szCs w:val="32"/>
          <w:u w:val="none"/>
        </w:rPr>
        <w:t>——一般公共预算收入比上年增长3%；</w:t>
      </w:r>
    </w:p>
    <w:p w14:paraId="6CD66851">
      <w:pPr>
        <w:adjustRightInd w:val="0"/>
        <w:snapToGrid w:val="0"/>
        <w:spacing w:line="600" w:lineRule="exact"/>
        <w:ind w:firstLine="640"/>
        <w:rPr>
          <w:rFonts w:hint="eastAsia" w:cs="仿宋_GB2312"/>
          <w:szCs w:val="32"/>
          <w:u w:val="none"/>
        </w:rPr>
      </w:pPr>
      <w:r>
        <w:rPr>
          <w:rFonts w:hint="eastAsia" w:cs="仿宋_GB2312"/>
          <w:szCs w:val="32"/>
          <w:u w:val="none"/>
        </w:rPr>
        <w:t>——固定资产投资保持千亿级规模；</w:t>
      </w:r>
    </w:p>
    <w:p w14:paraId="0DAC861E">
      <w:pPr>
        <w:adjustRightInd w:val="0"/>
        <w:snapToGrid w:val="0"/>
        <w:spacing w:line="600" w:lineRule="exact"/>
        <w:ind w:firstLine="640"/>
        <w:rPr>
          <w:rFonts w:hint="eastAsia" w:cs="仿宋_GB2312"/>
          <w:szCs w:val="32"/>
          <w:u w:val="none"/>
        </w:rPr>
      </w:pPr>
      <w:r>
        <w:rPr>
          <w:rFonts w:hint="eastAsia" w:cs="仿宋_GB2312"/>
          <w:szCs w:val="32"/>
          <w:u w:val="none"/>
        </w:rPr>
        <w:t>——居民人均可支配收入稳步增长；</w:t>
      </w:r>
    </w:p>
    <w:p w14:paraId="4C283943">
      <w:pPr>
        <w:adjustRightInd w:val="0"/>
        <w:snapToGrid w:val="0"/>
        <w:spacing w:line="600" w:lineRule="exact"/>
        <w:ind w:firstLine="640"/>
        <w:rPr>
          <w:rFonts w:hint="eastAsia" w:cs="仿宋_GB2312"/>
          <w:szCs w:val="32"/>
          <w:u w:val="none"/>
        </w:rPr>
      </w:pPr>
      <w:r>
        <w:rPr>
          <w:rFonts w:hint="eastAsia" w:cs="仿宋_GB2312"/>
          <w:szCs w:val="32"/>
          <w:u w:val="none"/>
        </w:rPr>
        <w:t>——城镇调查失业率控制在5%以内；</w:t>
      </w:r>
    </w:p>
    <w:p w14:paraId="70EACA30">
      <w:pPr>
        <w:adjustRightInd w:val="0"/>
        <w:snapToGrid w:val="0"/>
        <w:spacing w:line="600" w:lineRule="exact"/>
        <w:ind w:firstLine="640"/>
        <w:rPr>
          <w:rFonts w:hint="eastAsia" w:cs="仿宋_GB2312"/>
          <w:spacing w:val="-6"/>
          <w:szCs w:val="32"/>
          <w:u w:val="none"/>
        </w:rPr>
      </w:pPr>
      <w:r>
        <w:rPr>
          <w:rFonts w:hint="eastAsia" w:cs="仿宋_GB2312"/>
          <w:szCs w:val="32"/>
          <w:u w:val="none"/>
        </w:rPr>
        <w:t>——</w:t>
      </w:r>
      <w:r>
        <w:rPr>
          <w:rFonts w:hint="eastAsia" w:cs="仿宋_GB2312"/>
          <w:spacing w:val="-6"/>
          <w:szCs w:val="32"/>
          <w:u w:val="none"/>
        </w:rPr>
        <w:t>生态环境质量、能源、水资源等指标达到市级要求。</w:t>
      </w:r>
    </w:p>
    <w:p w14:paraId="556B77DD">
      <w:pPr>
        <w:adjustRightInd w:val="0"/>
        <w:snapToGrid w:val="0"/>
        <w:spacing w:line="600" w:lineRule="exact"/>
        <w:ind w:firstLine="640"/>
        <w:outlineLvl w:val="0"/>
        <w:rPr>
          <w:rFonts w:hint="eastAsia" w:ascii="黑体" w:hAnsi="黑体" w:eastAsia="黑体"/>
          <w:color w:val="000000"/>
          <w:szCs w:val="32"/>
          <w:u w:val="none"/>
        </w:rPr>
      </w:pPr>
      <w:r>
        <w:rPr>
          <w:rFonts w:hint="eastAsia" w:ascii="黑体" w:hAnsi="黑体" w:eastAsia="黑体"/>
          <w:color w:val="000000"/>
          <w:szCs w:val="32"/>
          <w:u w:val="none"/>
        </w:rPr>
        <w:t>三、2026年国民经济和社会发展计划的主要措施</w:t>
      </w:r>
    </w:p>
    <w:p w14:paraId="0187E480">
      <w:pPr>
        <w:adjustRightInd w:val="0"/>
        <w:snapToGrid w:val="0"/>
        <w:spacing w:line="600" w:lineRule="exact"/>
        <w:ind w:firstLine="640"/>
        <w:outlineLvl w:val="1"/>
        <w:rPr>
          <w:rFonts w:hint="eastAsia" w:ascii="楷体_GB2312" w:hAnsi="楷体_GB2312" w:eastAsia="楷体_GB2312" w:cs="楷体_GB2312"/>
          <w:szCs w:val="32"/>
          <w:u w:val="none"/>
        </w:rPr>
      </w:pPr>
      <w:r>
        <w:rPr>
          <w:rFonts w:hint="eastAsia" w:ascii="楷体_GB2312" w:hAnsi="楷体_GB2312" w:eastAsia="楷体_GB2312" w:cs="楷体_GB2312"/>
          <w:szCs w:val="32"/>
          <w:u w:val="none"/>
        </w:rPr>
        <w:t>（一）突出“拓增量”，加快实施全员招商，着力引入新动能、强化硬支撑</w:t>
      </w:r>
    </w:p>
    <w:p w14:paraId="4A7F5184">
      <w:pPr>
        <w:spacing w:line="600" w:lineRule="exact"/>
        <w:ind w:firstLine="643"/>
        <w:rPr>
          <w:rFonts w:hint="eastAsia" w:cs="仿宋_GB2312"/>
          <w:bCs/>
          <w:snapToGrid w:val="0"/>
          <w:kern w:val="0"/>
          <w:szCs w:val="32"/>
          <w:u w:val="none"/>
        </w:rPr>
      </w:pPr>
      <w:r>
        <w:rPr>
          <w:rFonts w:hint="eastAsia" w:cs="仿宋_GB2312"/>
          <w:b/>
          <w:bCs/>
          <w:szCs w:val="32"/>
          <w:u w:val="none"/>
        </w:rPr>
        <w:t>扩大“增量供给”，提档升级产业体系。</w:t>
      </w:r>
      <w:r>
        <w:rPr>
          <w:rFonts w:hint="eastAsia" w:cs="仿宋_GB2312"/>
          <w:szCs w:val="32"/>
          <w:u w:val="none"/>
          <w:lang w:eastAsia="zh-CN"/>
        </w:rPr>
        <w:t>持续完善</w:t>
      </w:r>
      <w:r>
        <w:rPr>
          <w:rFonts w:hint="eastAsia" w:cs="仿宋_GB2312"/>
          <w:bCs/>
          <w:szCs w:val="32"/>
          <w:u w:val="none"/>
        </w:rPr>
        <w:t>全员、全域、全链条</w:t>
      </w:r>
      <w:r>
        <w:rPr>
          <w:rFonts w:hint="eastAsia" w:cs="仿宋_GB2312"/>
          <w:bCs/>
          <w:szCs w:val="32"/>
          <w:u w:val="none"/>
          <w:lang w:eastAsia="zh-CN"/>
        </w:rPr>
        <w:t>大</w:t>
      </w:r>
      <w:r>
        <w:rPr>
          <w:rFonts w:hint="eastAsia" w:cs="仿宋_GB2312"/>
          <w:bCs/>
          <w:szCs w:val="32"/>
          <w:u w:val="none"/>
        </w:rPr>
        <w:t>招商</w:t>
      </w:r>
      <w:r>
        <w:rPr>
          <w:rFonts w:hint="eastAsia" w:cs="仿宋_GB2312"/>
          <w:bCs/>
          <w:szCs w:val="32"/>
          <w:u w:val="none"/>
          <w:lang w:eastAsia="zh-CN"/>
        </w:rPr>
        <w:t>格局</w:t>
      </w:r>
      <w:r>
        <w:rPr>
          <w:rFonts w:hint="eastAsia" w:cs="仿宋_GB2312"/>
          <w:szCs w:val="32"/>
          <w:u w:val="none"/>
        </w:rPr>
        <w:t>，积极发挥平台运营公司、商协会等社会机构作用，进一步凝聚招商合力、形成招商实效。着力提升重点园区能级，</w:t>
      </w:r>
      <w:r>
        <w:rPr>
          <w:rFonts w:cs="仿宋_GB2312"/>
          <w:szCs w:val="32"/>
          <w:u w:val="none"/>
        </w:rPr>
        <w:t>全力</w:t>
      </w:r>
      <w:r>
        <w:rPr>
          <w:rFonts w:hint="eastAsia" w:cs="仿宋_GB2312"/>
          <w:szCs w:val="32"/>
          <w:u w:val="none"/>
        </w:rPr>
        <w:t>推进</w:t>
      </w:r>
      <w:r>
        <w:rPr>
          <w:rFonts w:cs="仿宋_GB2312"/>
          <w:szCs w:val="32"/>
          <w:u w:val="none"/>
        </w:rPr>
        <w:t>运河商务区楼宇</w:t>
      </w:r>
      <w:r>
        <w:rPr>
          <w:rFonts w:hint="eastAsia" w:cs="仿宋_GB2312"/>
          <w:szCs w:val="32"/>
          <w:u w:val="none"/>
        </w:rPr>
        <w:t>建设，举全区之力加速企业导入，强化通州园各片区协同联动，加大特色产业园培育，</w:t>
      </w:r>
      <w:r>
        <w:rPr>
          <w:rFonts w:hint="eastAsia" w:hAnsi="仿宋" w:cs="仿宋_GB2312"/>
          <w:kern w:val="0"/>
          <w:szCs w:val="32"/>
          <w:u w:val="none"/>
          <w:lang w:bidi="ar"/>
        </w:rPr>
        <w:t>加快形成产业园区从空间集聚到生态赋能的新格局</w:t>
      </w:r>
      <w:r>
        <w:rPr>
          <w:rFonts w:hint="eastAsia" w:cs="仿宋_GB2312"/>
          <w:szCs w:val="32"/>
          <w:u w:val="none"/>
        </w:rPr>
        <w:t>。</w:t>
      </w:r>
      <w:r>
        <w:rPr>
          <w:rFonts w:hint="eastAsia" w:cs="仿宋_GB2312"/>
          <w:snapToGrid w:val="0"/>
          <w:kern w:val="0"/>
          <w:szCs w:val="32"/>
          <w:u w:val="none"/>
        </w:rPr>
        <w:t>推进先进制造高端化升级，以重点产业项目为依托持续壮大汽车制造业、医药制造业、电子信息及材料产业集群，实现一批项目开工建设和竣工投产</w:t>
      </w:r>
      <w:r>
        <w:rPr>
          <w:rFonts w:hint="eastAsia" w:cs="仿宋_GB2312"/>
          <w:szCs w:val="32"/>
          <w:u w:val="none"/>
        </w:rPr>
        <w:t>。推动数字经济增强能级，</w:t>
      </w:r>
      <w:r>
        <w:rPr>
          <w:rFonts w:hint="eastAsia"/>
          <w:szCs w:val="32"/>
          <w:u w:val="none"/>
        </w:rPr>
        <w:t>支持重点企业加大通用大模型开发和垂类算法扩展延伸，</w:t>
      </w:r>
      <w:r>
        <w:rPr>
          <w:rFonts w:hint="eastAsia" w:cs="仿宋_GB2312"/>
          <w:szCs w:val="32"/>
          <w:u w:val="none"/>
        </w:rPr>
        <w:t>吸引头部平台企业在城市副中心布局子公司或拓展新业务板块，推进</w:t>
      </w:r>
      <w:r>
        <w:rPr>
          <w:rFonts w:hint="eastAsia"/>
          <w:szCs w:val="32"/>
          <w:u w:val="none"/>
        </w:rPr>
        <w:t>京津冀信创小镇、</w:t>
      </w:r>
      <w:r>
        <w:rPr>
          <w:rFonts w:cs="仿宋_GB2312"/>
          <w:szCs w:val="32"/>
          <w:u w:val="none"/>
        </w:rPr>
        <w:t>信通院ICT创新基地</w:t>
      </w:r>
      <w:r>
        <w:rPr>
          <w:rFonts w:hint="eastAsia" w:cs="仿宋_GB2312"/>
          <w:szCs w:val="32"/>
          <w:u w:val="none"/>
        </w:rPr>
        <w:t>、</w:t>
      </w:r>
      <w:r>
        <w:rPr>
          <w:rFonts w:hint="eastAsia" w:cs="仿宋_GB2312"/>
          <w:i w:val="0"/>
          <w:iCs w:val="0"/>
          <w:szCs w:val="32"/>
          <w:u w:val="none"/>
          <w:lang w:eastAsia="zh-CN"/>
        </w:rPr>
        <w:t>“双智”城市</w:t>
      </w:r>
      <w:r>
        <w:rPr>
          <w:rFonts w:hint="eastAsia" w:cs="仿宋_GB2312"/>
          <w:i w:val="0"/>
          <w:iCs w:val="0"/>
          <w:szCs w:val="32"/>
          <w:u w:val="none"/>
        </w:rPr>
        <w:t>4.0</w:t>
      </w:r>
      <w:r>
        <w:rPr>
          <w:rFonts w:hint="eastAsia" w:cs="仿宋_GB2312"/>
          <w:i w:val="0"/>
          <w:iCs w:val="0"/>
          <w:szCs w:val="32"/>
          <w:u w:val="none"/>
          <w:lang w:eastAsia="zh-CN"/>
        </w:rPr>
        <w:t>阶段</w:t>
      </w:r>
      <w:r>
        <w:rPr>
          <w:rFonts w:hint="eastAsia" w:cs="仿宋_GB2312"/>
          <w:i w:val="0"/>
          <w:iCs w:val="0"/>
          <w:szCs w:val="32"/>
          <w:u w:val="none"/>
        </w:rPr>
        <w:t>建设</w:t>
      </w:r>
      <w:r>
        <w:rPr>
          <w:rFonts w:hint="eastAsia" w:cs="仿宋_GB2312"/>
          <w:szCs w:val="32"/>
          <w:u w:val="none"/>
        </w:rPr>
        <w:t>。加快发展金融业，</w:t>
      </w:r>
      <w:r>
        <w:rPr>
          <w:rFonts w:hint="eastAsia" w:cs="仿宋_GB2312"/>
          <w:bCs/>
          <w:snapToGrid w:val="0"/>
          <w:color w:val="000000" w:themeColor="text1"/>
          <w:kern w:val="0"/>
          <w:szCs w:val="32"/>
          <w:u w:val="none"/>
          <w14:textFill>
            <w14:solidFill>
              <w14:schemeClr w14:val="tx1"/>
            </w14:solidFill>
          </w14:textFill>
        </w:rPr>
        <w:t>推动全球财富管理中心、</w:t>
      </w:r>
      <w:r>
        <w:rPr>
          <w:rFonts w:hint="eastAsia"/>
          <w:bCs/>
          <w:color w:val="000000" w:themeColor="text1"/>
          <w:szCs w:val="32"/>
          <w:u w:val="none"/>
          <w14:textFill>
            <w14:solidFill>
              <w14:schemeClr w14:val="tx1"/>
            </w14:solidFill>
          </w14:textFill>
        </w:rPr>
        <w:t>绿色金融和可持续金融中心建设取得突破性进展，</w:t>
      </w:r>
      <w:r>
        <w:rPr>
          <w:rFonts w:hint="eastAsia" w:cs="仿宋_GB2312"/>
          <w:bCs/>
          <w:snapToGrid w:val="0"/>
          <w:kern w:val="0"/>
          <w:szCs w:val="32"/>
          <w:u w:val="none"/>
        </w:rPr>
        <w:t>加快各类金融机构落地经营及</w:t>
      </w:r>
      <w:r>
        <w:rPr>
          <w:rFonts w:hint="eastAsia" w:cs="仿宋_GB2312"/>
          <w:bCs/>
          <w:snapToGrid w:val="0"/>
          <w:color w:val="000000" w:themeColor="text1"/>
          <w:kern w:val="0"/>
          <w:szCs w:val="32"/>
          <w:u w:val="none"/>
          <w14:textFill>
            <w14:solidFill>
              <w14:schemeClr w14:val="tx1"/>
            </w14:solidFill>
          </w14:textFill>
        </w:rPr>
        <w:t>绿色信贷、绿色债券、绿色保险等产品体系建设，更好支持实体经济发展。</w:t>
      </w:r>
      <w:r>
        <w:rPr>
          <w:rFonts w:hint="eastAsia" w:cs="仿宋_GB2312"/>
          <w:snapToGrid w:val="0"/>
          <w:color w:val="000000" w:themeColor="text1"/>
          <w:kern w:val="0"/>
          <w:szCs w:val="32"/>
          <w:u w:val="none"/>
          <w14:textFill>
            <w14:solidFill>
              <w14:schemeClr w14:val="tx1"/>
            </w14:solidFill>
          </w14:textFill>
        </w:rPr>
        <w:t>持续繁荣商务服务</w:t>
      </w:r>
      <w:r>
        <w:rPr>
          <w:rFonts w:hint="eastAsia" w:cs="仿宋_GB2312"/>
          <w:snapToGrid w:val="0"/>
          <w:kern w:val="0"/>
          <w:szCs w:val="32"/>
          <w:u w:val="none"/>
        </w:rPr>
        <w:t>，</w:t>
      </w:r>
      <w:r>
        <w:rPr>
          <w:rFonts w:hint="eastAsia" w:cs="仿宋_GB2312"/>
          <w:snapToGrid w:val="0"/>
          <w:color w:val="000000" w:themeColor="text1"/>
          <w:kern w:val="0"/>
          <w:szCs w:val="32"/>
          <w:u w:val="none"/>
          <w14:textFill>
            <w14:solidFill>
              <w14:schemeClr w14:val="tx1"/>
            </w14:solidFill>
          </w14:textFill>
        </w:rPr>
        <w:t>加快交</w:t>
      </w:r>
      <w:r>
        <w:rPr>
          <w:rFonts w:hint="eastAsia" w:cs="仿宋_GB2312"/>
          <w:snapToGrid w:val="0"/>
          <w:kern w:val="0"/>
          <w:szCs w:val="32"/>
          <w:u w:val="none"/>
        </w:rPr>
        <w:t>通枢纽的</w:t>
      </w:r>
      <w:r>
        <w:rPr>
          <w:rFonts w:hint="eastAsia"/>
          <w:szCs w:val="32"/>
          <w:u w:val="none"/>
        </w:rPr>
        <w:t>交通功能与商务办公、消费服务功能融合</w:t>
      </w:r>
      <w:r>
        <w:rPr>
          <w:rFonts w:hint="eastAsia" w:cs="仿宋_GB2312"/>
          <w:snapToGrid w:val="0"/>
          <w:color w:val="000000" w:themeColor="text1"/>
          <w:kern w:val="0"/>
          <w:szCs w:val="32"/>
          <w:u w:val="none"/>
          <w14:textFill>
            <w14:solidFill>
              <w14:schemeClr w14:val="tx1"/>
            </w14:solidFill>
          </w14:textFill>
        </w:rPr>
        <w:t>，</w:t>
      </w:r>
      <w:r>
        <w:rPr>
          <w:rFonts w:hint="eastAsia" w:cs="仿宋_GB2312"/>
          <w:snapToGrid w:val="0"/>
          <w:kern w:val="0"/>
          <w:szCs w:val="32"/>
          <w:u w:val="none"/>
        </w:rPr>
        <w:t>吸引一批法律、会计、咨询等专业服务机构。</w:t>
      </w:r>
      <w:r>
        <w:rPr>
          <w:rFonts w:hint="eastAsia"/>
          <w:color w:val="000000" w:themeColor="text1"/>
          <w:szCs w:val="32"/>
          <w:u w:val="none"/>
          <w14:textFill>
            <w14:solidFill>
              <w14:schemeClr w14:val="tx1"/>
            </w14:solidFill>
          </w14:textFill>
        </w:rPr>
        <w:t>前瞻布局未来产业，</w:t>
      </w:r>
      <w:r>
        <w:rPr>
          <w:rFonts w:hint="eastAsia" w:cs="仿宋_GB2312"/>
          <w:szCs w:val="32"/>
          <w:u w:val="none"/>
        </w:rPr>
        <w:t>出台区级未来产业育新平台认定办法，提高政策扶持精准度，加快技术研发支持和</w:t>
      </w:r>
      <w:r>
        <w:rPr>
          <w:rFonts w:hint="eastAsia" w:cs="仿宋_GB2312"/>
          <w:bCs/>
          <w:snapToGrid w:val="0"/>
          <w:kern w:val="0"/>
          <w:szCs w:val="32"/>
          <w:u w:val="none"/>
        </w:rPr>
        <w:t>产业链布局。</w:t>
      </w:r>
    </w:p>
    <w:p w14:paraId="21E4267D">
      <w:pPr>
        <w:spacing w:line="600" w:lineRule="exact"/>
        <w:ind w:firstLine="643"/>
        <w:rPr>
          <w:rFonts w:hint="eastAsia" w:cs="仿宋_GB2312"/>
          <w:szCs w:val="32"/>
          <w:u w:val="none"/>
        </w:rPr>
      </w:pPr>
      <w:r>
        <w:rPr>
          <w:rFonts w:hint="eastAsia"/>
          <w:b/>
          <w:bCs/>
          <w:szCs w:val="32"/>
          <w:u w:val="none"/>
        </w:rPr>
        <w:t>夯实“增量基础”，优化产业发展环境。</w:t>
      </w:r>
      <w:r>
        <w:rPr>
          <w:rFonts w:hint="eastAsia"/>
          <w:szCs w:val="32"/>
          <w:u w:val="none"/>
        </w:rPr>
        <w:t>加快重点产业功能区综合承载，持续完善路网体系，</w:t>
      </w:r>
      <w:r>
        <w:rPr>
          <w:rFonts w:hint="eastAsia" w:cs="仿宋_GB2312"/>
          <w:kern w:val="0"/>
          <w:szCs w:val="32"/>
          <w:u w:val="none"/>
        </w:rPr>
        <w:t>力争国道230（张凤路-漷小路）工程开工，加快徐宋路等道路改造提升，</w:t>
      </w:r>
      <w:r>
        <w:rPr>
          <w:rFonts w:hint="eastAsia" w:cs="仿宋_GB2312"/>
          <w:szCs w:val="32"/>
          <w:u w:val="none"/>
        </w:rPr>
        <w:t>持续推进运河商务区启动区规划道路建设，建成通州北关、北运河西P+R智慧停车场，加快漷县集租房、网安园110千伏电站等配套设施建设。推动要素市场化改革工作方案加速落地，打造形成一批具有示范引领作用的标志性改革案例。</w:t>
      </w:r>
      <w:r>
        <w:rPr>
          <w:rFonts w:hint="eastAsia"/>
          <w:szCs w:val="32"/>
          <w:u w:val="none"/>
        </w:rPr>
        <w:t>推进土地要素集约高效配置，</w:t>
      </w:r>
      <w:r>
        <w:rPr>
          <w:rFonts w:hint="eastAsia" w:ascii="Times New Roman" w:hAnsi="Times New Roman"/>
          <w:bCs/>
          <w:snapToGrid w:val="0"/>
          <w:kern w:val="0"/>
          <w:szCs w:val="32"/>
          <w:u w:val="none"/>
        </w:rPr>
        <w:t>加快推广“工业上楼”</w:t>
      </w:r>
      <w:r>
        <w:rPr>
          <w:rFonts w:ascii="Times New Roman" w:hAnsi="Times New Roman"/>
          <w:bCs/>
          <w:snapToGrid w:val="0"/>
          <w:kern w:val="0"/>
          <w:szCs w:val="32"/>
          <w:u w:val="none"/>
        </w:rPr>
        <w:t>新模式，</w:t>
      </w:r>
      <w:r>
        <w:rPr>
          <w:rFonts w:hint="eastAsia" w:cs="仿宋_GB2312"/>
          <w:bCs/>
          <w:szCs w:val="32"/>
          <w:u w:val="none"/>
        </w:rPr>
        <w:t>形成“拿地即开工、交地即交证”长效机制，持续推进存量国有工业用地盘活利用，</w:t>
      </w:r>
      <w:r>
        <w:rPr>
          <w:rFonts w:hint="eastAsia" w:cs="仿宋_GB2312"/>
          <w:szCs w:val="32"/>
          <w:u w:val="none"/>
        </w:rPr>
        <w:t>支持不同产业用地类型合理转换和用地功能混合使用</w:t>
      </w:r>
      <w:r>
        <w:rPr>
          <w:rFonts w:hint="eastAsia" w:cs="仿宋_GB2312"/>
          <w:bCs/>
          <w:szCs w:val="32"/>
          <w:u w:val="none"/>
        </w:rPr>
        <w:t>。</w:t>
      </w:r>
      <w:r>
        <w:rPr>
          <w:rFonts w:hint="eastAsia" w:cs="仿宋_GB2312"/>
          <w:szCs w:val="32"/>
          <w:u w:val="none"/>
        </w:rPr>
        <w:t>强化人才支撑，深化校地融合机制，定制化培养专业技术与技能型人才，用足用好各项人才政策，吸引高端人才和创新团队汇聚城市副中心。</w:t>
      </w:r>
      <w:r>
        <w:rPr>
          <w:rFonts w:cs="仿宋_GB2312"/>
          <w:szCs w:val="32"/>
          <w:u w:val="none"/>
        </w:rPr>
        <w:t>积极探索高价值数据资源转化路径，创新发展数据要素服务新模式。增强资本服务实体经济能力，</w:t>
      </w:r>
      <w:r>
        <w:rPr>
          <w:rFonts w:hint="eastAsia" w:cs="仿宋_GB2312"/>
          <w:szCs w:val="32"/>
          <w:u w:val="none"/>
        </w:rPr>
        <w:t>推动设立京津冀信创小镇产业并购基金及人工智能产业基金等</w:t>
      </w:r>
      <w:r>
        <w:rPr>
          <w:rFonts w:cs="仿宋_GB2312"/>
          <w:szCs w:val="32"/>
          <w:u w:val="none"/>
        </w:rPr>
        <w:t>，强化基金引导作用，广泛吸引社会资本参与产业投资，为产业发展提供有力金融支持。</w:t>
      </w:r>
      <w:r>
        <w:rPr>
          <w:rFonts w:hint="eastAsia" w:cs="仿宋_GB2312"/>
          <w:color w:val="000000"/>
          <w:szCs w:val="32"/>
          <w:u w:val="none"/>
        </w:rPr>
        <w:t>打造国际一流的营商环境，</w:t>
      </w:r>
      <w:r>
        <w:rPr>
          <w:rFonts w:hint="eastAsia" w:cs="仿宋_GB2312"/>
          <w:szCs w:val="32"/>
          <w:u w:val="none"/>
        </w:rPr>
        <w:t>健全完善“服务包”“企业服务专员”、小微企业融资协调等机制，完善</w:t>
      </w:r>
      <w:r>
        <w:rPr>
          <w:rFonts w:cs="仿宋_GB2312"/>
          <w:szCs w:val="32"/>
          <w:u w:val="none"/>
        </w:rPr>
        <w:t>涵盖住房保障等在内的政策工具箱，</w:t>
      </w:r>
      <w:r>
        <w:rPr>
          <w:rFonts w:hint="eastAsia" w:hAnsi="仿宋" w:cs="仿宋"/>
          <w:szCs w:val="32"/>
          <w:u w:val="none"/>
        </w:rPr>
        <w:t>持续加大政策“免申即享”“直达快享”改革</w:t>
      </w:r>
      <w:r>
        <w:rPr>
          <w:rFonts w:hAnsi="仿宋" w:cs="仿宋"/>
          <w:szCs w:val="32"/>
          <w:u w:val="none"/>
        </w:rPr>
        <w:t>力度</w:t>
      </w:r>
      <w:r>
        <w:rPr>
          <w:rFonts w:hint="eastAsia" w:hAnsi="仿宋" w:cs="仿宋"/>
          <w:szCs w:val="32"/>
          <w:u w:val="none"/>
        </w:rPr>
        <w:t>，</w:t>
      </w:r>
      <w:r>
        <w:rPr>
          <w:rFonts w:hint="eastAsia" w:cs="仿宋_GB2312"/>
          <w:color w:val="000000"/>
          <w:szCs w:val="32"/>
          <w:u w:val="none"/>
        </w:rPr>
        <w:t>建成投用</w:t>
      </w:r>
      <w:r>
        <w:rPr>
          <w:rFonts w:hint="eastAsia" w:cs="仿宋_GB2312"/>
          <w:szCs w:val="32"/>
          <w:u w:val="none"/>
        </w:rPr>
        <w:t>区域创新营商环境服务中心，精心组织开展应用场景对接，发布全领域场景清单。</w:t>
      </w:r>
      <w:r>
        <w:rPr>
          <w:rFonts w:hint="eastAsia" w:cs="仿宋_GB2312"/>
          <w:bCs/>
          <w:color w:val="000000"/>
          <w:szCs w:val="32"/>
          <w:u w:val="none"/>
        </w:rPr>
        <w:t>着力提供更优的政务服务，</w:t>
      </w:r>
      <w:r>
        <w:rPr>
          <w:rFonts w:cs="仿宋_GB2312"/>
          <w:bCs/>
          <w:color w:val="000000"/>
          <w:szCs w:val="32"/>
          <w:u w:val="none"/>
        </w:rPr>
        <w:t>纵深推进“高效办成一件事”改革，</w:t>
      </w:r>
      <w:r>
        <w:rPr>
          <w:rFonts w:hint="eastAsia" w:cs="仿宋_GB2312"/>
          <w:szCs w:val="32"/>
          <w:u w:val="none"/>
        </w:rPr>
        <w:t>推动“一网通办”向“一网好办”迭代升级</w:t>
      </w:r>
      <w:r>
        <w:rPr>
          <w:rFonts w:cs="仿宋_GB2312"/>
          <w:bCs/>
          <w:color w:val="000000"/>
          <w:szCs w:val="32"/>
          <w:u w:val="none"/>
        </w:rPr>
        <w:t>，</w:t>
      </w:r>
      <w:r>
        <w:rPr>
          <w:rFonts w:hint="eastAsia" w:cs="仿宋_GB2312"/>
          <w:bCs/>
          <w:color w:val="000000"/>
          <w:szCs w:val="32"/>
          <w:u w:val="none"/>
        </w:rPr>
        <w:t>全面推行“扫码检查”“非现场监管”，扩大“无事不扰”企业清单，推进知识产权、商业秘密保护一体化建设。</w:t>
      </w:r>
    </w:p>
    <w:p w14:paraId="2EA19CA7">
      <w:pPr>
        <w:spacing w:line="600" w:lineRule="exact"/>
        <w:ind w:firstLine="643"/>
        <w:rPr>
          <w:rFonts w:hint="eastAsia" w:cs="仿宋_GB2312"/>
          <w:szCs w:val="32"/>
          <w:u w:val="none"/>
        </w:rPr>
      </w:pPr>
      <w:r>
        <w:rPr>
          <w:rFonts w:hint="eastAsia"/>
          <w:b/>
          <w:bCs/>
          <w:szCs w:val="32"/>
          <w:u w:val="none"/>
        </w:rPr>
        <w:t>保障“增量转化”，提高融合创新水平。</w:t>
      </w:r>
      <w:r>
        <w:rPr>
          <w:rFonts w:cs="仿宋_GB2312"/>
          <w:szCs w:val="32"/>
          <w:u w:val="none"/>
        </w:rPr>
        <w:t>深度激活驻区</w:t>
      </w:r>
      <w:r>
        <w:rPr>
          <w:rFonts w:hint="eastAsia" w:cs="仿宋_GB2312"/>
          <w:szCs w:val="32"/>
          <w:u w:val="none"/>
        </w:rPr>
        <w:t>资源</w:t>
      </w:r>
      <w:r>
        <w:rPr>
          <w:rFonts w:cs="仿宋_GB2312"/>
          <w:szCs w:val="32"/>
          <w:u w:val="none"/>
        </w:rPr>
        <w:t>创新潜能，充分用好驻区高校科创资源，探索“一校一策”特色合作模式</w:t>
      </w:r>
      <w:r>
        <w:rPr>
          <w:rFonts w:hint="eastAsia" w:cs="仿宋_GB2312"/>
          <w:szCs w:val="32"/>
          <w:u w:val="none"/>
        </w:rPr>
        <w:t>。</w:t>
      </w:r>
      <w:r>
        <w:rPr>
          <w:rFonts w:cs="仿宋_GB2312"/>
          <w:szCs w:val="32"/>
          <w:u w:val="none"/>
        </w:rPr>
        <w:t>加快港京科技研究院、软通动力信创产业学院等项目落地，重点推进科技孵化中心等载体建设，实现传统工业空间向创新载体转型。联动坚朗国际工业设计中心、北京服装学院打造“AI+设计+制造”示范线，</w:t>
      </w:r>
      <w:r>
        <w:rPr>
          <w:rFonts w:hint="eastAsia" w:cs="仿宋_GB2312"/>
          <w:szCs w:val="32"/>
          <w:u w:val="none"/>
        </w:rPr>
        <w:t>构建</w:t>
      </w:r>
      <w:r>
        <w:rPr>
          <w:rFonts w:cs="仿宋_GB2312"/>
          <w:szCs w:val="32"/>
          <w:u w:val="none"/>
        </w:rPr>
        <w:t>“研发-中试-服务”完整产业链</w:t>
      </w:r>
      <w:r>
        <w:rPr>
          <w:rFonts w:hint="eastAsia" w:cs="仿宋_GB2312"/>
          <w:szCs w:val="32"/>
          <w:u w:val="none"/>
        </w:rPr>
        <w:t>。大力拓展创新资源供给，积极争取国家实验室、全国重点实验室、科研机构等设立分支机构，鼓励科研机构、领军企业、高层次人才团队共建创新联合体；推动北京市自然科学基金在城市副中心设立联合基金，吸引全市高水平科研力量向城市副中心倾斜，推动解决区内企业核心技术攻关难题。构建特色医产融合服务平台，积极推进</w:t>
      </w:r>
      <w:r>
        <w:rPr>
          <w:rFonts w:cs="仿宋_GB2312"/>
          <w:szCs w:val="32"/>
          <w:u w:val="none"/>
        </w:rPr>
        <w:t>安贞未来医学创新谷、北大人民医院医产协同创新港、潞河医院医产协同创新中心</w:t>
      </w:r>
      <w:r>
        <w:rPr>
          <w:rFonts w:hint="eastAsia" w:cs="仿宋_GB2312"/>
          <w:szCs w:val="32"/>
          <w:u w:val="none"/>
        </w:rPr>
        <w:t>建设</w:t>
      </w:r>
      <w:r>
        <w:rPr>
          <w:rFonts w:cs="仿宋_GB2312"/>
          <w:szCs w:val="32"/>
          <w:u w:val="none"/>
        </w:rPr>
        <w:t>，</w:t>
      </w:r>
      <w:r>
        <w:rPr>
          <w:rFonts w:hint="eastAsia" w:cs="仿宋_GB2312"/>
          <w:szCs w:val="32"/>
          <w:u w:val="none"/>
        </w:rPr>
        <w:t>推动设立北京城市副中心通泰医药创新研究院。</w:t>
      </w:r>
    </w:p>
    <w:p w14:paraId="05865CA1">
      <w:pPr>
        <w:adjustRightInd w:val="0"/>
        <w:snapToGrid w:val="0"/>
        <w:spacing w:line="600" w:lineRule="exact"/>
        <w:ind w:firstLine="640"/>
        <w:outlineLvl w:val="1"/>
        <w:rPr>
          <w:rFonts w:hint="eastAsia" w:ascii="楷体_GB2312" w:hAnsi="楷体_GB2312" w:eastAsia="楷体_GB2312" w:cs="楷体_GB2312"/>
          <w:szCs w:val="32"/>
          <w:u w:val="none"/>
        </w:rPr>
      </w:pPr>
      <w:r>
        <w:rPr>
          <w:rFonts w:hint="eastAsia" w:ascii="楷体_GB2312" w:hAnsi="楷体_GB2312" w:eastAsia="楷体_GB2312" w:cs="楷体_GB2312"/>
          <w:szCs w:val="32"/>
          <w:u w:val="none"/>
        </w:rPr>
        <w:t>（二）聚焦“优格局”，加快促进内外协同，着力畅通要素流动、推动区域互促共进</w:t>
      </w:r>
    </w:p>
    <w:p w14:paraId="599735B5">
      <w:pPr>
        <w:spacing w:line="600" w:lineRule="exact"/>
        <w:ind w:firstLine="643"/>
        <w:rPr>
          <w:rFonts w:hint="eastAsia"/>
          <w:szCs w:val="32"/>
          <w:highlight w:val="yellow"/>
          <w:u w:val="none"/>
        </w:rPr>
      </w:pPr>
      <w:r>
        <w:rPr>
          <w:rFonts w:hint="eastAsia"/>
          <w:b/>
          <w:bCs/>
          <w:szCs w:val="32"/>
          <w:u w:val="none"/>
        </w:rPr>
        <w:t>进一步深化跨区域协同联动</w:t>
      </w:r>
      <w:r>
        <w:rPr>
          <w:rFonts w:hint="eastAsia"/>
          <w:szCs w:val="32"/>
          <w:u w:val="none"/>
        </w:rPr>
        <w:t>。着力推进通州区与北三县一体化高质量发展示范区建设，强化交通网络互联互通，</w:t>
      </w:r>
      <w:r>
        <w:rPr>
          <w:rFonts w:hint="eastAsia" w:cs="仿宋_GB2312"/>
          <w:szCs w:val="32"/>
          <w:u w:val="none"/>
        </w:rPr>
        <w:t>推动轨道交通22号线通州段基本具备开通条件</w:t>
      </w:r>
      <w:r>
        <w:rPr>
          <w:rFonts w:hint="eastAsia" w:cs="仿宋_GB2312"/>
          <w:bCs/>
          <w:szCs w:val="32"/>
          <w:u w:val="none"/>
        </w:rPr>
        <w:t>，</w:t>
      </w:r>
      <w:r>
        <w:rPr>
          <w:rFonts w:hint="eastAsia"/>
          <w:szCs w:val="32"/>
          <w:u w:val="none"/>
        </w:rPr>
        <w:t>持续推动京秦高速西延、姚家园路东延等跨区域骨干道路建设，全面推行检查站快速核验、远程安检等智能化查验手段，进一步提升跨界通勤效率；加快推进潮白河国家森林公园建设，完善北运河、潮白河等跨流域治理机制，协同推进大气污染联防联控执法；系统推进通北示范区产业图谱落地转化，开展联合招商；进一步拓展“区域通办”事项范围和深度，推动更多高频民生事项和企业经营许可“异地受理、无差别办理”。推进通武廊交界重点区域产业创新发展。</w:t>
      </w:r>
      <w:r>
        <w:rPr>
          <w:rFonts w:hint="eastAsia" w:cs="仿宋_GB2312"/>
          <w:szCs w:val="32"/>
          <w:u w:val="none"/>
        </w:rPr>
        <w:t>加快推进第二批搬迁市属国企总部建设，</w:t>
      </w:r>
      <w:r>
        <w:rPr>
          <w:rFonts w:hint="eastAsia"/>
          <w:szCs w:val="32"/>
          <w:u w:val="none"/>
        </w:rPr>
        <w:t>持续承接符合城市副中心发展定位的疏解企业，承接国资国企新质生产力拓展板块，实现华夏银行总部基本完工，持续完善深化“四区结对”机制，吸引更多优质资源汇聚城市副中心。深化通亦协同，建设东南部智造廊，深度培育汽车制造、集成电路等产业集群。</w:t>
      </w:r>
    </w:p>
    <w:p w14:paraId="3283143F">
      <w:pPr>
        <w:spacing w:line="600" w:lineRule="exact"/>
        <w:ind w:firstLine="643"/>
        <w:rPr>
          <w:rFonts w:hint="eastAsia"/>
          <w:szCs w:val="32"/>
          <w:u w:val="none"/>
        </w:rPr>
      </w:pPr>
      <w:r>
        <w:rPr>
          <w:rFonts w:hint="eastAsia"/>
          <w:b/>
          <w:bCs/>
          <w:szCs w:val="32"/>
          <w:u w:val="none"/>
        </w:rPr>
        <w:t>进一步增强城乡发展协调性</w:t>
      </w:r>
      <w:r>
        <w:rPr>
          <w:rFonts w:hint="eastAsia"/>
          <w:szCs w:val="32"/>
          <w:u w:val="none"/>
        </w:rPr>
        <w:t>。持</w:t>
      </w:r>
      <w:r>
        <w:rPr>
          <w:szCs w:val="32"/>
          <w:u w:val="none"/>
        </w:rPr>
        <w:t>续提升城乡空间品质，</w:t>
      </w:r>
      <w:r>
        <w:rPr>
          <w:rFonts w:hint="eastAsia"/>
          <w:szCs w:val="32"/>
          <w:u w:val="none"/>
        </w:rPr>
        <w:t>有序实施南部乡镇基础设施和公共服务设施建设任务，持续提升乡村公路网规划实现率</w:t>
      </w:r>
      <w:r>
        <w:rPr>
          <w:szCs w:val="32"/>
          <w:u w:val="none"/>
        </w:rPr>
        <w:t>；</w:t>
      </w:r>
      <w:r>
        <w:rPr>
          <w:rFonts w:hint="eastAsia"/>
          <w:szCs w:val="32"/>
          <w:u w:val="none"/>
        </w:rPr>
        <w:t>推进乡镇供水厂新建与改扩建，加快农村供水区域统管；建成宋庄文化创意公园（一期），启动张家湾郊野公园建设；</w:t>
      </w:r>
      <w:r>
        <w:rPr>
          <w:szCs w:val="32"/>
          <w:u w:val="none"/>
        </w:rPr>
        <w:t>高质量收尾第三批美丽乡村建设，</w:t>
      </w:r>
      <w:r>
        <w:rPr>
          <w:rFonts w:hint="eastAsia"/>
          <w:szCs w:val="32"/>
          <w:u w:val="none"/>
        </w:rPr>
        <w:t>“一村一貌”整体提升乡村形象</w:t>
      </w:r>
      <w:r>
        <w:rPr>
          <w:szCs w:val="32"/>
          <w:u w:val="none"/>
        </w:rPr>
        <w:t>。畅通城乡要素流动渠道，加强涉地农村集体经济合同管理，严格规范农村集体“三资”监管，落实“村地区管”管理机制，深化整村发证工作，持续激活农村资产、稳步推进农村土地制度改革；建强乡村振兴人才培育平台，做好头雁培育推荐和农业领域运河英才培育工作，为乡村发展提供坚实人才支撑。壮大现代农业发展动能，加快“百千工程”示范片区建设，扎实推进中国农科院农业微生物研究中心、国家作物分子育种表型与基因型鉴定平台等重点项目建设，支持运河惠农公司等平台扩大适度规模经营，确保13个乡村振兴产业综合发展项目建成见效。</w:t>
      </w:r>
    </w:p>
    <w:p w14:paraId="3104D71B">
      <w:pPr>
        <w:spacing w:line="600" w:lineRule="exact"/>
        <w:ind w:firstLine="640"/>
        <w:outlineLvl w:val="1"/>
        <w:rPr>
          <w:rFonts w:hint="eastAsia" w:ascii="楷体_GB2312" w:hAnsi="楷体_GB2312" w:eastAsia="楷体_GB2312" w:cs="楷体_GB2312"/>
          <w:szCs w:val="32"/>
          <w:u w:val="none"/>
        </w:rPr>
      </w:pPr>
      <w:r>
        <w:rPr>
          <w:rFonts w:hint="eastAsia" w:ascii="楷体_GB2312" w:hAnsi="楷体_GB2312" w:eastAsia="楷体_GB2312" w:cs="楷体_GB2312"/>
          <w:szCs w:val="32"/>
          <w:u w:val="none"/>
        </w:rPr>
        <w:t>（三）立足“提品质”，加快推动功能升级，着力塑造特色优势、彰显城市魅力</w:t>
      </w:r>
    </w:p>
    <w:p w14:paraId="7D057C70">
      <w:pPr>
        <w:spacing w:line="600" w:lineRule="exact"/>
        <w:ind w:firstLine="643"/>
        <w:rPr>
          <w:rFonts w:hint="eastAsia" w:cs="仿宋_GB2312"/>
          <w:szCs w:val="32"/>
          <w:u w:val="none"/>
        </w:rPr>
      </w:pPr>
      <w:r>
        <w:rPr>
          <w:rFonts w:hint="eastAsia" w:cs="仿宋_GB2312"/>
          <w:b/>
          <w:bCs/>
          <w:szCs w:val="32"/>
          <w:u w:val="none"/>
        </w:rPr>
        <w:t>聚力增强综合承载能力。</w:t>
      </w:r>
      <w:r>
        <w:rPr>
          <w:rFonts w:hint="eastAsia" w:cs="仿宋_GB2312"/>
          <w:szCs w:val="32"/>
          <w:u w:val="none"/>
        </w:rPr>
        <w:t>持续谋划、建设一批具有前瞻性、系统性、符合国家和市级层面支持方向的重大项目。</w:t>
      </w:r>
      <w:r>
        <w:rPr>
          <w:rFonts w:cs="仿宋_GB2312"/>
          <w:szCs w:val="32"/>
          <w:u w:val="none"/>
        </w:rPr>
        <w:t>积极争取中央资金、市级固定资产投资及债券资金等国家增量政策资金和财政资金支持，激活民间投资活力，全力保障项目资金需求。夯实城市运行保障，</w:t>
      </w:r>
      <w:r>
        <w:rPr>
          <w:rFonts w:hint="eastAsia" w:cs="仿宋_GB2312"/>
          <w:szCs w:val="32"/>
          <w:u w:val="none"/>
        </w:rPr>
        <w:t>加快温潮减河、轨道交通M101线一期等重大工程建设，提速</w:t>
      </w:r>
      <w:r>
        <w:rPr>
          <w:rFonts w:hint="eastAsia" w:cs="仿宋_GB2312"/>
          <w:color w:val="000000"/>
          <w:szCs w:val="32"/>
          <w:u w:val="none"/>
        </w:rPr>
        <w:t>城市副中心站站城融合项目</w:t>
      </w:r>
      <w:r>
        <w:rPr>
          <w:rFonts w:hint="eastAsia" w:cs="仿宋_GB2312"/>
          <w:szCs w:val="32"/>
          <w:u w:val="none"/>
        </w:rPr>
        <w:t>建设进程，</w:t>
      </w:r>
      <w:r>
        <w:rPr>
          <w:rFonts w:cs="仿宋_GB2312"/>
          <w:szCs w:val="32"/>
          <w:u w:val="none"/>
        </w:rPr>
        <w:t>完工城南水网（台马片区、于永片区）、两河水网（二期）等水利工程，提速城市副中心再生水管网（一期）、碧水再生水厂改扩建进度</w:t>
      </w:r>
      <w:r>
        <w:rPr>
          <w:rFonts w:hint="eastAsia" w:cs="仿宋_GB2312"/>
          <w:szCs w:val="32"/>
          <w:u w:val="none"/>
        </w:rPr>
        <w:t>，</w:t>
      </w:r>
      <w:r>
        <w:rPr>
          <w:rFonts w:cs="仿宋_GB2312"/>
          <w:szCs w:val="32"/>
          <w:u w:val="none"/>
        </w:rPr>
        <w:t>建成西定福庄110千伏输变电工程、环球影城220千伏变电站</w:t>
      </w:r>
      <w:r>
        <w:rPr>
          <w:rFonts w:hint="eastAsia" w:cs="仿宋_GB2312"/>
          <w:szCs w:val="32"/>
          <w:u w:val="none"/>
        </w:rPr>
        <w:t>110千伏送出工程</w:t>
      </w:r>
      <w:r>
        <w:rPr>
          <w:rFonts w:cs="仿宋_GB2312"/>
          <w:szCs w:val="32"/>
          <w:u w:val="none"/>
        </w:rPr>
        <w:t>等电力主网项目，稳步推进新型电力系统建设。</w:t>
      </w:r>
      <w:r>
        <w:rPr>
          <w:rFonts w:hint="eastAsia" w:cs="仿宋_GB2312"/>
          <w:szCs w:val="32"/>
          <w:u w:val="none"/>
        </w:rPr>
        <w:t>持续</w:t>
      </w:r>
      <w:r>
        <w:rPr>
          <w:rFonts w:cs="仿宋_GB2312"/>
          <w:szCs w:val="32"/>
          <w:u w:val="none"/>
        </w:rPr>
        <w:t>优化交通出行环境，</w:t>
      </w:r>
      <w:r>
        <w:rPr>
          <w:rFonts w:hint="eastAsia" w:cs="仿宋_GB2312"/>
          <w:szCs w:val="32"/>
          <w:u w:val="none"/>
        </w:rPr>
        <w:t>加快25个重点路口治理，</w:t>
      </w:r>
      <w:r>
        <w:rPr>
          <w:rFonts w:cs="仿宋_GB2312"/>
          <w:szCs w:val="32"/>
          <w:u w:val="none"/>
        </w:rPr>
        <w:t>抓实学医景商等重点区域交通秩序整治，</w:t>
      </w:r>
      <w:r>
        <w:rPr>
          <w:rFonts w:hint="eastAsia" w:cs="仿宋_GB2312"/>
          <w:szCs w:val="32"/>
          <w:u w:val="none"/>
        </w:rPr>
        <w:t>确保六合桥等疏堵工程完工，力争155范围内“绿波带”全覆盖</w:t>
      </w:r>
      <w:r>
        <w:rPr>
          <w:rFonts w:cs="仿宋_GB2312"/>
          <w:szCs w:val="32"/>
          <w:u w:val="none"/>
        </w:rPr>
        <w:t>，扩大路口信号配时自适应优化范围，</w:t>
      </w:r>
      <w:r>
        <w:rPr>
          <w:rFonts w:hint="eastAsia" w:cs="仿宋_GB2312"/>
          <w:szCs w:val="32"/>
          <w:u w:val="none"/>
        </w:rPr>
        <w:t>加快建设</w:t>
      </w:r>
      <w:r>
        <w:rPr>
          <w:rFonts w:cs="仿宋_GB2312"/>
          <w:szCs w:val="32"/>
          <w:u w:val="none"/>
        </w:rPr>
        <w:t>城市副中心智慧交通二期</w:t>
      </w:r>
      <w:r>
        <w:rPr>
          <w:rFonts w:hint="eastAsia" w:cs="仿宋_GB2312"/>
          <w:szCs w:val="32"/>
          <w:u w:val="none"/>
        </w:rPr>
        <w:t>。</w:t>
      </w:r>
    </w:p>
    <w:p w14:paraId="4933AFC3">
      <w:pPr>
        <w:spacing w:line="600" w:lineRule="exact"/>
        <w:ind w:firstLine="643"/>
        <w:rPr>
          <w:rFonts w:hint="eastAsia" w:cs="仿宋_GB2312"/>
          <w:szCs w:val="32"/>
          <w:u w:val="none"/>
        </w:rPr>
      </w:pPr>
      <w:r>
        <w:rPr>
          <w:rFonts w:hint="eastAsia" w:cs="仿宋_GB2312"/>
          <w:b/>
          <w:bCs/>
          <w:szCs w:val="32"/>
          <w:u w:val="none"/>
        </w:rPr>
        <w:t>加快锻造绿色发展新优势。</w:t>
      </w:r>
      <w:r>
        <w:rPr>
          <w:rFonts w:hint="eastAsia" w:cs="仿宋_GB2312"/>
          <w:szCs w:val="32"/>
          <w:u w:val="none"/>
        </w:rPr>
        <w:t>持续优化水城共融、蓝绿交织的生态环境</w:t>
      </w:r>
      <w:r>
        <w:rPr>
          <w:rFonts w:cs="仿宋_GB2312"/>
          <w:szCs w:val="32"/>
          <w:u w:val="none"/>
        </w:rPr>
        <w:t>，</w:t>
      </w:r>
      <w:r>
        <w:rPr>
          <w:rFonts w:hint="eastAsia" w:cs="仿宋_GB2312"/>
          <w:szCs w:val="32"/>
          <w:u w:val="none"/>
        </w:rPr>
        <w:t>以极致努力推动PM2.5</w:t>
      </w:r>
      <w:r>
        <w:rPr>
          <w:rFonts w:hint="eastAsia" w:cs="仿宋_GB2312"/>
          <w:szCs w:val="32"/>
          <w:u w:val="none"/>
          <w:lang w:eastAsia="zh-CN"/>
        </w:rPr>
        <w:t>浓度持续下降、</w:t>
      </w:r>
      <w:r>
        <w:rPr>
          <w:rFonts w:hint="eastAsia" w:cs="仿宋_GB2312"/>
          <w:szCs w:val="32"/>
          <w:u w:val="none"/>
        </w:rPr>
        <w:t>排名提升进位，</w:t>
      </w:r>
      <w:r>
        <w:rPr>
          <w:rFonts w:cs="仿宋_GB2312"/>
          <w:szCs w:val="32"/>
          <w:u w:val="none"/>
        </w:rPr>
        <w:t>推进水环境综合整治，</w:t>
      </w:r>
      <w:r>
        <w:rPr>
          <w:rFonts w:hint="eastAsia" w:cs="仿宋_GB2312"/>
          <w:szCs w:val="32"/>
          <w:u w:val="none"/>
        </w:rPr>
        <w:t>保持黑臭水体动态清零，开工建设南大沟及萧太后河退水渠综合治理工程，实现</w:t>
      </w:r>
      <w:r>
        <w:rPr>
          <w:rFonts w:cs="仿宋_GB2312"/>
          <w:szCs w:val="32"/>
          <w:u w:val="none"/>
        </w:rPr>
        <w:t>通惠河治理、城市副中心雨污合流管网改造（三期）项目完工</w:t>
      </w:r>
      <w:r>
        <w:rPr>
          <w:rFonts w:hint="eastAsia" w:cs="仿宋_GB2312"/>
          <w:szCs w:val="32"/>
          <w:u w:val="none"/>
        </w:rPr>
        <w:t>，</w:t>
      </w:r>
      <w:r>
        <w:rPr>
          <w:rFonts w:cs="仿宋_GB2312"/>
          <w:szCs w:val="32"/>
          <w:u w:val="none"/>
        </w:rPr>
        <w:t>稳步推进海绵城市建设，实现</w:t>
      </w:r>
      <w:r>
        <w:rPr>
          <w:rFonts w:hint="eastAsia" w:cs="仿宋_GB2312"/>
          <w:szCs w:val="32"/>
          <w:u w:val="none"/>
        </w:rPr>
        <w:t>城市</w:t>
      </w:r>
      <w:r>
        <w:rPr>
          <w:rFonts w:cs="仿宋_GB2312"/>
          <w:szCs w:val="32"/>
          <w:u w:val="none"/>
        </w:rPr>
        <w:t>副中心55%建成区年径流总量控制率不低于80%、年径流污染控制率不低于60%。提速花园城市建设，</w:t>
      </w:r>
      <w:r>
        <w:rPr>
          <w:rFonts w:hint="eastAsia" w:cs="仿宋_GB2312"/>
          <w:szCs w:val="32"/>
          <w:u w:val="none"/>
          <w:lang w:eastAsia="zh-CN"/>
        </w:rPr>
        <w:t>力争</w:t>
      </w:r>
      <w:r>
        <w:rPr>
          <w:rFonts w:hint="eastAsia" w:cs="仿宋_GB2312"/>
          <w:szCs w:val="32"/>
          <w:u w:val="none"/>
        </w:rPr>
        <w:t>六环高线公园</w:t>
      </w:r>
      <w:r>
        <w:rPr>
          <w:rFonts w:hint="eastAsia" w:cs="仿宋_GB2312"/>
          <w:szCs w:val="32"/>
          <w:u w:val="none"/>
          <w:lang w:eastAsia="zh-CN"/>
        </w:rPr>
        <w:t>启动段开园</w:t>
      </w:r>
      <w:r>
        <w:rPr>
          <w:rFonts w:hint="eastAsia" w:cs="仿宋_GB2312"/>
          <w:szCs w:val="32"/>
          <w:u w:val="none"/>
        </w:rPr>
        <w:t>，力促瓮城遗址公园主体结构基本完工，集中打造特色花海，建设24处社区（村）公园，增补3万平方米小微绿地，全面推进无界公园建设，</w:t>
      </w:r>
      <w:r>
        <w:rPr>
          <w:rFonts w:cs="仿宋_GB2312"/>
          <w:szCs w:val="32"/>
          <w:u w:val="none"/>
        </w:rPr>
        <w:t>深化公园绿地活化利用，让绿色空间更好服务市民生活。强化绿色转型引领，</w:t>
      </w:r>
      <w:r>
        <w:rPr>
          <w:rFonts w:hint="eastAsia" w:cs="仿宋_GB2312"/>
          <w:color w:val="000000"/>
          <w:szCs w:val="32"/>
          <w:u w:val="none"/>
        </w:rPr>
        <w:t>加快绿色技术创新服务产业园建设，</w:t>
      </w:r>
      <w:r>
        <w:rPr>
          <w:rFonts w:hint="eastAsia" w:cs="仿宋_GB2312"/>
          <w:szCs w:val="32"/>
          <w:u w:val="none"/>
        </w:rPr>
        <w:t>打造综合性国家级绿色技术交易市场，</w:t>
      </w:r>
      <w:r>
        <w:rPr>
          <w:rFonts w:cs="仿宋_GB2312"/>
          <w:szCs w:val="32"/>
          <w:u w:val="none"/>
        </w:rPr>
        <w:t>推进能源结构向低碳化转型</w:t>
      </w:r>
      <w:r>
        <w:rPr>
          <w:rFonts w:hint="eastAsia" w:cs="仿宋_GB2312"/>
          <w:szCs w:val="32"/>
          <w:u w:val="none"/>
        </w:rPr>
        <w:t>，</w:t>
      </w:r>
      <w:r>
        <w:rPr>
          <w:rFonts w:cs="仿宋_GB2312"/>
          <w:szCs w:val="32"/>
          <w:u w:val="none"/>
        </w:rPr>
        <w:t>支持</w:t>
      </w:r>
      <w:r>
        <w:rPr>
          <w:rFonts w:hint="eastAsia" w:cs="仿宋_GB2312"/>
          <w:szCs w:val="32"/>
          <w:u w:val="none"/>
        </w:rPr>
        <w:t>北京</w:t>
      </w:r>
      <w:r>
        <w:rPr>
          <w:rFonts w:cs="仿宋_GB2312"/>
          <w:szCs w:val="32"/>
          <w:u w:val="none"/>
        </w:rPr>
        <w:t>绿</w:t>
      </w:r>
      <w:r>
        <w:rPr>
          <w:rFonts w:hint="eastAsia" w:cs="仿宋_GB2312"/>
          <w:szCs w:val="32"/>
          <w:u w:val="none"/>
        </w:rPr>
        <w:t>色</w:t>
      </w:r>
      <w:r>
        <w:rPr>
          <w:rFonts w:cs="仿宋_GB2312"/>
          <w:szCs w:val="32"/>
          <w:u w:val="none"/>
        </w:rPr>
        <w:t>交</w:t>
      </w:r>
      <w:r>
        <w:rPr>
          <w:rFonts w:hint="eastAsia" w:cs="仿宋_GB2312"/>
          <w:szCs w:val="32"/>
          <w:u w:val="none"/>
        </w:rPr>
        <w:t>易</w:t>
      </w:r>
      <w:r>
        <w:rPr>
          <w:rFonts w:cs="仿宋_GB2312"/>
          <w:szCs w:val="32"/>
          <w:u w:val="none"/>
        </w:rPr>
        <w:t>所打造面向全球的国家级绿色交易所，推进气候投融资试点建设</w:t>
      </w:r>
      <w:r>
        <w:rPr>
          <w:rFonts w:hint="eastAsia" w:cs="仿宋_GB2312"/>
          <w:szCs w:val="32"/>
          <w:u w:val="none"/>
        </w:rPr>
        <w:t>，</w:t>
      </w:r>
      <w:r>
        <w:rPr>
          <w:rFonts w:cs="仿宋_GB2312"/>
          <w:szCs w:val="32"/>
          <w:u w:val="none"/>
        </w:rPr>
        <w:t>确保北京城市副中心站枢纽中深层地热井下换热供热项目竣工投用，提速碧水再生水厂热泵、北人产业园地源热泵等示范项目建设</w:t>
      </w:r>
      <w:r>
        <w:rPr>
          <w:rFonts w:hint="eastAsia" w:cs="仿宋_GB2312"/>
          <w:szCs w:val="32"/>
          <w:u w:val="none"/>
        </w:rPr>
        <w:t>，用足用好北京绿色发展论坛平台，</w:t>
      </w:r>
      <w:r>
        <w:rPr>
          <w:rFonts w:hint="eastAsia" w:hAnsi="宋体"/>
          <w:bCs/>
          <w:color w:val="000000" w:themeColor="text1"/>
          <w:kern w:val="0"/>
          <w:szCs w:val="32"/>
          <w:u w:val="none"/>
          <w14:textFill>
            <w14:solidFill>
              <w14:schemeClr w14:val="tx1"/>
            </w14:solidFill>
          </w14:textFill>
        </w:rPr>
        <w:t>形成“绿色发展看城市副中心”的国际影响力</w:t>
      </w:r>
      <w:r>
        <w:rPr>
          <w:rFonts w:cs="仿宋_GB2312"/>
          <w:szCs w:val="32"/>
          <w:u w:val="none"/>
        </w:rPr>
        <w:t>。厚植绿色生活理念，深入推进清洁运输试验区</w:t>
      </w:r>
      <w:r>
        <w:rPr>
          <w:rFonts w:hint="eastAsia" w:cs="仿宋_GB2312"/>
          <w:szCs w:val="32"/>
          <w:u w:val="none"/>
        </w:rPr>
        <w:t>、</w:t>
      </w:r>
      <w:r>
        <w:rPr>
          <w:rFonts w:cs="仿宋_GB2312"/>
          <w:szCs w:val="32"/>
          <w:u w:val="none"/>
        </w:rPr>
        <w:t>慢行交通友好型城区</w:t>
      </w:r>
      <w:r>
        <w:rPr>
          <w:rFonts w:hint="eastAsia" w:cs="仿宋_GB2312"/>
          <w:szCs w:val="32"/>
          <w:u w:val="none"/>
        </w:rPr>
        <w:t>建设</w:t>
      </w:r>
      <w:r>
        <w:rPr>
          <w:rFonts w:cs="仿宋_GB2312"/>
          <w:szCs w:val="32"/>
          <w:u w:val="none"/>
        </w:rPr>
        <w:t>，打造市民身边的高品质绿道，加快形成新能源车推广应用范式，引导全社会践行绿色低碳生活方式。</w:t>
      </w:r>
    </w:p>
    <w:p w14:paraId="6F4491D7">
      <w:pPr>
        <w:spacing w:line="600" w:lineRule="exact"/>
        <w:ind w:firstLine="643"/>
        <w:rPr>
          <w:rFonts w:hint="eastAsia" w:cs="仿宋_GB2312"/>
          <w:szCs w:val="32"/>
          <w:u w:val="none"/>
        </w:rPr>
      </w:pPr>
      <w:r>
        <w:rPr>
          <w:rFonts w:hint="eastAsia" w:cs="仿宋_GB2312"/>
          <w:b/>
          <w:bCs/>
          <w:szCs w:val="32"/>
          <w:u w:val="none"/>
        </w:rPr>
        <w:t>加速推进文旅产业成势见效。</w:t>
      </w:r>
      <w:r>
        <w:rPr>
          <w:rFonts w:cs="仿宋_GB2312"/>
          <w:szCs w:val="32"/>
          <w:u w:val="none"/>
        </w:rPr>
        <w:t>打造消费新地标与夜间经济集群，高水平运营</w:t>
      </w:r>
      <w:r>
        <w:rPr>
          <w:rFonts w:hint="eastAsia" w:cs="仿宋_GB2312"/>
          <w:szCs w:val="32"/>
          <w:u w:val="none"/>
          <w:lang w:eastAsia="zh-CN"/>
        </w:rPr>
        <w:t>“</w:t>
      </w:r>
      <w:r>
        <w:rPr>
          <w:rFonts w:hint="eastAsia" w:cs="仿宋_GB2312"/>
          <w:szCs w:val="32"/>
          <w:u w:val="none"/>
        </w:rPr>
        <w:t>湾里</w:t>
      </w:r>
      <w:r>
        <w:rPr>
          <w:rFonts w:hint="eastAsia" w:cs="仿宋_GB2312"/>
          <w:szCs w:val="32"/>
          <w:u w:val="none"/>
          <w:lang w:eastAsia="zh-CN"/>
        </w:rPr>
        <w:t>”</w:t>
      </w:r>
      <w:r>
        <w:rPr>
          <w:rFonts w:hint="eastAsia" w:cs="仿宋_GB2312"/>
          <w:szCs w:val="32"/>
          <w:u w:val="none"/>
        </w:rPr>
        <w:t>商业娱乐综合体</w:t>
      </w:r>
      <w:r>
        <w:rPr>
          <w:rFonts w:cs="仿宋_GB2312"/>
          <w:szCs w:val="32"/>
          <w:u w:val="none"/>
        </w:rPr>
        <w:t>，</w:t>
      </w:r>
      <w:r>
        <w:rPr>
          <w:rFonts w:hint="eastAsia" w:cs="仿宋_GB2312"/>
          <w:szCs w:val="32"/>
          <w:u w:val="none"/>
        </w:rPr>
        <w:t>实现</w:t>
      </w:r>
      <w:r>
        <w:rPr>
          <w:rFonts w:cs="仿宋_GB2312"/>
          <w:szCs w:val="32"/>
          <w:u w:val="none"/>
        </w:rPr>
        <w:t>顶点公园建成开放</w:t>
      </w:r>
      <w:r>
        <w:rPr>
          <w:rFonts w:hint="eastAsia" w:cs="仿宋_GB2312"/>
          <w:szCs w:val="32"/>
          <w:u w:val="none"/>
        </w:rPr>
        <w:t>，加快推进环球度假区后续项目、</w:t>
      </w:r>
      <w:r>
        <w:rPr>
          <w:rFonts w:cs="仿宋_GB2312"/>
          <w:szCs w:val="32"/>
          <w:u w:val="none"/>
        </w:rPr>
        <w:t>海昌海洋公园</w:t>
      </w:r>
      <w:r>
        <w:rPr>
          <w:rFonts w:hint="eastAsia" w:cs="仿宋_GB2312"/>
          <w:szCs w:val="32"/>
          <w:u w:val="none"/>
        </w:rPr>
        <w:t>建设，</w:t>
      </w:r>
      <w:r>
        <w:rPr>
          <w:rFonts w:cs="仿宋_GB2312"/>
          <w:szCs w:val="32"/>
          <w:u w:val="none"/>
        </w:rPr>
        <w:t>培育一批夜间消费热点区域，构建“夜游+夜娱+夜购”</w:t>
      </w:r>
      <w:r>
        <w:rPr>
          <w:rFonts w:hint="eastAsia" w:cs="仿宋_GB2312"/>
          <w:szCs w:val="32"/>
          <w:u w:val="none"/>
        </w:rPr>
        <w:t>立</w:t>
      </w:r>
      <w:r>
        <w:rPr>
          <w:rFonts w:cs="仿宋_GB2312"/>
          <w:szCs w:val="32"/>
          <w:u w:val="none"/>
        </w:rPr>
        <w:t>体化夜间消费场景</w:t>
      </w:r>
      <w:r>
        <w:rPr>
          <w:rFonts w:hint="eastAsia" w:cs="仿宋_GB2312"/>
          <w:szCs w:val="32"/>
          <w:u w:val="none"/>
        </w:rPr>
        <w:t>。</w:t>
      </w:r>
      <w:r>
        <w:rPr>
          <w:rFonts w:cs="仿宋_GB2312"/>
          <w:szCs w:val="32"/>
          <w:u w:val="none"/>
        </w:rPr>
        <w:t>做深“票根经济”“赛</w:t>
      </w:r>
      <w:r>
        <w:rPr>
          <w:rFonts w:hint="eastAsia" w:cs="仿宋_GB2312"/>
          <w:szCs w:val="32"/>
          <w:u w:val="none"/>
        </w:rPr>
        <w:t>事</w:t>
      </w:r>
      <w:r>
        <w:rPr>
          <w:rFonts w:cs="仿宋_GB2312"/>
          <w:szCs w:val="32"/>
          <w:u w:val="none"/>
        </w:rPr>
        <w:t>经济”，</w:t>
      </w:r>
      <w:r>
        <w:rPr>
          <w:rFonts w:hint="eastAsia" w:cs="仿宋_GB2312"/>
          <w:szCs w:val="32"/>
          <w:u w:val="none"/>
        </w:rPr>
        <w:t>丰富</w:t>
      </w:r>
      <w:r>
        <w:rPr>
          <w:rFonts w:cs="仿宋_GB2312"/>
          <w:szCs w:val="32"/>
          <w:u w:val="none"/>
        </w:rPr>
        <w:t>发展宠物消费、银发经济、首店经济等新兴消费业态，激活消费增长新动能。</w:t>
      </w:r>
      <w:r>
        <w:rPr>
          <w:rFonts w:hint="eastAsia" w:cs="仿宋_GB2312"/>
          <w:szCs w:val="32"/>
          <w:u w:val="none"/>
        </w:rPr>
        <w:t>加大</w:t>
      </w:r>
      <w:r>
        <w:rPr>
          <w:rFonts w:cs="仿宋_GB2312"/>
          <w:szCs w:val="32"/>
          <w:u w:val="none"/>
        </w:rPr>
        <w:t>文化演艺与体育赛事供给，</w:t>
      </w:r>
      <w:r>
        <w:rPr>
          <w:rFonts w:hint="eastAsia" w:cs="仿宋_GB2312"/>
          <w:szCs w:val="32"/>
          <w:u w:val="none"/>
        </w:rPr>
        <w:t>精心打造“运上行”水景演艺品牌</w:t>
      </w:r>
      <w:r>
        <w:rPr>
          <w:rFonts w:cs="仿宋_GB2312"/>
          <w:szCs w:val="32"/>
          <w:u w:val="none"/>
        </w:rPr>
        <w:t>，培育一批特色鲜明、内容优质的演艺新空间，</w:t>
      </w:r>
      <w:r>
        <w:rPr>
          <w:rFonts w:hint="eastAsia" w:cs="仿宋_GB2312"/>
          <w:szCs w:val="32"/>
          <w:u w:val="none"/>
        </w:rPr>
        <w:t>持续办好“运河有戏”、大运河音乐节、龙舟等活动和赛事。</w:t>
      </w:r>
      <w:r>
        <w:rPr>
          <w:rFonts w:cs="仿宋_GB2312"/>
          <w:szCs w:val="32"/>
          <w:u w:val="none"/>
        </w:rPr>
        <w:t>激活水岸经济发展新动能，</w:t>
      </w:r>
      <w:r>
        <w:rPr>
          <w:rFonts w:hint="eastAsia" w:cs="仿宋_GB2312"/>
          <w:szCs w:val="32"/>
          <w:u w:val="none"/>
        </w:rPr>
        <w:t>高标准运营运河西岸滨水空间，整体提升源头岛，加快实施大运河水岸空间和通惠河滨水空间提升项目，完成大运河两岸彩化亮化和绿道提升工程，配套</w:t>
      </w:r>
      <w:r>
        <w:rPr>
          <w:rFonts w:cs="仿宋_GB2312"/>
          <w:szCs w:val="32"/>
          <w:u w:val="none"/>
        </w:rPr>
        <w:t>建设亲水平台、临水休闲草坪、滨水步道</w:t>
      </w:r>
      <w:r>
        <w:rPr>
          <w:rFonts w:hint="eastAsia" w:cs="仿宋_GB2312"/>
          <w:szCs w:val="32"/>
          <w:u w:val="none"/>
        </w:rPr>
        <w:t>等</w:t>
      </w:r>
      <w:r>
        <w:rPr>
          <w:rFonts w:cs="仿宋_GB2312"/>
          <w:szCs w:val="32"/>
          <w:u w:val="none"/>
        </w:rPr>
        <w:t>设施</w:t>
      </w:r>
      <w:r>
        <w:rPr>
          <w:rFonts w:hint="eastAsia" w:cs="仿宋_GB2312"/>
          <w:szCs w:val="32"/>
          <w:u w:val="none"/>
        </w:rPr>
        <w:t>，</w:t>
      </w:r>
      <w:r>
        <w:rPr>
          <w:rFonts w:cs="仿宋_GB2312"/>
          <w:szCs w:val="32"/>
          <w:u w:val="none"/>
        </w:rPr>
        <w:t>丰富游船餐厅、水上</w:t>
      </w:r>
      <w:r>
        <w:rPr>
          <w:rFonts w:hint="eastAsia" w:cs="仿宋_GB2312"/>
          <w:szCs w:val="32"/>
          <w:u w:val="none"/>
        </w:rPr>
        <w:t>实景</w:t>
      </w:r>
      <w:r>
        <w:rPr>
          <w:rFonts w:cs="仿宋_GB2312"/>
          <w:szCs w:val="32"/>
          <w:u w:val="none"/>
        </w:rPr>
        <w:t>演艺等滨水业态，让运河水岸成为展示城市魅力的核心窗口。</w:t>
      </w:r>
    </w:p>
    <w:p w14:paraId="029B20ED">
      <w:pPr>
        <w:spacing w:line="600" w:lineRule="exact"/>
        <w:ind w:firstLine="643"/>
        <w:rPr>
          <w:rFonts w:hint="eastAsia" w:cs="仿宋_GB2312"/>
          <w:szCs w:val="32"/>
          <w:u w:val="none"/>
        </w:rPr>
      </w:pPr>
      <w:r>
        <w:rPr>
          <w:rFonts w:hint="eastAsia" w:cs="仿宋_GB2312"/>
          <w:b/>
          <w:bCs/>
          <w:szCs w:val="32"/>
          <w:u w:val="none"/>
        </w:rPr>
        <w:t>全力赋能治理效能新提升。</w:t>
      </w:r>
      <w:r>
        <w:rPr>
          <w:rFonts w:hint="eastAsia"/>
          <w:szCs w:val="32"/>
          <w:u w:val="none"/>
        </w:rPr>
        <w:t>筑牢基层治理根基</w:t>
      </w:r>
      <w:r>
        <w:rPr>
          <w:rFonts w:hint="eastAsia" w:cs="仿宋_GB2312"/>
          <w:szCs w:val="32"/>
          <w:u w:val="none"/>
        </w:rPr>
        <w:t>，</w:t>
      </w:r>
      <w:r>
        <w:rPr>
          <w:rFonts w:cs="仿宋_GB2312"/>
          <w:szCs w:val="32"/>
          <w:u w:val="none"/>
        </w:rPr>
        <w:t>深化“副中心有我”治理品牌建设，稳步推进</w:t>
      </w:r>
      <w:r>
        <w:rPr>
          <w:rFonts w:hint="eastAsia" w:cs="仿宋_GB2312"/>
          <w:szCs w:val="32"/>
          <w:u w:val="none"/>
        </w:rPr>
        <w:t>9个村庄</w:t>
      </w:r>
      <w:r>
        <w:rPr>
          <w:rFonts w:cs="仿宋_GB2312"/>
          <w:szCs w:val="32"/>
          <w:u w:val="none"/>
        </w:rPr>
        <w:t>撤村建居工作，实现“楼门长制”全域覆盖，配齐建强社区工作者队伍，健全基层治理应急响应机制，着力打通服务群众“最后一公里”；充分发挥“社区议事协商会”“居民恳谈会”等平台作用，提炼推广一批可复制、可借鉴的基层治理优秀案例，推动基层治理品牌提质增效。</w:t>
      </w:r>
      <w:r>
        <w:rPr>
          <w:rFonts w:hint="eastAsia" w:cs="仿宋_GB2312"/>
          <w:szCs w:val="32"/>
          <w:u w:val="none"/>
        </w:rPr>
        <w:t>强化主动治理，</w:t>
      </w:r>
      <w:r>
        <w:rPr>
          <w:rFonts w:cs="仿宋_GB2312"/>
          <w:szCs w:val="32"/>
          <w:u w:val="none"/>
        </w:rPr>
        <w:t>坚持“关键在办、核心在解”</w:t>
      </w:r>
      <w:r>
        <w:rPr>
          <w:rFonts w:hint="eastAsia" w:cs="仿宋_GB2312"/>
          <w:szCs w:val="32"/>
          <w:u w:val="none"/>
        </w:rPr>
        <w:t>，</w:t>
      </w:r>
      <w:r>
        <w:rPr>
          <w:rFonts w:cs="仿宋_GB2312"/>
          <w:szCs w:val="32"/>
          <w:u w:val="none"/>
        </w:rPr>
        <w:t>优化诉求分类处置、督办反馈机制，持续提高群众诉求解决率、满意率</w:t>
      </w:r>
      <w:r>
        <w:rPr>
          <w:rFonts w:hint="eastAsia" w:cs="仿宋_GB2312"/>
          <w:szCs w:val="32"/>
          <w:u w:val="none"/>
        </w:rPr>
        <w:t>，落实好“每月一题”，滚动实施100项小微项目惠民生工程</w:t>
      </w:r>
      <w:r>
        <w:rPr>
          <w:rFonts w:cs="仿宋_GB2312"/>
          <w:szCs w:val="32"/>
          <w:u w:val="none"/>
        </w:rPr>
        <w:t>。深化市容环境精细化整治，</w:t>
      </w:r>
      <w:r>
        <w:rPr>
          <w:rFonts w:hint="eastAsia" w:cs="仿宋_GB2312"/>
          <w:szCs w:val="32"/>
          <w:u w:val="none"/>
        </w:rPr>
        <w:t>高标准推进疏解整治促提升，</w:t>
      </w:r>
      <w:r>
        <w:rPr>
          <w:rFonts w:cs="仿宋_GB2312"/>
          <w:szCs w:val="32"/>
          <w:u w:val="none"/>
        </w:rPr>
        <w:t>持续开展环境治理系列专项行动，精细化改造提升城市家具，严格落实护栏、围挡“应撤尽撤”要求，规范新设审批管理；深入推进开墙透绿</w:t>
      </w:r>
      <w:r>
        <w:rPr>
          <w:rFonts w:hint="eastAsia" w:cs="仿宋_GB2312"/>
          <w:szCs w:val="32"/>
          <w:u w:val="none"/>
        </w:rPr>
        <w:t>、隔声屏障拆除改造，推动架空线入地与城市更新、背街小巷整治有机融合。深入实施公共艺术扮靓城市专项行动，</w:t>
      </w:r>
      <w:r>
        <w:rPr>
          <w:rFonts w:cs="仿宋_GB2312"/>
          <w:szCs w:val="32"/>
          <w:u w:val="none"/>
        </w:rPr>
        <w:t>接续实施“金角银边”精雕细琢行动，全力打造干净整洁、有序美观的城市环境。</w:t>
      </w:r>
    </w:p>
    <w:p w14:paraId="60F3283A">
      <w:pPr>
        <w:spacing w:line="600" w:lineRule="exact"/>
        <w:ind w:firstLine="640"/>
        <w:outlineLvl w:val="1"/>
        <w:rPr>
          <w:rFonts w:hint="eastAsia"/>
          <w:szCs w:val="32"/>
          <w:u w:val="none"/>
        </w:rPr>
      </w:pPr>
      <w:r>
        <w:rPr>
          <w:rFonts w:hint="eastAsia" w:ascii="楷体_GB2312" w:hAnsi="楷体_GB2312" w:eastAsia="楷体_GB2312" w:cs="楷体_GB2312"/>
          <w:szCs w:val="32"/>
          <w:u w:val="none"/>
        </w:rPr>
        <w:t>（四）紧扣“惠民生”，加快提升保障质效，着力推动发展成果更多惠及人民群众</w:t>
      </w:r>
    </w:p>
    <w:p w14:paraId="29F69F92">
      <w:pPr>
        <w:spacing w:line="600" w:lineRule="exact"/>
        <w:ind w:firstLine="643"/>
        <w:rPr>
          <w:rFonts w:hint="eastAsia"/>
          <w:szCs w:val="32"/>
          <w:u w:val="none"/>
        </w:rPr>
      </w:pPr>
      <w:r>
        <w:rPr>
          <w:rFonts w:hint="eastAsia"/>
          <w:b/>
          <w:bCs/>
          <w:szCs w:val="32"/>
          <w:u w:val="none"/>
        </w:rPr>
        <w:t>进一步做优公共服务</w:t>
      </w:r>
      <w:r>
        <w:rPr>
          <w:rFonts w:hint="eastAsia"/>
          <w:szCs w:val="32"/>
          <w:u w:val="none"/>
        </w:rPr>
        <w:t>。全力提升“七有”“五性”水平，保优势、补短板、促提升，力争全市前列。加快建设教育强区，</w:t>
      </w:r>
      <w:r>
        <w:rPr>
          <w:rFonts w:hint="eastAsia" w:hAnsi="微软雅黑" w:cs="微软雅黑"/>
          <w:szCs w:val="32"/>
          <w:u w:val="none"/>
        </w:rPr>
        <w:t>健全与人口变化相适应的学位资源统筹调配机制，</w:t>
      </w:r>
      <w:r>
        <w:rPr>
          <w:rFonts w:hint="eastAsia"/>
          <w:szCs w:val="32"/>
          <w:u w:val="none"/>
        </w:rPr>
        <w:t>新增基础教育学位6500个，扩增公办学前学位720个，</w:t>
      </w:r>
      <w:r>
        <w:rPr>
          <w:rFonts w:hint="eastAsia" w:cs="仿宋_GB2312"/>
          <w:color w:val="000000"/>
          <w:szCs w:val="32"/>
          <w:u w:val="none"/>
        </w:rPr>
        <w:t>增加普惠托位300个，</w:t>
      </w:r>
      <w:r>
        <w:rPr>
          <w:rFonts w:hint="eastAsia"/>
          <w:szCs w:val="32"/>
          <w:u w:val="none"/>
        </w:rPr>
        <w:t>确保2所幼儿园开园，实现校级教联体100%全覆盖，全力保障北京舞蹈学院通州校区落地发展。进一步优化医疗服务体系，保障市疾控中心、卫生职业学院完成搬迁，力争首儿所通州院区</w:t>
      </w:r>
      <w:r>
        <w:rPr>
          <w:rFonts w:hint="eastAsia"/>
          <w:szCs w:val="32"/>
          <w:u w:val="none"/>
          <w:lang w:eastAsia="zh-CN"/>
        </w:rPr>
        <w:t>完</w:t>
      </w:r>
      <w:r>
        <w:rPr>
          <w:rFonts w:hint="eastAsia"/>
          <w:szCs w:val="32"/>
          <w:u w:val="none"/>
        </w:rPr>
        <w:t>工，加快市急救中心迁建项目建设，推进东直门、北大人民医院2个国家医学中心手续办理，持续推进区域综合医联体及三级联动儿科诊疗服务体系建设，不断提升基层医疗卫生服务能力。持续提高养老服务质效，引导养老机构专业化、品质化发展，推进区级养老服务指导中心建设，新建10家养老服务驿站和2家区域养老服务中心，持续健全以居家养老为基础、社区养老为依托、机构养老为支撑的三级养老服务网络，持续丰富医养结合服务内涵，实现养老服务机构“五床联动”和代开药白名单政策全覆盖，强化养老服务人才建设，培养一批具有专业护理能力的高素质养老人才队伍。</w:t>
      </w:r>
      <w:r>
        <w:rPr>
          <w:szCs w:val="32"/>
          <w:u w:val="none"/>
        </w:rPr>
        <w:t>增强公共文化服务供给，</w:t>
      </w:r>
      <w:r>
        <w:rPr>
          <w:rFonts w:hint="eastAsia"/>
          <w:szCs w:val="32"/>
          <w:u w:val="none"/>
        </w:rPr>
        <w:t>加快</w:t>
      </w:r>
      <w:r>
        <w:rPr>
          <w:rFonts w:hint="eastAsia" w:cs="仿宋_GB2312"/>
          <w:szCs w:val="32"/>
          <w:u w:val="none"/>
        </w:rPr>
        <w:t>建设北京艺术博物馆，</w:t>
      </w:r>
      <w:r>
        <w:rPr>
          <w:szCs w:val="32"/>
          <w:u w:val="none"/>
        </w:rPr>
        <w:t>持续推进24小时智能文化空间及图书馆分馆建设，实现新建社区及拆迁村综合文化室全覆盖。扩大便民服务网络，</w:t>
      </w:r>
      <w:r>
        <w:rPr>
          <w:rFonts w:hint="eastAsia"/>
          <w:szCs w:val="32"/>
          <w:u w:val="none"/>
        </w:rPr>
        <w:t>持续巩固</w:t>
      </w:r>
      <w:r>
        <w:rPr>
          <w:szCs w:val="32"/>
          <w:u w:val="none"/>
        </w:rPr>
        <w:t>一刻钟便民生活圈</w:t>
      </w:r>
      <w:r>
        <w:rPr>
          <w:rFonts w:hint="eastAsia"/>
          <w:szCs w:val="32"/>
          <w:u w:val="none"/>
        </w:rPr>
        <w:t>现有成果</w:t>
      </w:r>
      <w:r>
        <w:rPr>
          <w:szCs w:val="32"/>
          <w:u w:val="none"/>
        </w:rPr>
        <w:t>，</w:t>
      </w:r>
      <w:r>
        <w:rPr>
          <w:rFonts w:hint="eastAsia"/>
          <w:szCs w:val="32"/>
          <w:u w:val="none"/>
        </w:rPr>
        <w:t>加快推进7个家园中心建设，完成北苑家园中心主体结构施工，</w:t>
      </w:r>
      <w:r>
        <w:rPr>
          <w:szCs w:val="32"/>
          <w:u w:val="none"/>
        </w:rPr>
        <w:t>让群众生活更便捷、更舒心。</w:t>
      </w:r>
    </w:p>
    <w:p w14:paraId="0C30E5DC">
      <w:pPr>
        <w:spacing w:line="600" w:lineRule="exact"/>
        <w:ind w:firstLine="643"/>
        <w:rPr>
          <w:rFonts w:hint="eastAsia"/>
          <w:szCs w:val="32"/>
          <w:u w:val="none"/>
        </w:rPr>
      </w:pPr>
      <w:r>
        <w:rPr>
          <w:rFonts w:hint="eastAsia" w:cs="仿宋_GB2312"/>
          <w:b/>
          <w:bCs/>
          <w:szCs w:val="32"/>
          <w:u w:val="none"/>
        </w:rPr>
        <w:t>进一步织密民生保障网</w:t>
      </w:r>
      <w:r>
        <w:rPr>
          <w:rFonts w:hint="eastAsia"/>
          <w:szCs w:val="32"/>
          <w:u w:val="none"/>
        </w:rPr>
        <w:t>。</w:t>
      </w:r>
      <w:r>
        <w:rPr>
          <w:szCs w:val="32"/>
          <w:u w:val="none"/>
        </w:rPr>
        <w:t>多措并举稳定和扩大就业，健全区、街镇、社区（村）三级就业服务体系，优化就业服务站点布局，全年促进城乡劳动力就业1.5万人以上，开展就业服务专项活动300场以上，实现就业困难人员帮扶全覆盖、离校未就业毕业生帮扶就业</w:t>
      </w:r>
      <w:r>
        <w:rPr>
          <w:rFonts w:hint="eastAsia"/>
          <w:szCs w:val="32"/>
          <w:u w:val="none"/>
        </w:rPr>
        <w:t>率</w:t>
      </w:r>
      <w:r>
        <w:rPr>
          <w:szCs w:val="32"/>
          <w:u w:val="none"/>
        </w:rPr>
        <w:t>90%以上。持续强化社会保障能力，</w:t>
      </w:r>
      <w:r>
        <w:rPr>
          <w:rFonts w:hint="eastAsia"/>
          <w:szCs w:val="32"/>
          <w:u w:val="none"/>
        </w:rPr>
        <w:t>推进灵活就业人员、农民工、新就业形态人员等重点群体参保扩面。</w:t>
      </w:r>
      <w:r>
        <w:rPr>
          <w:szCs w:val="32"/>
          <w:u w:val="none"/>
        </w:rPr>
        <w:t>筑牢基本民生保障底线，深化“救助管家”三级联动服务模式，全年开展个案服务200例以上，实施服务类救助不低</w:t>
      </w:r>
      <w:r>
        <w:rPr>
          <w:rFonts w:hint="eastAsia"/>
          <w:szCs w:val="32"/>
          <w:u w:val="none"/>
        </w:rPr>
        <w:t>于</w:t>
      </w:r>
      <w:r>
        <w:rPr>
          <w:szCs w:val="32"/>
          <w:u w:val="none"/>
        </w:rPr>
        <w:t>600人次</w:t>
      </w:r>
      <w:r>
        <w:rPr>
          <w:rFonts w:hint="eastAsia"/>
          <w:szCs w:val="32"/>
          <w:u w:val="none"/>
        </w:rPr>
        <w:t>，</w:t>
      </w:r>
      <w:r>
        <w:rPr>
          <w:szCs w:val="32"/>
          <w:u w:val="none"/>
        </w:rPr>
        <w:t>完成400户残疾人家庭无障碍改造，切实保障特殊群体权益。优化住房保障</w:t>
      </w:r>
      <w:r>
        <w:rPr>
          <w:rFonts w:hint="eastAsia"/>
          <w:szCs w:val="32"/>
          <w:u w:val="none"/>
        </w:rPr>
        <w:t>体系</w:t>
      </w:r>
      <w:r>
        <w:rPr>
          <w:szCs w:val="32"/>
          <w:u w:val="none"/>
        </w:rPr>
        <w:t>，</w:t>
      </w:r>
      <w:r>
        <w:rPr>
          <w:rFonts w:hint="eastAsia"/>
          <w:szCs w:val="32"/>
          <w:u w:val="none"/>
        </w:rPr>
        <w:t>推进大庞村等6个集租房项目建设，竣工保障性住房2500套，建设更多人民满意的好房子、好社区</w:t>
      </w:r>
      <w:r>
        <w:rPr>
          <w:szCs w:val="32"/>
          <w:u w:val="none"/>
        </w:rPr>
        <w:t>。深入推进城市更新，</w:t>
      </w:r>
      <w:r>
        <w:rPr>
          <w:rFonts w:hint="eastAsia"/>
          <w:szCs w:val="32"/>
          <w:u w:val="none"/>
        </w:rPr>
        <w:t>持续推进老旧小区改造工作</w:t>
      </w:r>
      <w:r>
        <w:rPr>
          <w:szCs w:val="32"/>
          <w:u w:val="none"/>
        </w:rPr>
        <w:t>，</w:t>
      </w:r>
      <w:r>
        <w:rPr>
          <w:rFonts w:hint="eastAsia"/>
          <w:szCs w:val="32"/>
          <w:u w:val="none"/>
        </w:rPr>
        <w:t>更新老旧电梯100部以上，完成10个小区市政管线改造，</w:t>
      </w:r>
      <w:r>
        <w:rPr>
          <w:szCs w:val="32"/>
          <w:u w:val="none"/>
        </w:rPr>
        <w:t>推动</w:t>
      </w:r>
      <w:r>
        <w:rPr>
          <w:rFonts w:hint="eastAsia"/>
          <w:szCs w:val="32"/>
          <w:u w:val="none"/>
        </w:rPr>
        <w:t>红旗机械厂</w:t>
      </w:r>
      <w:r>
        <w:rPr>
          <w:szCs w:val="32"/>
          <w:u w:val="none"/>
        </w:rPr>
        <w:t>、北光厂等产业园区“腾笼换鸟”。</w:t>
      </w:r>
    </w:p>
    <w:p w14:paraId="764E682F">
      <w:pPr>
        <w:spacing w:line="600" w:lineRule="exact"/>
        <w:ind w:firstLine="643"/>
        <w:rPr>
          <w:rFonts w:hint="eastAsia"/>
          <w:szCs w:val="32"/>
          <w:u w:val="none"/>
        </w:rPr>
      </w:pPr>
      <w:r>
        <w:rPr>
          <w:rFonts w:hint="eastAsia"/>
          <w:b/>
          <w:bCs/>
          <w:szCs w:val="32"/>
          <w:u w:val="none"/>
        </w:rPr>
        <w:t>进一步守牢安全发展防线</w:t>
      </w:r>
      <w:r>
        <w:rPr>
          <w:rFonts w:hint="eastAsia"/>
          <w:szCs w:val="32"/>
          <w:u w:val="none"/>
        </w:rPr>
        <w:t>。深化气候适应型城市建设。提升防灾减灾水平，增强应急救援、全灾种保障和风险监测预警能力，</w:t>
      </w:r>
      <w:r>
        <w:rPr>
          <w:szCs w:val="32"/>
          <w:u w:val="none"/>
        </w:rPr>
        <w:t>完成区应急指挥调度救援平台（融合通信）建设，</w:t>
      </w:r>
      <w:r>
        <w:rPr>
          <w:rFonts w:hint="eastAsia"/>
          <w:szCs w:val="32"/>
          <w:u w:val="none"/>
        </w:rPr>
        <w:t>加快</w:t>
      </w:r>
      <w:r>
        <w:rPr>
          <w:szCs w:val="32"/>
          <w:u w:val="none"/>
        </w:rPr>
        <w:t>应急避难场所规范化建设和应急救援队伍专业化打造。深化安全生产治本攻坚，</w:t>
      </w:r>
      <w:r>
        <w:rPr>
          <w:rFonts w:hint="eastAsia"/>
          <w:szCs w:val="32"/>
          <w:u w:val="none"/>
        </w:rPr>
        <w:t>开展</w:t>
      </w:r>
      <w:r>
        <w:rPr>
          <w:szCs w:val="32"/>
          <w:u w:val="none"/>
        </w:rPr>
        <w:t>建筑施工、道路运输等重点行业专项整治，坚决遏制重特大事故、压减一般事故。</w:t>
      </w:r>
      <w:r>
        <w:rPr>
          <w:rFonts w:hint="eastAsia"/>
          <w:szCs w:val="32"/>
          <w:u w:val="none"/>
        </w:rPr>
        <w:t>强化民生领域安全保障，持续完善生活必需品与粮食供应保障，确保“菜篮子”“粮袋子”供应稳定、价格平稳，严守食品药品安全红线，</w:t>
      </w:r>
      <w:r>
        <w:rPr>
          <w:szCs w:val="32"/>
          <w:u w:val="none"/>
        </w:rPr>
        <w:t>将“四个最严”要求贯穿食品安全全链条监管，持续强化“校园餐</w:t>
      </w:r>
      <w:r>
        <w:rPr>
          <w:rFonts w:hint="eastAsia"/>
          <w:szCs w:val="32"/>
          <w:u w:val="none"/>
        </w:rPr>
        <w:t>”</w:t>
      </w:r>
      <w:r>
        <w:rPr>
          <w:szCs w:val="32"/>
          <w:u w:val="none"/>
        </w:rPr>
        <w:t>安全监管，常态化开展药品、医疗器械经营监督检查，不断提升食药监管专业化、精细化水平。</w:t>
      </w:r>
      <w:r>
        <w:rPr>
          <w:rFonts w:hint="eastAsia" w:ascii="Times New Roman" w:hAnsi="Times New Roman"/>
          <w:szCs w:val="32"/>
          <w:u w:val="none"/>
        </w:rPr>
        <w:t>持续完善国防动员体制机制，</w:t>
      </w:r>
      <w:r>
        <w:rPr>
          <w:rFonts w:hint="eastAsia" w:hAnsi="黑体"/>
          <w:szCs w:val="32"/>
          <w:u w:val="none"/>
        </w:rPr>
        <w:t>着力化解各类矛盾风险，</w:t>
      </w:r>
      <w:r>
        <w:rPr>
          <w:szCs w:val="32"/>
          <w:u w:val="none"/>
        </w:rPr>
        <w:t>加快建设社会矛盾风险预警监测体系，畅通群众信访渠道，完善“通通有解”多元解纷机制，实现矛盾纠纷全量排查、分级分类化解，</w:t>
      </w:r>
      <w:r>
        <w:rPr>
          <w:rFonts w:hint="eastAsia"/>
          <w:szCs w:val="32"/>
          <w:u w:val="none"/>
        </w:rPr>
        <w:t>守牢意识形态主阵地，</w:t>
      </w:r>
      <w:r>
        <w:rPr>
          <w:szCs w:val="32"/>
          <w:u w:val="none"/>
        </w:rPr>
        <w:t>切实维护社会大局和谐稳定。</w:t>
      </w:r>
    </w:p>
    <w:p w14:paraId="330BCED2">
      <w:pPr>
        <w:spacing w:line="600" w:lineRule="exact"/>
        <w:ind w:firstLine="640"/>
        <w:rPr>
          <w:rFonts w:hint="eastAsia"/>
          <w:szCs w:val="32"/>
          <w:u w:val="none"/>
        </w:rPr>
      </w:pPr>
      <w:r>
        <w:rPr>
          <w:rFonts w:hint="eastAsia"/>
          <w:szCs w:val="32"/>
          <w:u w:val="none"/>
        </w:rPr>
        <w:t>各位代表，风劲帆满图新志，砥砺奋进正当时。</w:t>
      </w:r>
      <w:r>
        <w:rPr>
          <w:szCs w:val="32"/>
          <w:u w:val="none"/>
        </w:rPr>
        <w:t>我们将</w:t>
      </w:r>
      <w:r>
        <w:rPr>
          <w:rFonts w:hint="eastAsia"/>
          <w:szCs w:val="32"/>
          <w:u w:val="none"/>
        </w:rPr>
        <w:t>在市委市政府、城市副中心党工委管委会和区委的坚强领导下，在区人大的监督与支持下，</w:t>
      </w:r>
      <w:r>
        <w:rPr>
          <w:szCs w:val="32"/>
          <w:u w:val="none"/>
        </w:rPr>
        <w:t>永葆“闯”的精神、“创”的劲头、“干”的作风，以时不我待的紧迫感、舍我其谁的责任感、攻坚克难的使命感，昂扬斗志、笃行实干、善作善成</w:t>
      </w:r>
      <w:r>
        <w:rPr>
          <w:rFonts w:hint="eastAsia"/>
          <w:szCs w:val="32"/>
          <w:u w:val="none"/>
        </w:rPr>
        <w:t>，</w:t>
      </w:r>
      <w:r>
        <w:rPr>
          <w:szCs w:val="32"/>
          <w:u w:val="none"/>
        </w:rPr>
        <w:t>加速推进城市内涵式、高质量发展，</w:t>
      </w:r>
      <w:r>
        <w:rPr>
          <w:rFonts w:hint="eastAsia"/>
          <w:szCs w:val="32"/>
          <w:u w:val="none"/>
        </w:rPr>
        <w:t>为“十五五”发展开好局、起好步筑牢坚实基础，</w:t>
      </w:r>
      <w:r>
        <w:rPr>
          <w:szCs w:val="32"/>
          <w:u w:val="none"/>
        </w:rPr>
        <w:t>向中国式现代化城市发展样板方向迈出更加坚实的步伐，为服务首都“四个中心”功能建设、推动京津冀协同发展作出新的更大贡献！</w:t>
      </w:r>
      <w:bookmarkStart w:id="5" w:name="_GoBack"/>
      <w:bookmarkEnd w:id="5"/>
    </w:p>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F136">
    <w:pPr>
      <w:pStyle w:val="3"/>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4CF16">
                          <w:pPr>
                            <w:pStyle w:val="3"/>
                            <w:ind w:firstLine="0" w:firstLineChars="0"/>
                            <w:rPr>
                              <w:rFonts w:hint="eastAsi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554CF16">
                    <w:pPr>
                      <w:pStyle w:val="3"/>
                      <w:ind w:firstLine="0" w:firstLineChars="0"/>
                      <w:rPr>
                        <w:rFonts w:hint="eastAsi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D8CA8">
    <w:pPr>
      <w:pStyle w:val="4"/>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B265D9"/>
    <w:rsid w:val="000C44D3"/>
    <w:rsid w:val="005A3C26"/>
    <w:rsid w:val="00A36D49"/>
    <w:rsid w:val="00C324B5"/>
    <w:rsid w:val="00D33AFE"/>
    <w:rsid w:val="00DB7664"/>
    <w:rsid w:val="0334127D"/>
    <w:rsid w:val="07DE24CD"/>
    <w:rsid w:val="08CE0793"/>
    <w:rsid w:val="08EB6C4F"/>
    <w:rsid w:val="0A6C0264"/>
    <w:rsid w:val="0D0F320D"/>
    <w:rsid w:val="12180271"/>
    <w:rsid w:val="17214184"/>
    <w:rsid w:val="1A0C2EC9"/>
    <w:rsid w:val="1B650AE3"/>
    <w:rsid w:val="1CC27A79"/>
    <w:rsid w:val="1FFB7C68"/>
    <w:rsid w:val="29B80978"/>
    <w:rsid w:val="2E4457CB"/>
    <w:rsid w:val="310B66D2"/>
    <w:rsid w:val="364E5BF7"/>
    <w:rsid w:val="3E3913D7"/>
    <w:rsid w:val="3FC56D3B"/>
    <w:rsid w:val="42154762"/>
    <w:rsid w:val="425A69D1"/>
    <w:rsid w:val="42F87FA9"/>
    <w:rsid w:val="435E3EE6"/>
    <w:rsid w:val="43DF5027"/>
    <w:rsid w:val="45A05631"/>
    <w:rsid w:val="465942E9"/>
    <w:rsid w:val="48590173"/>
    <w:rsid w:val="4A1779F3"/>
    <w:rsid w:val="4ED767C8"/>
    <w:rsid w:val="508609FA"/>
    <w:rsid w:val="52B265D9"/>
    <w:rsid w:val="53346A12"/>
    <w:rsid w:val="556B4C68"/>
    <w:rsid w:val="5590756D"/>
    <w:rsid w:val="59095056"/>
    <w:rsid w:val="59F40CA9"/>
    <w:rsid w:val="5A7D277F"/>
    <w:rsid w:val="5DF85D55"/>
    <w:rsid w:val="5E173DC2"/>
    <w:rsid w:val="5E7F1BBE"/>
    <w:rsid w:val="61120392"/>
    <w:rsid w:val="62773818"/>
    <w:rsid w:val="63EA2F0D"/>
    <w:rsid w:val="65DF711B"/>
    <w:rsid w:val="68F63C34"/>
    <w:rsid w:val="6A9E7A01"/>
    <w:rsid w:val="6B0F76F1"/>
    <w:rsid w:val="6B142F59"/>
    <w:rsid w:val="6B6712DB"/>
    <w:rsid w:val="6C164AAF"/>
    <w:rsid w:val="7347045F"/>
    <w:rsid w:val="73877A65"/>
    <w:rsid w:val="759E1D9D"/>
    <w:rsid w:val="774F6553"/>
    <w:rsid w:val="7A30106C"/>
    <w:rsid w:val="7A6A04A0"/>
    <w:rsid w:val="7ABD2CC5"/>
    <w:rsid w:val="7AD63D87"/>
    <w:rsid w:val="7CD95DB0"/>
    <w:rsid w:val="7D8A0F24"/>
    <w:rsid w:val="7D902913"/>
    <w:rsid w:val="7EFFD330"/>
    <w:rsid w:val="7FC03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仿宋_GB2312" w:hAnsi="仿宋_GB2312" w:eastAsia="仿宋_GB2312" w:cs="Times New Roman"/>
      <w:kern w:val="2"/>
      <w:sz w:val="32"/>
      <w:szCs w:val="22"/>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index 9"/>
    <w:basedOn w:val="1"/>
    <w:next w:val="1"/>
    <w:qFormat/>
    <w:uiPriority w:val="0"/>
    <w:pPr>
      <w:ind w:left="1600" w:leftChars="1600"/>
    </w:p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8">
    <w:name w:val="BodyText"/>
    <w:basedOn w:val="1"/>
    <w:next w:val="1"/>
    <w:semiHidden/>
    <w:qFormat/>
    <w:uiPriority w:val="0"/>
    <w:pPr>
      <w:spacing w:after="120"/>
      <w:textAlignment w:val="baseline"/>
    </w:pPr>
  </w:style>
  <w:style w:type="paragraph" w:customStyle="1" w:styleId="9">
    <w:name w:val="Revision"/>
    <w:hidden/>
    <w:unhideWhenUsed/>
    <w:qFormat/>
    <w:uiPriority w:val="99"/>
    <w:rPr>
      <w:rFonts w:ascii="仿宋_GB2312" w:hAnsi="仿宋_GB2312"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18421</Words>
  <Characters>19019</Characters>
  <Lines>566</Lines>
  <Paragraphs>154</Paragraphs>
  <TotalTime>36</TotalTime>
  <ScaleCrop>false</ScaleCrop>
  <LinksUpToDate>false</LinksUpToDate>
  <CharactersWithSpaces>19019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2025-12-18T09:27:00Z</dcterms:created>
  <dc:creator>范小琪</dc:creator>
  <cp:lastModifiedBy>十二。</cp:lastModifiedBy>
  <cp:lastPrinted>2025-12-29T17:54:00Z</cp:lastPrinted>
  <dcterms:modified xsi:type="dcterms:W3CDTF">2026-08-21T08:01:37Z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EA7154BAB1F54CABA40ED82EC15BCBE5_11</vt:lpwstr>
  </property>
  <property fmtid="{D5CDD505-2E9C-101B-9397-08002B2CF9AE}" pid="4" name="KSOTemplateDocerSaveRecord">
    <vt:lpwstr>eyJoZGlkIjoiODg4MWYzNTBkNDlmOWNmZWE1N2EyNTQyMzNjMTg0Y2QiLCJ1c2VySWQiOiIzODQ5NjU3OTcifQ==</vt:lpwstr>
  </property>
</Properties>
</file>