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DBC7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bidi="ar"/>
        </w:rPr>
      </w:pPr>
      <w:r>
        <w:rPr>
          <w:rFonts w:hint="eastAsia" w:ascii="方正小标宋简体" w:hAnsi="方正小标宋简体" w:eastAsia="方正小标宋简体" w:cs="方正小标宋简体"/>
          <w:sz w:val="44"/>
          <w:szCs w:val="44"/>
          <w:lang w:bidi="ar"/>
        </w:rPr>
        <w:t>北京市通州区</w:t>
      </w:r>
      <w:r>
        <w:rPr>
          <w:rFonts w:hint="eastAsia" w:ascii="方正小标宋简体" w:hAnsi="方正小标宋简体" w:eastAsia="方正小标宋简体" w:cs="方正小标宋简体"/>
          <w:sz w:val="44"/>
          <w:szCs w:val="44"/>
          <w:lang w:eastAsia="zh-CN" w:bidi="ar"/>
        </w:rPr>
        <w:t>城市管理委员会</w:t>
      </w:r>
      <w:r>
        <w:rPr>
          <w:rFonts w:hint="eastAsia" w:ascii="方正小标宋简体" w:hAnsi="方正小标宋简体" w:eastAsia="方正小标宋简体" w:cs="方正小标宋简体"/>
          <w:sz w:val="44"/>
          <w:szCs w:val="44"/>
          <w:lang w:val="en-US" w:eastAsia="zh-CN" w:bidi="ar"/>
        </w:rPr>
        <w:t>2025年</w:t>
      </w:r>
    </w:p>
    <w:p w14:paraId="024CF2D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bidi="ar"/>
        </w:rPr>
      </w:pPr>
      <w:r>
        <w:rPr>
          <w:rFonts w:hint="eastAsia" w:ascii="方正小标宋简体" w:hAnsi="方正小标宋简体" w:eastAsia="方正小标宋简体" w:cs="方正小标宋简体"/>
          <w:sz w:val="44"/>
          <w:szCs w:val="44"/>
          <w:lang w:val="en-US" w:eastAsia="zh-CN" w:bidi="ar"/>
        </w:rPr>
        <w:t>法治政府建设年度情况报告</w:t>
      </w:r>
    </w:p>
    <w:p w14:paraId="1483A88E">
      <w:pPr>
        <w:pStyle w:val="14"/>
        <w:rPr>
          <w:rFonts w:hint="eastAsia"/>
        </w:rPr>
      </w:pPr>
    </w:p>
    <w:p w14:paraId="029BCE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2025年，通州区城市管理委员会在区委区政府的坚强领导下，始终以习近平新时代中国特色社会主义思想为指导，深入学习贯彻习近平法治思想，认真落实《法治政府建设实施纲要（2021-2025年）》和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北京城市副中心（通州区）法治政府建设规划（</w:t>
      </w:r>
      <w:r>
        <w:rPr>
          <w:rFonts w:hint="eastAsia" w:ascii="仿宋_GB2312" w:hAnsi="仿宋_GB2312" w:eastAsia="仿宋_GB2312" w:cs="仿宋_GB2312"/>
          <w:sz w:val="32"/>
          <w:szCs w:val="32"/>
          <w:lang w:val="en-US" w:eastAsia="zh-CN"/>
        </w:rPr>
        <w:t>2021-2025年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kern w:val="2"/>
          <w:sz w:val="32"/>
          <w:szCs w:val="32"/>
          <w:lang w:val="en-US" w:eastAsia="zh-CN" w:bidi="ar-SA"/>
        </w:rPr>
        <w:t>部署要求，以法治思维引领城市精细化管理，推动法治政府建设与城市治理深度融合，为副中心城市管理事业高质量发展筑牢法治保障。现将我委2025年度法治政府建设情况报告如下：</w:t>
      </w:r>
    </w:p>
    <w:p w14:paraId="1842DE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bookmarkStart w:id="0" w:name="heading_0"/>
      <w:r>
        <w:rPr>
          <w:rFonts w:hint="eastAsia" w:ascii="黑体" w:hAnsi="黑体" w:eastAsia="黑体" w:cs="黑体"/>
          <w:kern w:val="2"/>
          <w:sz w:val="32"/>
          <w:szCs w:val="32"/>
          <w:lang w:val="en-US" w:eastAsia="zh-CN" w:bidi="ar-SA"/>
        </w:rPr>
        <w:t>一、2025年度推进法治政府建设的主要举措与成效</w:t>
      </w:r>
      <w:bookmarkEnd w:id="0"/>
    </w:p>
    <w:p w14:paraId="044CABA8">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楷体_GB2312" w:hAnsi="楷体_GB2312" w:eastAsia="楷体_GB2312" w:cs="楷体_GB2312"/>
          <w:b w:val="0"/>
          <w:bCs w:val="0"/>
          <w:kern w:val="2"/>
          <w:sz w:val="32"/>
          <w:szCs w:val="32"/>
          <w:lang w:val="en-US" w:eastAsia="zh-CN" w:bidi="ar-SA"/>
        </w:rPr>
      </w:pPr>
      <w:bookmarkStart w:id="1" w:name="heading_1"/>
      <w:r>
        <w:rPr>
          <w:rFonts w:hint="eastAsia" w:ascii="楷体_GB2312" w:hAnsi="楷体_GB2312" w:eastAsia="楷体_GB2312" w:cs="楷体_GB2312"/>
          <w:b w:val="0"/>
          <w:bCs w:val="0"/>
          <w:kern w:val="2"/>
          <w:sz w:val="32"/>
          <w:szCs w:val="32"/>
          <w:lang w:val="en-US" w:eastAsia="zh-CN" w:bidi="ar-SA"/>
        </w:rPr>
        <w:t>（一）</w:t>
      </w:r>
      <w:bookmarkEnd w:id="1"/>
      <w:r>
        <w:rPr>
          <w:rFonts w:hint="eastAsia" w:ascii="楷体_GB2312" w:hAnsi="楷体_GB2312" w:eastAsia="楷体_GB2312" w:cs="楷体_GB2312"/>
          <w:b w:val="0"/>
          <w:bCs w:val="0"/>
          <w:kern w:val="2"/>
          <w:sz w:val="32"/>
          <w:szCs w:val="32"/>
          <w:lang w:val="en-US" w:eastAsia="zh-CN" w:bidi="ar-SA"/>
        </w:rPr>
        <w:t>强化组织领导，凝聚法治建设合力。</w:t>
      </w:r>
    </w:p>
    <w:p w14:paraId="37CE45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坚持把党的领导贯穿到法治政府建设全过程各方面，结合我委实际，严格落实《通州区城市管理委员会依法行政工作制度》，明确目标任务、工作重点和具体措施，与机关工作同部署、同推进、同考核。持续深入学习贯彻习近平法治思想，将法治政府建设相关内容纳入年度重点工作计划和理论学习中心组学习计划，专题学习习近平法治思想、宪法法律和党内法规，召开会议研究部署规范基层行政执法等重点任务，引导党员干部将学习习近平法治思想与破解城市管理实际问题紧密结合,切实将学习成果转化为工作实效。</w:t>
      </w:r>
    </w:p>
    <w:p w14:paraId="6B4547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bookmarkStart w:id="2" w:name="heading_4"/>
      <w:r>
        <w:rPr>
          <w:rFonts w:hint="eastAsia" w:ascii="楷体_GB2312" w:hAnsi="楷体_GB2312" w:eastAsia="楷体_GB2312" w:cs="楷体_GB2312"/>
          <w:kern w:val="2"/>
          <w:sz w:val="32"/>
          <w:szCs w:val="32"/>
          <w:lang w:val="en-US" w:eastAsia="zh-CN" w:bidi="ar-SA"/>
        </w:rPr>
        <w:t>（二）</w:t>
      </w:r>
      <w:bookmarkEnd w:id="2"/>
      <w:r>
        <w:rPr>
          <w:rFonts w:hint="eastAsia" w:ascii="楷体_GB2312" w:hAnsi="楷体_GB2312" w:eastAsia="楷体_GB2312" w:cs="楷体_GB2312"/>
          <w:kern w:val="2"/>
          <w:sz w:val="32"/>
          <w:szCs w:val="32"/>
          <w:lang w:val="en-US" w:eastAsia="zh-CN" w:bidi="ar-SA"/>
        </w:rPr>
        <w:t>深化学习教育，提升队伍法治素养。</w:t>
      </w:r>
    </w:p>
    <w:p w14:paraId="70ADE2D1">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color w:val="auto"/>
          <w:kern w:val="2"/>
          <w:sz w:val="32"/>
          <w:szCs w:val="32"/>
          <w:lang w:val="en-US" w:eastAsia="zh-CN" w:bidi="ar-SA"/>
        </w:rPr>
        <w:t>党员领导干部带头学法，通过主任办公会、中心组学习、“三会一课”等形式，开展专题学习10余次，重点学</w:t>
      </w:r>
      <w:r>
        <w:rPr>
          <w:rFonts w:hint="eastAsia" w:ascii="仿宋_GB2312" w:hAnsi="仿宋_GB2312" w:eastAsia="仿宋_GB2312" w:cs="仿宋_GB2312"/>
          <w:color w:val="auto"/>
          <w:kern w:val="2"/>
          <w:sz w:val="32"/>
          <w:szCs w:val="32"/>
          <w:highlight w:val="none"/>
          <w:lang w:val="en-US" w:eastAsia="zh-CN" w:bidi="ar-SA"/>
        </w:rPr>
        <w:t>习《习近平法治思想学习纲要》《中华人民共和国国家安全法》《中华人民共和国行政处罚法》等内容，</w:t>
      </w:r>
      <w:r>
        <w:rPr>
          <w:rFonts w:hint="eastAsia" w:ascii="仿宋_GB2312" w:hAnsi="仿宋_GB2312" w:eastAsia="仿宋_GB2312" w:cs="仿宋_GB2312"/>
          <w:color w:val="auto"/>
          <w:kern w:val="2"/>
          <w:sz w:val="32"/>
          <w:szCs w:val="32"/>
          <w:lang w:val="en-US" w:eastAsia="zh-CN" w:bidi="ar-SA"/>
        </w:rPr>
        <w:t>深入学习贯彻习近平法治思想，紧紧围绕增强法治观念、提升法治思维能力、遵守党规国法，实现尊崇法治、捍卫法治、厉行法治、依法办事，不断提高运用法治思维和法治方式推动工作的能力水平。</w:t>
      </w:r>
      <w:r>
        <w:rPr>
          <w:rFonts w:hint="eastAsia" w:ascii="仿宋_GB2312" w:hAnsi="仿宋_GB2312" w:eastAsia="仿宋_GB2312" w:cs="仿宋_GB2312"/>
          <w:kern w:val="2"/>
          <w:sz w:val="32"/>
          <w:szCs w:val="32"/>
          <w:highlight w:val="none"/>
          <w:lang w:val="en-US" w:eastAsia="zh-CN" w:bidi="ar-SA"/>
        </w:rPr>
        <w:t>严格落实《2025年通州区行政执法和执法监督人员培训实施方案》，组织执法人员完成40学时的线上法治培训，自行组织线下培训20学时，重点学习《中华人民共和国行政复议法》《中华人民共和国民法典》等法律法规，将法制教育落在平时。</w:t>
      </w:r>
    </w:p>
    <w:p w14:paraId="183E4E3E">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 xml:space="preserve">（三）强化内控管理，营造公平法治环境。 </w:t>
      </w:r>
    </w:p>
    <w:p w14:paraId="3D4FC4E5">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bookmarkStart w:id="3" w:name="heading_10"/>
      <w:r>
        <w:rPr>
          <w:rFonts w:hint="eastAsia" w:ascii="仿宋_GB2312" w:hAnsi="仿宋_GB2312" w:eastAsia="仿宋_GB2312" w:cs="仿宋_GB2312"/>
          <w:kern w:val="2"/>
          <w:sz w:val="32"/>
          <w:szCs w:val="32"/>
          <w:lang w:val="en-US" w:eastAsia="zh-CN" w:bidi="ar-SA"/>
        </w:rPr>
        <w:t>严格按照《通州区行政规范性文件管理规定》的要求，持续强化行政规范性文件全流程管理，2025年制定2份规范性文件</w:t>
      </w:r>
      <w:r>
        <w:rPr>
          <w:rFonts w:hint="eastAsia" w:ascii="仿宋_GB2312" w:hAnsi="仿宋_GB2312" w:eastAsia="仿宋_GB2312" w:cs="仿宋_GB2312"/>
          <w:color w:val="auto"/>
          <w:sz w:val="32"/>
          <w:szCs w:val="32"/>
          <w:lang w:val="en-US" w:eastAsia="zh-CN"/>
        </w:rPr>
        <w:t>，均</w:t>
      </w:r>
      <w:r>
        <w:rPr>
          <w:rFonts w:hint="eastAsia" w:ascii="仿宋_GB2312" w:hAnsi="仿宋_GB2312" w:eastAsia="仿宋_GB2312" w:cs="仿宋_GB2312"/>
          <w:kern w:val="2"/>
          <w:sz w:val="32"/>
          <w:szCs w:val="32"/>
          <w:lang w:val="en-US" w:eastAsia="zh-CN" w:bidi="ar-SA"/>
        </w:rPr>
        <w:t>履行公开征求意见、专家论证、合法性审查、集体讨论决定等法定程序，并按规定及时向区司法局完成报备工作。</w:t>
      </w:r>
      <w:r>
        <w:rPr>
          <w:rFonts w:hint="eastAsia" w:ascii="仿宋_GB2312" w:hAnsi="仿宋_GB2312" w:eastAsia="仿宋_GB2312" w:cs="仿宋_GB2312"/>
          <w:color w:val="auto"/>
          <w:sz w:val="32"/>
          <w:szCs w:val="32"/>
          <w:lang w:val="en-US" w:eastAsia="zh-CN"/>
        </w:rPr>
        <w:t>坚持将优化营商环境融入法治实践，全面清理妨碍公平竞争的制度性障碍，强化源头治理，对新增文件实行全流程法制审核，坚决杜绝含有排除、限制市场竞争内容的规定出台，累计完成委内制发的204份文件公平竞争审查，其中对16份文件启动重点复审程序，审查结果均符合公平竞争原则。</w:t>
      </w:r>
    </w:p>
    <w:p w14:paraId="2DBA7F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w:t>
      </w:r>
      <w:bookmarkEnd w:id="3"/>
      <w:r>
        <w:rPr>
          <w:rFonts w:hint="eastAsia" w:ascii="楷体_GB2312" w:hAnsi="楷体_GB2312" w:eastAsia="楷体_GB2312" w:cs="楷体_GB2312"/>
          <w:kern w:val="2"/>
          <w:sz w:val="32"/>
          <w:szCs w:val="32"/>
          <w:lang w:val="en-US" w:eastAsia="zh-CN" w:bidi="ar-SA"/>
        </w:rPr>
        <w:t>依法依规履职，积极处理矛盾纠纷。</w:t>
      </w:r>
      <w:bookmarkStart w:id="10" w:name="_GoBack"/>
      <w:bookmarkEnd w:id="10"/>
    </w:p>
    <w:p w14:paraId="7708BEF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严格落实行政执法公示制度，按照《北京市行政执法监督办法》，对行政执法信息进行公示，今年我委共公示各项行政许可283件、备案信息3185件。充分发挥法律顾问职能作用，从“事后处置”转向“事前预防、事中把控”，从“事务咨询”提升至“系统护航”。本年度，法律顾问深度融入重大决策论证、制度文件拟定及风险研判全流程，协助完成合同审查600余件，参与行政复议、诉讼、仲裁及专项法律事务处理40余项，协助审核重要政策文书及协议20余份，为信访调解、突发涉法事件处置等提供法律支持20余次，有效推动了各项工作的合规性、合法性。</w:t>
      </w:r>
    </w:p>
    <w:p w14:paraId="58FF21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（五）聚焦重点领域，提升行政执法质效。</w:t>
      </w:r>
    </w:p>
    <w:p w14:paraId="68B906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深入贯彻落实规范基层行政执法专项治理工作要求，通过党组会议形式，传达《关于开展规范基层行政执法专项治理的工作方案》及《基层行政执法共性问题治理清单》，研究部署我委内部规范基层行政执法工作。按照《专项治理的工作方案》要求和党组会部署，我委涉及行政执法检查的部门和行业管理部门，对照清单中4类20项问题进行自查自纠工作，未发现存在问题。</w:t>
      </w:r>
      <w:r>
        <w:rPr>
          <w:rFonts w:hint="eastAsia" w:ascii="仿宋_GB2312" w:hAnsi="仿宋_GB2312" w:eastAsia="仿宋_GB2312" w:cs="仿宋_GB2312"/>
          <w:color w:val="auto"/>
          <w:sz w:val="32"/>
          <w:szCs w:val="32"/>
          <w:lang w:eastAsia="zh-CN"/>
        </w:rPr>
        <w:t>针对业务科室开展的行政检查，定期对执法人员进行教育提示，避免出现《共性问题清单》提及的问题。</w:t>
      </w:r>
      <w:r>
        <w:rPr>
          <w:rFonts w:hint="eastAsia" w:ascii="仿宋_GB2312" w:hAnsi="仿宋_GB2312" w:eastAsia="仿宋_GB2312" w:cs="仿宋_GB2312"/>
          <w:color w:val="auto"/>
          <w:sz w:val="32"/>
          <w:szCs w:val="32"/>
          <w:lang w:val="en-US" w:eastAsia="zh-CN"/>
        </w:rPr>
        <w:t>同时，在工作中推行提示、指导、建议等柔性执法方式，推动从“刚性管理”向“法治服务”转变，提升执法公信力与社会效果。</w:t>
      </w:r>
    </w:p>
    <w:p w14:paraId="0573FB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（六）开展普法宣传，浓厚民主法治氛围。</w:t>
      </w:r>
    </w:p>
    <w:p w14:paraId="4A01C632">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highlight w:val="none"/>
        </w:rPr>
      </w:pPr>
      <w:bookmarkStart w:id="4" w:name="heading_16"/>
      <w:r>
        <w:rPr>
          <w:rFonts w:hint="eastAsia" w:ascii="仿宋_GB2312" w:hAnsi="仿宋_GB2312" w:eastAsia="仿宋_GB2312" w:cs="仿宋_GB2312"/>
          <w:color w:val="auto"/>
          <w:sz w:val="32"/>
          <w:szCs w:val="32"/>
          <w:lang w:val="en-US" w:eastAsia="zh-CN"/>
        </w:rPr>
        <w:t>严格落实“谁执法谁普法”责任制，2025年，我委围绕城市管理领域的重点法律法规，面向本行业、本系统及广大服务管理对象深入开展普法宣传活动。活动以《中华人民共和国宪法》《中华人民共和国民法典》为根本遵循，结合《北京市燃气管理条例》《北京市生活垃圾管理条例》《北京市供热采暖管理办法》等与城市运行、民生保障密切相关的法律法规，通过多种形式推动法治精神落地生根，持续营造尊法学法守法用法的良好社会氛围。全年组织开展《北京市生活垃圾管理条例》等主题宣传34次，进社区举办《北京市燃气管理条例》等专题宣传37次，进一步拓展了普法覆盖范围，增强了宣传实效。</w:t>
      </w:r>
      <w:r>
        <w:rPr>
          <w:rFonts w:hint="eastAsia" w:ascii="仿宋_GB2312" w:hAnsi="仿宋_GB2312" w:eastAsia="仿宋_GB2312" w:cs="仿宋_GB2312"/>
          <w:sz w:val="32"/>
          <w:szCs w:val="32"/>
          <w:highlight w:val="none"/>
          <w:lang w:val="en-US" w:eastAsia="zh-CN"/>
        </w:rPr>
        <w:t>在“12·4”宪法宣传周活动中，我委联合新华街道等属地单位，在通州区国防教育广场面向公众开展普法宣传，重点普及宪法及城市管理领域法律法规，提升群众学法用法意识。</w:t>
      </w:r>
    </w:p>
    <w:bookmarkEnd w:id="4"/>
    <w:p w14:paraId="2FED23F2">
      <w:pPr>
        <w:keepNext w:val="0"/>
        <w:keepLines w:val="0"/>
        <w:pageBreakBefore w:val="0"/>
        <w:widowControl w:val="0"/>
        <w:numPr>
          <w:ilvl w:val="0"/>
          <w:numId w:val="0"/>
        </w:numPr>
        <w:pBdr>
          <w:bottom w:val="single" w:color="FFFFFF" w:sz="4" w:space="31"/>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contextualSpacing/>
        <w:textAlignment w:val="auto"/>
        <w:rPr>
          <w:rFonts w:hint="eastAsia" w:ascii="黑体" w:hAnsi="黑体" w:eastAsia="黑体" w:cs="黑体"/>
          <w:b w:val="0"/>
          <w:bCs/>
          <w:sz w:val="32"/>
          <w:szCs w:val="32"/>
        </w:rPr>
      </w:pPr>
      <w:bookmarkStart w:id="5" w:name="heading_17"/>
      <w:r>
        <w:rPr>
          <w:rFonts w:hint="eastAsia" w:ascii="黑体" w:hAnsi="黑体" w:eastAsia="黑体" w:cs="黑体"/>
          <w:b w:val="0"/>
          <w:bCs/>
          <w:sz w:val="32"/>
          <w:szCs w:val="32"/>
        </w:rPr>
        <w:t>二、2025年度推进法治政府建设存在的不足和原因</w:t>
      </w:r>
      <w:bookmarkEnd w:id="5"/>
      <w:bookmarkStart w:id="6" w:name="heading_22"/>
    </w:p>
    <w:p w14:paraId="5EF4B441">
      <w:pPr>
        <w:keepNext w:val="0"/>
        <w:keepLines w:val="0"/>
        <w:pageBreakBefore w:val="0"/>
        <w:widowControl w:val="0"/>
        <w:numPr>
          <w:ilvl w:val="0"/>
          <w:numId w:val="0"/>
        </w:numPr>
        <w:pBdr>
          <w:bottom w:val="single" w:color="FFFFFF" w:sz="4" w:space="31"/>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contextualSpacing/>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我委法治建设纵深推进、取得扎实成效，但面对新形势、新任务，仍然存在一些薄弱环节。一是法治与业务的融合深度需进一步拓展，运用法治思维和法治方式解决复杂问题、推动发展的能力有待强化。二是普法宣传的精准性和实效性有待增强。</w:t>
      </w:r>
      <w:bookmarkEnd w:id="6"/>
      <w:bookmarkStart w:id="7" w:name="heading_23"/>
    </w:p>
    <w:p w14:paraId="30BE3FB7">
      <w:pPr>
        <w:keepNext w:val="0"/>
        <w:keepLines w:val="0"/>
        <w:pageBreakBefore w:val="0"/>
        <w:widowControl w:val="0"/>
        <w:numPr>
          <w:ilvl w:val="0"/>
          <w:numId w:val="0"/>
        </w:numPr>
        <w:pBdr>
          <w:bottom w:val="single" w:color="FFFFFF" w:sz="4" w:space="31"/>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contextualSpacing/>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w:t>
      </w:r>
      <w:bookmarkEnd w:id="7"/>
      <w:r>
        <w:rPr>
          <w:rFonts w:hint="eastAsia" w:ascii="黑体" w:hAnsi="黑体" w:eastAsia="黑体" w:cs="黑体"/>
          <w:b w:val="0"/>
          <w:bCs/>
          <w:sz w:val="32"/>
          <w:szCs w:val="32"/>
        </w:rPr>
        <w:t>2025年度党政主要负责人履行推进法治建设第一责任人职责情况</w:t>
      </w:r>
    </w:p>
    <w:p w14:paraId="0A45DCB5">
      <w:pPr>
        <w:keepNext w:val="0"/>
        <w:keepLines w:val="0"/>
        <w:pageBreakBefore w:val="0"/>
        <w:widowControl w:val="0"/>
        <w:numPr>
          <w:ilvl w:val="0"/>
          <w:numId w:val="0"/>
        </w:numPr>
        <w:pBdr>
          <w:bottom w:val="single" w:color="FFFFFF" w:sz="4" w:space="31"/>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contextualSpacing/>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委主要领导积极履行推进法治建设第一责任人职责，将履行推进法治建设第一责任人职责情况列入年终述职内容，持续落实党组书记负总责、全面抓，分管领导严把关、具体抓的工作机制，推动法治建设与城市精细化管理深度融合、同向发力，切实以法治化赋能城市治理效能提升。</w:t>
      </w:r>
      <w:bookmarkStart w:id="8" w:name="heading_24"/>
      <w:r>
        <w:rPr>
          <w:rFonts w:hint="eastAsia" w:ascii="仿宋_GB2312" w:hAnsi="仿宋_GB2312" w:eastAsia="仿宋_GB2312" w:cs="仿宋_GB2312"/>
          <w:kern w:val="2"/>
          <w:sz w:val="32"/>
          <w:szCs w:val="32"/>
          <w:lang w:val="en-US" w:eastAsia="zh-CN" w:bidi="ar-SA"/>
        </w:rPr>
        <w:t>扎实履行依法行政职责，深入落实法治政府建设实施纲要，将法治化理念贯穿履职全过程。严格落实法治建设相关部署，把法治工作与中心业务同谋划、同推进，常态化带头学习习近平法治思想，深刻领会核心要义，切实把学习成果转化为依法履职的实际行动。坚决扛起第一责任人职责，对法治工作重点任务主动部署、关键问题靠前过问、重要环节全程协调、难点任务亲自督办，层层压实工作责任。严格规范权力运行，严守重大行政决策法定程序，确保行政审批、日常履职各环节合法合规、有序高效。自觉尊崇司法权威，严格执行行政机关负责人出庭应诉、配合法院办案、落实生效判决等相关规定，始终确保各项工作在法治框架内落地。</w:t>
      </w:r>
    </w:p>
    <w:bookmarkEnd w:id="8"/>
    <w:p w14:paraId="5DDD59AC">
      <w:pPr>
        <w:keepNext w:val="0"/>
        <w:keepLines w:val="0"/>
        <w:pageBreakBefore w:val="0"/>
        <w:widowControl w:val="0"/>
        <w:numPr>
          <w:ilvl w:val="0"/>
          <w:numId w:val="0"/>
        </w:numPr>
        <w:pBdr>
          <w:bottom w:val="single" w:color="FFFFFF" w:sz="4" w:space="31"/>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contextualSpacing/>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四、</w:t>
      </w:r>
      <w:r>
        <w:rPr>
          <w:rFonts w:hint="eastAsia" w:ascii="黑体" w:hAnsi="黑体" w:eastAsia="黑体" w:cs="黑体"/>
          <w:b w:val="0"/>
          <w:bCs/>
          <w:sz w:val="32"/>
          <w:szCs w:val="32"/>
          <w:lang w:val="en-US" w:eastAsia="zh-CN"/>
        </w:rPr>
        <w:t>2026</w:t>
      </w:r>
      <w:r>
        <w:rPr>
          <w:rFonts w:hint="eastAsia" w:ascii="黑体" w:hAnsi="黑体" w:eastAsia="黑体" w:cs="黑体"/>
          <w:b w:val="0"/>
          <w:bCs/>
          <w:sz w:val="32"/>
          <w:szCs w:val="32"/>
          <w:lang w:eastAsia="zh-CN"/>
        </w:rPr>
        <w:t>年度推进法治政府建设的主要安排</w:t>
      </w:r>
      <w:bookmarkStart w:id="9" w:name="heading_36"/>
    </w:p>
    <w:p w14:paraId="46600DBD">
      <w:pPr>
        <w:keepNext w:val="0"/>
        <w:keepLines w:val="0"/>
        <w:pageBreakBefore w:val="0"/>
        <w:widowControl w:val="0"/>
        <w:numPr>
          <w:ilvl w:val="0"/>
          <w:numId w:val="0"/>
        </w:numPr>
        <w:pBdr>
          <w:bottom w:val="single" w:color="FFFFFF" w:sz="4" w:space="31"/>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contextualSpacing/>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2026年，我委将继续聚焦城市管理法治建设重点任务，精准发力、提质增效，推动法治建设与主责主业深度融合，为城市精细化管理提供坚实法治保障。</w:t>
      </w:r>
    </w:p>
    <w:p w14:paraId="51C1E68A">
      <w:pPr>
        <w:keepNext w:val="0"/>
        <w:keepLines w:val="0"/>
        <w:pageBreakBefore w:val="0"/>
        <w:widowControl w:val="0"/>
        <w:numPr>
          <w:ilvl w:val="0"/>
          <w:numId w:val="0"/>
        </w:numPr>
        <w:pBdr>
          <w:bottom w:val="single" w:color="FFFFFF" w:sz="4" w:space="31"/>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contextualSpacing/>
        <w:textAlignment w:val="auto"/>
        <w:rPr>
          <w:rFonts w:hint="eastAsia" w:ascii="仿宋_GB2312" w:hAnsi="仿宋_GB2312" w:eastAsia="仿宋_GB2312" w:cs="仿宋_GB2312"/>
          <w:b w:val="0"/>
          <w:bCs/>
          <w:sz w:val="32"/>
          <w:lang w:val="en-US" w:eastAsia="zh-CN"/>
        </w:rPr>
      </w:pPr>
      <w:r>
        <w:rPr>
          <w:rFonts w:hint="eastAsia" w:ascii="楷体_GB2312" w:hAnsi="楷体_GB2312" w:eastAsia="楷体_GB2312" w:cs="楷体_GB2312"/>
          <w:b w:val="0"/>
          <w:bCs/>
          <w:sz w:val="32"/>
          <w:lang w:val="en-US" w:eastAsia="zh-CN"/>
        </w:rPr>
        <w:t>（一）强化法治能力建设，筑牢依法履职根基。</w:t>
      </w:r>
      <w:r>
        <w:rPr>
          <w:rFonts w:hint="eastAsia" w:ascii="仿宋_GB2312" w:hAnsi="仿宋_GB2312" w:eastAsia="仿宋_GB2312" w:cs="仿宋_GB2312"/>
          <w:b w:val="0"/>
          <w:bCs/>
          <w:sz w:val="32"/>
          <w:lang w:val="en-US" w:eastAsia="zh-CN"/>
        </w:rPr>
        <w:t>深入落实党组理论学习中心组学法制度，提升领导干部法治素养和依法履职能力。开展《北京城市副中心条例》等相关业务法规培训，确保党员干部和执法人员接受专业培训，不断提升执法专业性。持续发挥政府法律顾问和公职律师人才作用，参与政策制定、合同签署等工作，提升依法决策、依法办事水平。 </w:t>
      </w:r>
    </w:p>
    <w:p w14:paraId="50FECCA0">
      <w:pPr>
        <w:keepNext w:val="0"/>
        <w:keepLines w:val="0"/>
        <w:pageBreakBefore w:val="0"/>
        <w:widowControl w:val="0"/>
        <w:numPr>
          <w:ilvl w:val="0"/>
          <w:numId w:val="0"/>
        </w:numPr>
        <w:pBdr>
          <w:bottom w:val="single" w:color="FFFFFF" w:sz="4" w:space="31"/>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contextualSpacing/>
        <w:textAlignment w:val="auto"/>
        <w:rPr>
          <w:rFonts w:hint="eastAsia" w:ascii="仿宋_GB2312" w:hAnsi="仿宋_GB2312" w:eastAsia="仿宋_GB2312" w:cs="仿宋_GB2312"/>
          <w:b w:val="0"/>
          <w:bCs/>
          <w:sz w:val="32"/>
          <w:lang w:val="en-US" w:eastAsia="zh-CN"/>
        </w:rPr>
      </w:pPr>
      <w:r>
        <w:rPr>
          <w:rFonts w:hint="eastAsia" w:ascii="楷体_GB2312" w:hAnsi="楷体_GB2312" w:eastAsia="楷体_GB2312" w:cs="楷体_GB2312"/>
          <w:b w:val="0"/>
          <w:bCs/>
          <w:sz w:val="32"/>
          <w:lang w:val="en-US" w:eastAsia="zh-CN"/>
        </w:rPr>
        <w:t>（二）规范行政执法行为，提升执法公信力。</w:t>
      </w:r>
      <w:r>
        <w:rPr>
          <w:rFonts w:hint="eastAsia" w:ascii="仿宋_GB2312" w:hAnsi="仿宋_GB2312" w:eastAsia="仿宋_GB2312" w:cs="仿宋_GB2312"/>
          <w:b w:val="0"/>
          <w:bCs/>
          <w:sz w:val="32"/>
          <w:lang w:val="en-US" w:eastAsia="zh-CN"/>
        </w:rPr>
        <w:t>严格落实行政执法“三项制度”，持续规范执法程序、文书制作，确保执法行为合法规范。优化年度涉企行政检查计划，加强对燃气安全等重点领域行业监管。健全监督机制，通过日常检查、案卷评查等方式，及时纠正行政审批领域不规范问题。</w:t>
      </w:r>
    </w:p>
    <w:p w14:paraId="65C3BB9F">
      <w:pPr>
        <w:keepNext w:val="0"/>
        <w:keepLines w:val="0"/>
        <w:pageBreakBefore w:val="0"/>
        <w:widowControl w:val="0"/>
        <w:numPr>
          <w:ilvl w:val="0"/>
          <w:numId w:val="0"/>
        </w:numPr>
        <w:pBdr>
          <w:bottom w:val="single" w:color="FFFFFF" w:sz="4" w:space="31"/>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contextualSpacing/>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（三）创新宣传方式，加大法治宣传力度。</w:t>
      </w:r>
      <w:r>
        <w:rPr>
          <w:rFonts w:hint="eastAsia" w:ascii="仿宋_GB2312" w:hAnsi="仿宋_GB2312" w:eastAsia="仿宋_GB2312" w:cs="仿宋_GB2312"/>
          <w:kern w:val="2"/>
          <w:sz w:val="32"/>
          <w:szCs w:val="32"/>
          <w:lang w:val="en-US" w:eastAsia="zh-CN" w:bidi="ar-SA"/>
        </w:rPr>
        <w:t>坚持精准普法、靶向发力，针对老年群体、小微商户等重点对象，创新线上线下普法形式，丰富普法内容供给。依托微博、微信等平台扩大线上普法覆盖面，</w:t>
      </w:r>
      <w:r>
        <w:rPr>
          <w:rFonts w:hint="eastAsia" w:ascii="仿宋_GB2312" w:hAnsi="仿宋_GB2312" w:eastAsia="仿宋_GB2312" w:cs="仿宋_GB2312"/>
          <w:b w:val="0"/>
          <w:bCs/>
          <w:sz w:val="32"/>
          <w:lang w:val="en-US" w:eastAsia="zh-CN"/>
        </w:rPr>
        <w:t>结合重要时间节点，</w:t>
      </w:r>
      <w:r>
        <w:rPr>
          <w:rFonts w:hint="eastAsia" w:ascii="仿宋_GB2312" w:hAnsi="仿宋_GB2312" w:eastAsia="仿宋_GB2312" w:cs="仿宋_GB2312"/>
          <w:kern w:val="2"/>
          <w:sz w:val="32"/>
          <w:szCs w:val="32"/>
          <w:lang w:val="en-US" w:eastAsia="zh-CN" w:bidi="ar-SA"/>
        </w:rPr>
        <w:t>开展线下沉浸式普法，推动普法宣传从“广覆盖”向“深渗透”转变，让法治理念融入城市治理各环节、走进群众日常生活。</w:t>
      </w:r>
      <w:bookmarkEnd w:id="9"/>
    </w:p>
    <w:sectPr>
      <w:footerReference r:id="rId3" w:type="default"/>
      <w:pgSz w:w="11905" w:h="1684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文泉驿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A9E05">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A8AB6E">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0CA8AB6E">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isplayHorizontalDrawingGridEvery w:val="1"/>
  <w:displayVerticalDrawingGridEvery w:val="1"/>
  <w:noPunctuationKerning w:val="1"/>
  <w:hdrShapeDefaults>
    <o:shapelayout v:ext="edit">
      <o:idmap v:ext="edit" data="3,4"/>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9E2BC"/>
    <w:rsid w:val="13DFFB10"/>
    <w:rsid w:val="1BFB9460"/>
    <w:rsid w:val="2CABE2EB"/>
    <w:rsid w:val="37FFEB7A"/>
    <w:rsid w:val="3EDEACEE"/>
    <w:rsid w:val="3EEF2FCE"/>
    <w:rsid w:val="3FFF97B2"/>
    <w:rsid w:val="4BF7DEB1"/>
    <w:rsid w:val="4E4773E6"/>
    <w:rsid w:val="59FCB0E0"/>
    <w:rsid w:val="5DFF3670"/>
    <w:rsid w:val="5FF643F6"/>
    <w:rsid w:val="5FFF4315"/>
    <w:rsid w:val="63AFEE82"/>
    <w:rsid w:val="67F72BB3"/>
    <w:rsid w:val="6D707EAD"/>
    <w:rsid w:val="6D9F0C9C"/>
    <w:rsid w:val="6E3B8A30"/>
    <w:rsid w:val="6F5FFA80"/>
    <w:rsid w:val="6FB6BFF1"/>
    <w:rsid w:val="6FBB7A0A"/>
    <w:rsid w:val="6FBDCB2B"/>
    <w:rsid w:val="6FDF91BE"/>
    <w:rsid w:val="70F9E596"/>
    <w:rsid w:val="73DF5430"/>
    <w:rsid w:val="799A25CE"/>
    <w:rsid w:val="79FFE26B"/>
    <w:rsid w:val="7A7F4047"/>
    <w:rsid w:val="7BDC3F25"/>
    <w:rsid w:val="7CD51814"/>
    <w:rsid w:val="7D7E10D5"/>
    <w:rsid w:val="7DBF510B"/>
    <w:rsid w:val="7E2B4928"/>
    <w:rsid w:val="7E3F39D4"/>
    <w:rsid w:val="7E9BE9E1"/>
    <w:rsid w:val="7F1BD683"/>
    <w:rsid w:val="7F6F0B97"/>
    <w:rsid w:val="7F9F4248"/>
    <w:rsid w:val="7FAF0B84"/>
    <w:rsid w:val="7FAFB54E"/>
    <w:rsid w:val="7FCDCB57"/>
    <w:rsid w:val="7FDC9566"/>
    <w:rsid w:val="7FDFBF8B"/>
    <w:rsid w:val="7FDFC1F7"/>
    <w:rsid w:val="7FF8D9AD"/>
    <w:rsid w:val="7FFE775C"/>
    <w:rsid w:val="8DFB5C8E"/>
    <w:rsid w:val="97FFB342"/>
    <w:rsid w:val="A6F3A958"/>
    <w:rsid w:val="ABDF70C5"/>
    <w:rsid w:val="B77F4DE8"/>
    <w:rsid w:val="BCFFD726"/>
    <w:rsid w:val="BDAD3319"/>
    <w:rsid w:val="BFB7CAA8"/>
    <w:rsid w:val="BFBD60C1"/>
    <w:rsid w:val="DBAE8872"/>
    <w:rsid w:val="DDFA93BE"/>
    <w:rsid w:val="E2982DEF"/>
    <w:rsid w:val="E7A25FD8"/>
    <w:rsid w:val="E7B70D4F"/>
    <w:rsid w:val="EBADC2EE"/>
    <w:rsid w:val="EBFBC06D"/>
    <w:rsid w:val="EC7E6AE9"/>
    <w:rsid w:val="EDBDF101"/>
    <w:rsid w:val="EDE41C8D"/>
    <w:rsid w:val="EFF74A63"/>
    <w:rsid w:val="F287466B"/>
    <w:rsid w:val="F6D672B6"/>
    <w:rsid w:val="F6E3C12F"/>
    <w:rsid w:val="F7894257"/>
    <w:rsid w:val="F7BFDFB3"/>
    <w:rsid w:val="F8DF7332"/>
    <w:rsid w:val="FAFF7C2E"/>
    <w:rsid w:val="FBBF479D"/>
    <w:rsid w:val="FBFE2D66"/>
    <w:rsid w:val="FBFE4D75"/>
    <w:rsid w:val="FCEF916F"/>
    <w:rsid w:val="FDDFFC10"/>
    <w:rsid w:val="FEF937EC"/>
    <w:rsid w:val="FF838E94"/>
    <w:rsid w:val="FFA9D160"/>
    <w:rsid w:val="FFBF0D4F"/>
    <w:rsid w:val="FFD7B8B9"/>
    <w:rsid w:val="FFDF91E9"/>
    <w:rsid w:val="FFF3F107"/>
    <w:rsid w:val="FFFFB5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rPr>
      <w:rFonts w:ascii="Times New Roman" w:hAnsi="Times New Roman" w:eastAsia="仿宋" w:cs="Times New Roman"/>
      <w:sz w:val="32"/>
    </w:rPr>
  </w:style>
  <w:style w:type="paragraph" w:styleId="4">
    <w:name w:val="toc 2"/>
    <w:basedOn w:val="1"/>
    <w:next w:val="1"/>
    <w:qFormat/>
    <w:uiPriority w:val="0"/>
    <w:pPr>
      <w:ind w:left="420" w:leftChars="200"/>
    </w:pPr>
    <w:rPr>
      <w:rFonts w:ascii="Times New Roman" w:hAnsi="Times New Roman" w:eastAsia="宋体" w:cs="Times New Roman"/>
    </w:rPr>
  </w:style>
  <w:style w:type="paragraph" w:styleId="5">
    <w:name w:val="Body Text"/>
    <w:basedOn w:val="1"/>
    <w:next w:val="6"/>
    <w:qFormat/>
    <w:uiPriority w:val="0"/>
    <w:pPr>
      <w:jc w:val="center"/>
    </w:pPr>
    <w:rPr>
      <w:rFonts w:ascii="Times New Roman" w:hAnsi="Times New Roman" w:eastAsia="宋体" w:cs="Times New Roman"/>
      <w:sz w:val="32"/>
      <w:szCs w:val="24"/>
    </w:rPr>
  </w:style>
  <w:style w:type="paragraph" w:styleId="6">
    <w:name w:val="Body Text 2"/>
    <w:basedOn w:val="1"/>
    <w:unhideWhenUsed/>
    <w:qFormat/>
    <w:uiPriority w:val="0"/>
    <w:pPr>
      <w:spacing w:line="360" w:lineRule="auto"/>
      <w:ind w:firstLine="200"/>
    </w:pPr>
    <w:rPr>
      <w:rFonts w:eastAsia="楷体_GB2312"/>
    </w:rPr>
  </w:style>
  <w:style w:type="paragraph" w:styleId="7">
    <w:name w:val="Body Text Indent"/>
    <w:basedOn w:val="1"/>
    <w:next w:val="3"/>
    <w:qFormat/>
    <w:uiPriority w:val="0"/>
    <w:pPr>
      <w:ind w:firstLine="200" w:firstLineChars="200"/>
    </w:pPr>
    <w:rPr>
      <w:rFonts w:eastAsia="仿宋_GB2312"/>
      <w:sz w:val="32"/>
    </w:rPr>
  </w:style>
  <w:style w:type="paragraph" w:styleId="8">
    <w:name w:val="toc 3"/>
    <w:basedOn w:val="1"/>
    <w:next w:val="1"/>
    <w:qFormat/>
    <w:uiPriority w:val="0"/>
    <w:pPr>
      <w:ind w:left="840" w:leftChars="400"/>
    </w:p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index 9"/>
    <w:basedOn w:val="1"/>
    <w:next w:val="1"/>
    <w:qFormat/>
    <w:uiPriority w:val="0"/>
    <w:pPr>
      <w:ind w:left="0" w:firstLine="420"/>
      <w:jc w:val="left"/>
    </w:pPr>
    <w:rPr>
      <w:rFonts w:ascii="Times New Roman" w:hAnsi="Times New Roman" w:eastAsia="仿宋_GB2312" w:cs="Times New Roman"/>
      <w:szCs w:val="20"/>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7"/>
    <w:next w:val="1"/>
    <w:qFormat/>
    <w:uiPriority w:val="0"/>
    <w:pPr>
      <w:ind w:firstLine="420"/>
    </w:pPr>
  </w:style>
  <w:style w:type="character" w:styleId="17">
    <w:name w:val="Strong"/>
    <w:basedOn w:val="16"/>
    <w:qFormat/>
    <w:uiPriority w:val="0"/>
    <w:rPr>
      <w:b/>
    </w:rPr>
  </w:style>
  <w:style w:type="character" w:styleId="18">
    <w:name w:val="Emphasis"/>
    <w:basedOn w:val="16"/>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TotalTime>10</TotalTime>
  <ScaleCrop>false</ScaleCrop>
  <LinksUpToDate>false</LinksUpToDate>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2026-01-12T18:39:00Z</dcterms:created>
  <dc:creator>Apache POI</dc:creator>
  <cp:lastModifiedBy>张雨健</cp:lastModifiedBy>
  <dcterms:modified xsi:type="dcterms:W3CDTF">2026-02-05T13:36:09Z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DDB7B10011C4F5E3722B8469534A33FC_43</vt:lpwstr>
  </property>
</Properties>
</file>