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2037"/>
        <w:gridCol w:w="940"/>
        <w:gridCol w:w="596"/>
        <w:gridCol w:w="236"/>
        <w:gridCol w:w="236"/>
        <w:gridCol w:w="134"/>
        <w:gridCol w:w="1066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档案管理配套设施费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形成新生社保业务档案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1400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1400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档案运输整理移库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1000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1000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以《中华人民共和国档案法》、《关于社会保险业务档案管理规定》、《北京市社会保险业务档案管理规定(试行)实施办法》等相关法律规定为依据, 通过外包方式，整理档案，采取实时抽查、随时跟进的方式，确保档案整理工作按期保质完成。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错误率低于0.6‰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错误率低于0.6‰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年当年形成的业务档案平时立卷，随时归档整理，确保年底完成当年移交档案的整理工作。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按时完成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按时完成</w:t>
            </w:r>
            <w:r>
              <w:rPr>
                <w:rFonts w:hint="eastAsia"/>
                <w:kern w:val="0"/>
                <w:sz w:val="24"/>
              </w:rPr>
              <w:t>。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相关部门可方便快捷地查阅业务档案资料。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相关部门可方便快捷地查阅业务档案资料。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/>
              </w:rPr>
              <w:t>相关部门可方便快捷地查阅业务档案资料。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实现保险业务档案管理的精细化、标准化和规范化。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实现保险业务档案管理的精细化、标准化和规范化。</w:t>
            </w: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实现保险业务档案管理的精细化、标准化和规范化。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档案整理采取全包方式，服务内容包括组卷、扫描、定位、耗材、软件、入库上架。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档案整理采取全包方式，服务内容包括组卷、扫描、定位、耗材、软件、入库上架。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档案整理采取全包方式，服务内容包括组卷、扫描、定位、耗材、软件、入库上架。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04025192"/>
    <w:rsid w:val="15425DD1"/>
    <w:rsid w:val="40A365D7"/>
    <w:rsid w:val="571B77EE"/>
    <w:rsid w:val="5C2A1079"/>
    <w:rsid w:val="5C624C68"/>
    <w:rsid w:val="661C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1540</Words>
  <Characters>1675</Characters>
  <Lines>13</Lines>
  <Paragraphs>3</Paragraphs>
  <TotalTime>14</TotalTime>
  <ScaleCrop>false</ScaleCrop>
  <LinksUpToDate>false</LinksUpToDate>
  <CharactersWithSpaces>1720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2023-09-07T02:36:38Z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