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北京市通州区图书馆</w:t>
      </w:r>
    </w:p>
    <w:p>
      <w:pPr>
        <w:jc w:val="center"/>
        <w:rPr>
          <w:rFonts w:hint="eastAsia" w:ascii="黑体" w:eastAsia="黑体"/>
          <w:sz w:val="72"/>
          <w:szCs w:val="72"/>
          <w:lang w:val="en-US" w:eastAsia="zh-CN"/>
        </w:rPr>
      </w:pPr>
      <w:r>
        <w:rPr>
          <w:rFonts w:hint="eastAsia" w:ascii="黑体" w:eastAsia="黑体"/>
          <w:sz w:val="72"/>
          <w:szCs w:val="72"/>
        </w:rPr>
        <w:t>2024年度部门决算</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ascii="宋体" w:hAnsi="宋体" w:cs="宋体"/>
          <w:b/>
          <w:bCs/>
          <w:kern w:val="0"/>
          <w:sz w:val="36"/>
          <w:szCs w:val="36"/>
        </w:rPr>
      </w:pP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第一部分 2024年度部门决算报表</w:t>
      </w:r>
    </w:p>
    <w:p>
      <w:pPr>
        <w:tabs>
          <w:tab w:val="center" w:pos="6979"/>
        </w:tabs>
        <w:spacing w:line="500" w:lineRule="exact"/>
        <w:ind w:firstLine="2400" w:firstLineChars="600"/>
        <w:jc w:val="left"/>
        <w:rPr>
          <w:rFonts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十二、政府购买服务决算公开情况表</w:t>
      </w:r>
    </w:p>
    <w:p>
      <w:pPr>
        <w:tabs>
          <w:tab w:val="center" w:pos="6979"/>
        </w:tabs>
        <w:spacing w:line="500" w:lineRule="exact"/>
        <w:ind w:firstLine="1600" w:firstLineChars="400"/>
        <w:jc w:val="left"/>
        <w:rPr>
          <w:rFonts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2024年度部门决算说明</w:t>
      </w:r>
    </w:p>
    <w:p>
      <w:pPr>
        <w:tabs>
          <w:tab w:val="center" w:pos="6979"/>
        </w:tabs>
        <w:spacing w:line="500" w:lineRule="exact"/>
        <w:ind w:firstLine="1600" w:firstLineChars="400"/>
        <w:jc w:val="left"/>
        <w:rPr>
          <w:rFonts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2024年度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ascii="宋体" w:hAnsi="宋体" w:cs="宋体"/>
          <w:spacing w:val="40"/>
          <w:kern w:val="0"/>
          <w:sz w:val="36"/>
          <w:szCs w:val="32"/>
        </w:rPr>
      </w:pPr>
      <w:r>
        <w:rPr>
          <w:rFonts w:hint="eastAsia" w:ascii="宋体" w:hAnsi="宋体" w:cs="宋体"/>
          <w:spacing w:val="40"/>
          <w:kern w:val="0"/>
          <w:sz w:val="32"/>
          <w:szCs w:val="32"/>
        </w:rPr>
        <w:t>第四部分 2024年度部门绩效评价情况</w:t>
      </w:r>
    </w:p>
    <w:p>
      <w:pPr>
        <w:tabs>
          <w:tab w:val="center" w:pos="6979"/>
        </w:tabs>
        <w:spacing w:beforeLines="50" w:afterLines="50"/>
        <w:jc w:val="center"/>
        <w:rPr>
          <w:rFonts w:ascii="宋体" w:hAnsi="宋体" w:cs="宋体"/>
          <w:b/>
          <w:bCs/>
          <w:spacing w:val="40"/>
          <w:kern w:val="0"/>
          <w:sz w:val="32"/>
          <w:szCs w:val="32"/>
        </w:rPr>
      </w:pPr>
    </w:p>
    <w:p>
      <w:pPr>
        <w:tabs>
          <w:tab w:val="center" w:pos="6979"/>
        </w:tabs>
        <w:spacing w:beforeLines="50" w:afterLines="50"/>
        <w:jc w:val="center"/>
        <w:rPr>
          <w:rFonts w:ascii="宋体" w:hAnsi="宋体" w:cs="宋体"/>
          <w:b/>
          <w:bCs/>
          <w:spacing w:val="40"/>
          <w:kern w:val="0"/>
          <w:sz w:val="32"/>
          <w:szCs w:val="32"/>
        </w:rPr>
      </w:pPr>
    </w:p>
    <w:p>
      <w:pPr>
        <w:tabs>
          <w:tab w:val="center" w:pos="6979"/>
        </w:tabs>
        <w:spacing w:beforeLines="50" w:afterLines="50"/>
        <w:jc w:val="center"/>
        <w:rPr>
          <w:rFonts w:ascii="宋体" w:hAnsi="宋体" w:cs="宋体"/>
          <w:b/>
          <w:bCs/>
          <w:spacing w:val="40"/>
          <w:kern w:val="0"/>
          <w:sz w:val="32"/>
          <w:szCs w:val="32"/>
        </w:rPr>
      </w:pPr>
    </w:p>
    <w:p>
      <w:pPr>
        <w:tabs>
          <w:tab w:val="center" w:pos="6979"/>
        </w:tabs>
        <w:spacing w:beforeLines="50" w:afterLines="50"/>
        <w:jc w:val="center"/>
        <w:rPr>
          <w:rFonts w:ascii="宋体" w:hAnsi="宋体" w:cs="宋体"/>
          <w:b/>
          <w:bCs/>
          <w:spacing w:val="40"/>
          <w:kern w:val="0"/>
          <w:sz w:val="32"/>
          <w:szCs w:val="32"/>
        </w:rPr>
      </w:pPr>
    </w:p>
    <w:p>
      <w:pPr>
        <w:tabs>
          <w:tab w:val="center" w:pos="6979"/>
        </w:tabs>
        <w:spacing w:beforeLines="50" w:afterLines="50"/>
        <w:jc w:val="center"/>
        <w:rPr>
          <w:rFonts w:ascii="宋体" w:hAnsi="宋体" w:cs="宋体"/>
          <w:b/>
          <w:bCs/>
          <w:spacing w:val="40"/>
          <w:kern w:val="0"/>
          <w:sz w:val="32"/>
          <w:szCs w:val="32"/>
        </w:rPr>
      </w:pPr>
    </w:p>
    <w:p>
      <w:pPr>
        <w:tabs>
          <w:tab w:val="center" w:pos="6979"/>
        </w:tabs>
        <w:spacing w:beforeLines="50"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第一部分 2024年度部门决算报表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Lines="50" w:afterLines="50"/>
        <w:jc w:val="center"/>
        <w:rPr>
          <w:rFonts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2024年度部门决算说明</w:t>
      </w:r>
    </w:p>
    <w:p>
      <w:pPr>
        <w:tabs>
          <w:tab w:val="center" w:pos="6979"/>
        </w:tabs>
        <w:spacing w:line="580" w:lineRule="exact"/>
        <w:ind w:firstLine="560" w:firstLineChars="200"/>
        <w:rPr>
          <w:rFonts w:ascii="黑体" w:eastAsia="黑体"/>
          <w:b/>
          <w:sz w:val="28"/>
          <w:szCs w:val="28"/>
        </w:rPr>
      </w:pPr>
      <w:r>
        <w:rPr>
          <w:rFonts w:hint="eastAsia" w:ascii="黑体" w:eastAsia="黑体"/>
          <w:b/>
          <w:sz w:val="28"/>
          <w:szCs w:val="28"/>
        </w:rPr>
        <w:t>一、单位基本情况</w:t>
      </w:r>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根据北京市通州区编制委员会办公室通编办【1997】18号文件批准成立“北京市通州区图书馆”，下设：办公室、运河文献资源中心、宣传辅导部、数字图书馆建设部、采编部、流通部。主要职责：保存借阅图书资料，促进社会经济文献发展。图书、文献、报刊、采编与储藏以及图书资料网络系统管理。图书馆学研究。</w:t>
      </w:r>
    </w:p>
    <w:p>
      <w:pPr>
        <w:tabs>
          <w:tab w:val="center" w:pos="6979"/>
        </w:tabs>
        <w:spacing w:line="580" w:lineRule="exact"/>
        <w:ind w:firstLine="560" w:firstLineChars="200"/>
        <w:rPr>
          <w:rFonts w:ascii="黑体" w:eastAsia="黑体"/>
          <w:b/>
          <w:sz w:val="28"/>
          <w:szCs w:val="28"/>
        </w:rPr>
      </w:pPr>
      <w:r>
        <w:rPr>
          <w:rFonts w:hint="eastAsia" w:ascii="黑体" w:eastAsia="黑体"/>
          <w:b/>
          <w:sz w:val="28"/>
          <w:szCs w:val="28"/>
        </w:rPr>
        <w:t>二、收入支出决算总体情况说明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2774.79</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52.87万元，增长1.94%。</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2024年度本年收入合计</w:t>
      </w:r>
      <w:r>
        <w:rPr>
          <w:rFonts w:ascii="仿宋_GB2312" w:eastAsia="仿宋_GB2312"/>
          <w:sz w:val="28"/>
          <w:szCs w:val="28"/>
        </w:rPr>
        <w:t>2774.79</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52.87万元，增长1.94%。</w:t>
      </w:r>
    </w:p>
    <w:p>
      <w:pPr>
        <w:tabs>
          <w:tab w:val="center" w:pos="6979"/>
        </w:tabs>
        <w:spacing w:line="580" w:lineRule="exact"/>
        <w:ind w:firstLine="560" w:firstLineChars="200"/>
      </w:pPr>
      <w:r>
        <w:rPr>
          <w:rFonts w:hint="eastAsia" w:ascii="仿宋_GB2312" w:eastAsia="仿宋_GB2312"/>
          <w:sz w:val="28"/>
          <w:szCs w:val="28"/>
        </w:rPr>
        <w:t>1.财政拨款收入</w:t>
      </w:r>
      <w:r>
        <w:rPr>
          <w:rFonts w:ascii="仿宋_GB2312" w:eastAsia="仿宋_GB2312"/>
          <w:sz w:val="28"/>
          <w:szCs w:val="28"/>
        </w:rPr>
        <w:t>2774.79</w:t>
      </w:r>
      <w:r>
        <w:rPr>
          <w:rFonts w:hint="eastAsia" w:ascii="仿宋_GB2312" w:eastAsia="仿宋_GB2312"/>
          <w:sz w:val="28"/>
          <w:szCs w:val="28"/>
        </w:rPr>
        <w:t>万元，占收入合计的100.00%。其中：一般公共预算财政拨款收入</w:t>
      </w:r>
      <w:r>
        <w:rPr>
          <w:rFonts w:ascii="仿宋_GB2312" w:eastAsia="仿宋_GB2312"/>
          <w:sz w:val="28"/>
          <w:szCs w:val="28"/>
        </w:rPr>
        <w:t>2774.79</w:t>
      </w:r>
      <w:r>
        <w:rPr>
          <w:rFonts w:hint="eastAsia" w:ascii="仿宋_GB2312" w:eastAsia="仿宋_GB2312"/>
          <w:sz w:val="28"/>
          <w:szCs w:val="28"/>
        </w:rPr>
        <w:t>万元，占收入合计的100.00%；政府性基金预算财政拨款收入</w:t>
      </w:r>
      <w:r>
        <w:rPr>
          <w:rFonts w:ascii="仿宋_GB2312" w:eastAsia="仿宋_GB2312"/>
          <w:sz w:val="28"/>
          <w:szCs w:val="28"/>
        </w:rPr>
        <w:t>0</w:t>
      </w:r>
      <w:r>
        <w:rPr>
          <w:rFonts w:hint="eastAsia" w:ascii="仿宋_GB2312" w:eastAsia="仿宋_GB2312"/>
          <w:sz w:val="28"/>
          <w:szCs w:val="28"/>
        </w:rPr>
        <w:t>.00万元，占收入合计的0.00%；国有资本经营预算财政拨款收入</w:t>
      </w:r>
      <w:r>
        <w:rPr>
          <w:rFonts w:ascii="仿宋_GB2312" w:eastAsia="仿宋_GB2312"/>
          <w:sz w:val="28"/>
          <w:szCs w:val="28"/>
        </w:rPr>
        <w:t>0</w:t>
      </w:r>
      <w:r>
        <w:rPr>
          <w:rFonts w:hint="eastAsia" w:ascii="仿宋_GB2312" w:eastAsia="仿宋_GB2312"/>
          <w:sz w:val="28"/>
          <w:szCs w:val="28"/>
        </w:rPr>
        <w:t>.00万元，占收入合计的0.00%；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.00万元，占收入合计的0.00%；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.00万元，占收入合计的0.00%；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.00万元，占收入合计的0.00%；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.00万元，占收入合计的0.00%；</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.00万元，占收入合计的0.00%。</w:t>
      </w:r>
    </w:p>
    <w:p>
      <w:pPr>
        <w:spacing w:line="560" w:lineRule="exact"/>
        <w:ind w:firstLine="640"/>
        <w:rPr>
          <w:rFonts w:ascii="仿宋_GB2312" w:eastAsia="仿宋_GB2312" w:cs="Droid Sans"/>
          <w:color w:val="000000"/>
          <w:sz w:val="32"/>
          <w:szCs w:val="32"/>
        </w:rPr>
      </w:pPr>
    </w:p>
    <w:p>
      <w:pPr>
        <w:pStyle w:val="2"/>
        <w:jc w:val="center"/>
      </w:pPr>
      <w:r>
        <w:rPr>
          <w:rFonts w:hint="eastAsia" w:ascii="仿宋_GB2312" w:eastAsia="仿宋_GB2312"/>
          <w:color w:val="000000"/>
          <w:sz w:val="32"/>
        </w:rPr>
        <w:t>图1：收入决算</w:t>
      </w:r>
    </w:p>
    <w:p>
      <w:pPr>
        <w:pStyle w:val="3"/>
        <w:ind w:firstLine="420"/>
        <w:jc w:val="center"/>
      </w:pPr>
      <w:r>
        <w:drawing>
          <wp:inline distT="0" distB="0" distL="0" distR="0">
            <wp:extent cx="4036695" cy="2328545"/>
            <wp:effectExtent l="0" t="0"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2024年度本年支出合计</w:t>
      </w:r>
      <w:r>
        <w:rPr>
          <w:rFonts w:ascii="仿宋_GB2312" w:eastAsia="仿宋_GB2312"/>
          <w:sz w:val="28"/>
          <w:szCs w:val="28"/>
        </w:rPr>
        <w:t>2774.79</w:t>
      </w:r>
      <w:r>
        <w:rPr>
          <w:rFonts w:hint="eastAsia" w:ascii="仿宋_GB2312" w:eastAsia="仿宋_GB2312"/>
          <w:sz w:val="28"/>
          <w:szCs w:val="28"/>
        </w:rPr>
        <w:t>万元，</w:t>
      </w:r>
      <w:r>
        <w:rPr>
          <w:rFonts w:ascii="仿宋_GB2312" w:eastAsia="仿宋_GB2312"/>
          <w:sz w:val="28"/>
          <w:szCs w:val="28"/>
        </w:rPr>
        <w:t>比上年增加</w:t>
      </w:r>
      <w:r>
        <w:rPr>
          <w:rFonts w:hint="eastAsia" w:ascii="仿宋_GB2312" w:eastAsia="仿宋_GB2312"/>
          <w:sz w:val="28"/>
          <w:szCs w:val="28"/>
        </w:rPr>
        <w:t>52.87万元，增长1.94%，其中：基本支出</w:t>
      </w:r>
      <w:r>
        <w:rPr>
          <w:rFonts w:ascii="仿宋_GB2312" w:eastAsia="仿宋_GB2312"/>
          <w:sz w:val="28"/>
          <w:szCs w:val="28"/>
        </w:rPr>
        <w:t>2111.6</w:t>
      </w:r>
      <w:r>
        <w:rPr>
          <w:rFonts w:hint="eastAsia" w:ascii="仿宋_GB2312" w:eastAsia="仿宋_GB2312"/>
          <w:sz w:val="28"/>
          <w:szCs w:val="28"/>
        </w:rPr>
        <w:t>0万元，占支出合计的76.1%；项目支出</w:t>
      </w:r>
      <w:r>
        <w:rPr>
          <w:rFonts w:ascii="仿宋_GB2312" w:eastAsia="仿宋_GB2312"/>
          <w:sz w:val="28"/>
          <w:szCs w:val="28"/>
        </w:rPr>
        <w:t>663.2</w:t>
      </w:r>
      <w:r>
        <w:rPr>
          <w:rFonts w:hint="eastAsia" w:ascii="仿宋_GB2312" w:eastAsia="仿宋_GB2312"/>
          <w:sz w:val="28"/>
          <w:szCs w:val="28"/>
        </w:rPr>
        <w:t>0万元，占支出合计的23.90%;上缴上级支出</w:t>
      </w:r>
      <w:r>
        <w:rPr>
          <w:rFonts w:ascii="仿宋_GB2312" w:eastAsia="仿宋_GB2312"/>
          <w:sz w:val="28"/>
          <w:szCs w:val="28"/>
        </w:rPr>
        <w:t>0</w:t>
      </w:r>
      <w:r>
        <w:rPr>
          <w:rFonts w:hint="eastAsia" w:ascii="仿宋_GB2312" w:eastAsia="仿宋_GB2312"/>
          <w:sz w:val="28"/>
          <w:szCs w:val="28"/>
        </w:rPr>
        <w:t>.00万元，占支出合计的</w:t>
      </w:r>
      <w:r>
        <w:rPr>
          <w:rFonts w:ascii="仿宋_GB2312" w:eastAsia="仿宋_GB2312"/>
          <w:sz w:val="28"/>
          <w:szCs w:val="28"/>
        </w:rPr>
        <w:t>0</w:t>
      </w:r>
      <w:r>
        <w:rPr>
          <w:rFonts w:hint="eastAsia" w:ascii="仿宋_GB2312" w:eastAsia="仿宋_GB2312"/>
          <w:sz w:val="28"/>
          <w:szCs w:val="28"/>
        </w:rPr>
        <w:t>.00%；经营支出</w:t>
      </w:r>
      <w:r>
        <w:rPr>
          <w:rFonts w:ascii="仿宋_GB2312" w:eastAsia="仿宋_GB2312"/>
          <w:sz w:val="28"/>
          <w:szCs w:val="28"/>
        </w:rPr>
        <w:t>0</w:t>
      </w:r>
      <w:r>
        <w:rPr>
          <w:rFonts w:hint="eastAsia" w:ascii="仿宋_GB2312" w:eastAsia="仿宋_GB2312"/>
          <w:sz w:val="28"/>
          <w:szCs w:val="28"/>
        </w:rPr>
        <w:t>.00万元，占支出合计的</w:t>
      </w:r>
      <w:r>
        <w:rPr>
          <w:rFonts w:ascii="仿宋_GB2312" w:eastAsia="仿宋_GB2312"/>
          <w:sz w:val="28"/>
          <w:szCs w:val="28"/>
        </w:rPr>
        <w:t>0</w:t>
      </w:r>
      <w:r>
        <w:rPr>
          <w:rFonts w:hint="eastAsia" w:ascii="仿宋_GB2312" w:eastAsia="仿宋_GB2312"/>
          <w:sz w:val="28"/>
          <w:szCs w:val="28"/>
        </w:rPr>
        <w:t>.00%；对附属单位补助支出</w:t>
      </w:r>
      <w:r>
        <w:rPr>
          <w:rFonts w:ascii="仿宋_GB2312" w:eastAsia="仿宋_GB2312"/>
          <w:sz w:val="28"/>
          <w:szCs w:val="28"/>
        </w:rPr>
        <w:t>0</w:t>
      </w:r>
      <w:r>
        <w:rPr>
          <w:rFonts w:hint="eastAsia" w:ascii="仿宋_GB2312" w:eastAsia="仿宋_GB2312"/>
          <w:sz w:val="28"/>
          <w:szCs w:val="28"/>
        </w:rPr>
        <w:t>.00万元，占支出合计的</w:t>
      </w:r>
      <w:r>
        <w:rPr>
          <w:rFonts w:ascii="仿宋_GB2312" w:eastAsia="仿宋_GB2312"/>
          <w:sz w:val="28"/>
          <w:szCs w:val="28"/>
        </w:rPr>
        <w:t>0</w:t>
      </w:r>
      <w:r>
        <w:rPr>
          <w:rFonts w:hint="eastAsia" w:ascii="仿宋_GB2312" w:eastAsia="仿宋_GB2312"/>
          <w:sz w:val="28"/>
          <w:szCs w:val="28"/>
        </w:rPr>
        <w:t>.00%。</w:t>
      </w:r>
    </w:p>
    <w:p>
      <w:pPr>
        <w:spacing w:line="560" w:lineRule="exact"/>
        <w:ind w:firstLine="640"/>
        <w:rPr>
          <w:rFonts w:ascii="仿宋_GB2312" w:eastAsia="仿宋_GB2312" w:cs="Droid Sans"/>
          <w:color w:val="000000"/>
          <w:sz w:val="32"/>
          <w:szCs w:val="32"/>
        </w:rPr>
      </w:pP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object>
          <v:shape id="_x0000_i1025" o:spt="75" type="#_x0000_t75" style="height:217.65pt;width:361.65pt;" o:ole="t" filled="f" o:preferrelative="t" stroked="f" coordsize="21600,21600">
            <v:path/>
            <v:fill on="f" focussize="0,0"/>
            <v:stroke on="f" joinstyle="miter"/>
            <v:imagedata r:id="rId9" o:title=""/>
            <o:lock v:ext="edit" aspectratio="t"/>
            <w10:wrap type="none"/>
            <w10:anchorlock/>
          </v:shape>
          <o:OLEObject Type="Embed" ProgID="Excel.Sheet.8" ShapeID="_x0000_i1025" DrawAspect="Content" ObjectID="_1468075725" r:id="rId8">
            <o:LockedField>false</o:LockedField>
          </o:OLEObject>
        </w:objec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2024年度财政拨款收、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2774.79</w:t>
      </w:r>
      <w:r>
        <w:rPr>
          <w:rFonts w:hint="eastAsia" w:ascii="仿宋_GB2312" w:eastAsia="仿宋_GB2312"/>
          <w:sz w:val="28"/>
          <w:szCs w:val="28"/>
        </w:rPr>
        <w:t>万元，比上年</w:t>
      </w:r>
      <w:r>
        <w:rPr>
          <w:rFonts w:ascii="仿宋_GB2312" w:eastAsia="仿宋_GB2312"/>
          <w:sz w:val="28"/>
          <w:szCs w:val="28"/>
        </w:rPr>
        <w:t>增加</w:t>
      </w:r>
      <w:r>
        <w:rPr>
          <w:rFonts w:hint="eastAsia" w:ascii="仿宋_GB2312" w:eastAsia="仿宋_GB2312"/>
          <w:sz w:val="28"/>
          <w:szCs w:val="28"/>
        </w:rPr>
        <w:t>52.87万元，增长1.94%。</w:t>
      </w:r>
    </w:p>
    <w:p>
      <w:pPr>
        <w:tabs>
          <w:tab w:val="center" w:pos="6979"/>
        </w:tabs>
        <w:spacing w:line="580" w:lineRule="exact"/>
        <w:ind w:firstLine="548" w:firstLineChars="196"/>
        <w:rPr>
          <w:rFonts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（一）一般公共预算财政拨款支出决算总体情况</w:t>
      </w:r>
    </w:p>
    <w:p>
      <w:pPr>
        <w:pStyle w:val="21"/>
        <w:tabs>
          <w:tab w:val="center" w:pos="6979"/>
        </w:tabs>
        <w:spacing w:line="580" w:lineRule="exact"/>
        <w:ind w:left="420" w:firstLine="560"/>
        <w:rPr>
          <w:rFonts w:ascii="仿宋_GB2312" w:eastAsia="仿宋_GB2312"/>
          <w:sz w:val="28"/>
          <w:szCs w:val="28"/>
        </w:rPr>
      </w:pPr>
      <w:r>
        <w:rPr>
          <w:rFonts w:hint="eastAsia" w:ascii="仿宋_GB2312" w:eastAsia="仿宋_GB2312"/>
          <w:sz w:val="28"/>
          <w:szCs w:val="28"/>
        </w:rPr>
        <w:t>2024年度一般公共预算财政拨款支出</w:t>
      </w:r>
      <w:r>
        <w:rPr>
          <w:rFonts w:ascii="仿宋_GB2312" w:eastAsia="仿宋_GB2312"/>
          <w:sz w:val="28"/>
          <w:szCs w:val="28"/>
        </w:rPr>
        <w:t>2774.79</w:t>
      </w:r>
      <w:r>
        <w:rPr>
          <w:rFonts w:hint="eastAsia" w:ascii="仿宋_GB2312" w:eastAsia="仿宋_GB2312"/>
          <w:sz w:val="28"/>
          <w:szCs w:val="28"/>
        </w:rPr>
        <w:t>万元，主要用于以下方面（按大类）：一般公共服务支出2774.79万元，占本年财政拨款支出100.00%；其中：</w:t>
      </w:r>
    </w:p>
    <w:p>
      <w:pPr>
        <w:pStyle w:val="21"/>
        <w:tabs>
          <w:tab w:val="center" w:pos="6979"/>
        </w:tabs>
        <w:spacing w:line="580" w:lineRule="exact"/>
        <w:ind w:left="420" w:firstLine="560"/>
        <w:rPr>
          <w:rFonts w:ascii="仿宋_GB2312" w:eastAsia="仿宋_GB2312"/>
          <w:sz w:val="28"/>
          <w:szCs w:val="28"/>
        </w:rPr>
      </w:pPr>
      <w:r>
        <w:rPr>
          <w:rFonts w:hint="eastAsia" w:ascii="仿宋_GB2312" w:eastAsia="仿宋_GB2312"/>
          <w:sz w:val="28"/>
          <w:szCs w:val="28"/>
        </w:rPr>
        <w:t xml:space="preserve">文化旅游体育与传媒支出2041.41万元，占本年财政拨款支出73.57%； </w:t>
      </w:r>
    </w:p>
    <w:p>
      <w:pPr>
        <w:pStyle w:val="21"/>
        <w:autoSpaceDE w:val="0"/>
        <w:autoSpaceDN w:val="0"/>
        <w:adjustRightInd w:val="0"/>
        <w:spacing w:line="580" w:lineRule="exact"/>
        <w:ind w:left="420" w:firstLine="560"/>
        <w:jc w:val="left"/>
        <w:rPr>
          <w:rFonts w:ascii="仿宋_GB2312" w:eastAsia="仿宋_GB2312"/>
          <w:sz w:val="28"/>
          <w:szCs w:val="28"/>
        </w:rPr>
      </w:pPr>
      <w:r>
        <w:rPr>
          <w:rFonts w:hint="eastAsia" w:ascii="仿宋_GB2312" w:eastAsia="仿宋_GB2312"/>
          <w:sz w:val="28"/>
          <w:szCs w:val="28"/>
        </w:rPr>
        <w:t xml:space="preserve">社会保障和就业支出277.97万元，占本年财政拨款支出10.02%； </w:t>
      </w:r>
    </w:p>
    <w:p>
      <w:pPr>
        <w:pStyle w:val="21"/>
        <w:autoSpaceDE w:val="0"/>
        <w:autoSpaceDN w:val="0"/>
        <w:adjustRightInd w:val="0"/>
        <w:spacing w:line="580" w:lineRule="exact"/>
        <w:ind w:left="420" w:firstLine="560"/>
        <w:jc w:val="left"/>
        <w:rPr>
          <w:rFonts w:ascii="仿宋_GB2312" w:eastAsia="仿宋_GB2312"/>
          <w:sz w:val="28"/>
          <w:szCs w:val="28"/>
        </w:rPr>
      </w:pPr>
      <w:r>
        <w:rPr>
          <w:rFonts w:hint="eastAsia" w:ascii="仿宋_GB2312" w:eastAsia="仿宋_GB2312"/>
          <w:sz w:val="28"/>
          <w:szCs w:val="28"/>
        </w:rPr>
        <w:t xml:space="preserve">卫生健康支出155.39万元，占本年财政拨款支出5.60%； </w:t>
      </w:r>
    </w:p>
    <w:p>
      <w:pPr>
        <w:tabs>
          <w:tab w:val="center" w:pos="6979"/>
        </w:tabs>
        <w:spacing w:line="580" w:lineRule="exact"/>
        <w:ind w:firstLine="980" w:firstLineChars="350"/>
        <w:rPr>
          <w:rFonts w:ascii="仿宋_GB2312" w:eastAsia="仿宋_GB2312"/>
          <w:sz w:val="28"/>
          <w:szCs w:val="28"/>
        </w:rPr>
      </w:pPr>
      <w:r>
        <w:rPr>
          <w:rFonts w:hint="eastAsia" w:ascii="仿宋_GB2312" w:eastAsia="仿宋_GB2312"/>
          <w:sz w:val="28"/>
          <w:szCs w:val="28"/>
        </w:rPr>
        <w:t>住房保障支出300.03万元，占本年财政拨款支出10.81%。</w:t>
      </w:r>
    </w:p>
    <w:p>
      <w:pPr>
        <w:numPr>
          <w:ilvl w:val="0"/>
          <w:numId w:val="1"/>
        </w:numPr>
        <w:autoSpaceDE w:val="0"/>
        <w:autoSpaceDN w:val="0"/>
        <w:adjustRightInd w:val="0"/>
        <w:spacing w:line="580" w:lineRule="exact"/>
        <w:ind w:firstLine="560" w:firstLineChars="200"/>
        <w:jc w:val="left"/>
        <w:rPr>
          <w:rFonts w:ascii="仿宋_GB2312" w:eastAsia="仿宋_GB2312"/>
          <w:sz w:val="28"/>
          <w:szCs w:val="28"/>
        </w:rPr>
      </w:pPr>
      <w:r>
        <w:rPr>
          <w:rFonts w:hint="eastAsia" w:ascii="仿宋_GB2312" w:eastAsia="仿宋_GB2312"/>
          <w:sz w:val="28"/>
          <w:szCs w:val="28"/>
        </w:rPr>
        <w:t>一般公共预算财政拨款支出决算具体情况</w:t>
      </w:r>
    </w:p>
    <w:p>
      <w:pPr>
        <w:autoSpaceDE w:val="0"/>
        <w:autoSpaceDN w:val="0"/>
        <w:adjustRightInd w:val="0"/>
        <w:spacing w:line="580" w:lineRule="exact"/>
        <w:ind w:left="424" w:leftChars="202" w:firstLine="560" w:firstLineChars="200"/>
        <w:jc w:val="left"/>
        <w:rPr>
          <w:rFonts w:ascii="仿宋_GB2312" w:eastAsia="仿宋_GB2312"/>
          <w:sz w:val="28"/>
          <w:szCs w:val="28"/>
        </w:rPr>
      </w:pPr>
      <w:r>
        <w:rPr>
          <w:rFonts w:hint="eastAsia" w:ascii="仿宋_GB2312" w:eastAsia="仿宋_GB2312"/>
          <w:sz w:val="28"/>
          <w:szCs w:val="28"/>
        </w:rPr>
        <w:t>1、“文化旅游体育与传媒支出”（类）2024年度决算2041.41万元，比2024年度年初预算1389.26万元增加652.15万元，增长46.94%。其中：</w:t>
      </w:r>
    </w:p>
    <w:p>
      <w:pPr>
        <w:pStyle w:val="3"/>
        <w:ind w:left="424" w:leftChars="202" w:firstLine="560"/>
        <w:rPr>
          <w:rFonts w:ascii="仿宋_GB2312" w:eastAsia="仿宋_GB2312"/>
          <w:sz w:val="28"/>
          <w:szCs w:val="28"/>
        </w:rPr>
      </w:pPr>
      <w:r>
        <w:rPr>
          <w:rFonts w:hint="eastAsia" w:ascii="仿宋_GB2312" w:eastAsia="仿宋_GB2312"/>
          <w:sz w:val="28"/>
          <w:szCs w:val="28"/>
        </w:rPr>
        <w:t>“文化和旅游”（款，下同）2024年度决算2041.41万元，比2024年度年初预算1389.26万元增加652.15万元，增长46.94%。主要原因：新增三名员工、离职四名员工，退休一名员工及基数调整</w:t>
      </w:r>
    </w:p>
    <w:p>
      <w:pPr>
        <w:spacing w:line="580" w:lineRule="exact"/>
        <w:ind w:left="424" w:leftChars="202" w:firstLine="560" w:firstLineChars="200"/>
        <w:rPr>
          <w:rFonts w:ascii="仿宋_GB2312" w:eastAsia="仿宋_GB2312"/>
          <w:sz w:val="28"/>
          <w:szCs w:val="28"/>
        </w:rPr>
      </w:pPr>
      <w:r>
        <w:rPr>
          <w:rFonts w:hint="eastAsia" w:ascii="仿宋_GB2312" w:eastAsia="仿宋_GB2312"/>
          <w:sz w:val="28"/>
          <w:szCs w:val="28"/>
        </w:rPr>
        <w:t>2、“社会保障和就业支出”(类)2024年度决算277.97万元，比2024年度年初预算272.50万元增加5.47万元，增长2.01%。其中：</w:t>
      </w:r>
    </w:p>
    <w:p>
      <w:pPr>
        <w:pStyle w:val="3"/>
        <w:ind w:left="424" w:leftChars="202" w:firstLine="560"/>
      </w:pPr>
      <w:r>
        <w:rPr>
          <w:rFonts w:hint="eastAsia" w:ascii="仿宋_GB2312" w:eastAsia="仿宋_GB2312"/>
          <w:sz w:val="28"/>
          <w:szCs w:val="28"/>
        </w:rPr>
        <w:t>“行政事业单位养老支出”（款）2024年度决算277.97万元，比2024年度年初预算272.5万元增加5.47万元，增长2.01%。主要原因：新增三名员工、离职四名员工，退休一名员工及基数调整</w:t>
      </w:r>
    </w:p>
    <w:p>
      <w:pPr>
        <w:spacing w:line="580" w:lineRule="exact"/>
        <w:ind w:left="424" w:leftChars="202" w:firstLine="560" w:firstLineChars="200"/>
        <w:rPr>
          <w:rFonts w:ascii="仿宋_GB2312" w:eastAsia="仿宋_GB2312"/>
          <w:sz w:val="28"/>
          <w:szCs w:val="28"/>
        </w:rPr>
      </w:pPr>
      <w:r>
        <w:rPr>
          <w:rFonts w:hint="eastAsia" w:ascii="仿宋_GB2312" w:eastAsia="仿宋_GB2312"/>
          <w:sz w:val="28"/>
          <w:szCs w:val="28"/>
        </w:rPr>
        <w:t>3、“卫生健康支出”(类)2024年度决算155.39万元，比2024年度年初预算153.69万元增加1.70万元，增长1.11%。其中：</w:t>
      </w:r>
    </w:p>
    <w:p>
      <w:pPr>
        <w:pStyle w:val="3"/>
        <w:ind w:left="424" w:leftChars="202" w:firstLine="560"/>
      </w:pPr>
      <w:r>
        <w:rPr>
          <w:rFonts w:hint="eastAsia" w:ascii="仿宋_GB2312" w:eastAsia="仿宋_GB2312"/>
          <w:sz w:val="28"/>
          <w:szCs w:val="28"/>
        </w:rPr>
        <w:t>“行政事业单位医疗”（款）2024年度决算155.39万元，比2024年度年初预算153.69万元增加1.70万元，增长1.11%。主要原因：新增三名员工、离职四名员工，退休一名员工及基数调整</w:t>
      </w:r>
    </w:p>
    <w:p>
      <w:pPr>
        <w:spacing w:line="580" w:lineRule="exact"/>
        <w:ind w:left="424" w:leftChars="202" w:firstLine="560" w:firstLineChars="200"/>
        <w:rPr>
          <w:rFonts w:ascii="仿宋_GB2312" w:eastAsia="仿宋_GB2312"/>
          <w:sz w:val="28"/>
          <w:szCs w:val="28"/>
        </w:rPr>
      </w:pPr>
      <w:r>
        <w:rPr>
          <w:rFonts w:hint="eastAsia" w:ascii="仿宋_GB2312" w:eastAsia="仿宋_GB2312"/>
          <w:sz w:val="28"/>
          <w:szCs w:val="28"/>
        </w:rPr>
        <w:t>4、“住房保障支出”(类)2024年度决算300.03万元，比2024年度年初预算313.11万元减少13.08万元，下降4.18%。其中：</w:t>
      </w:r>
    </w:p>
    <w:p>
      <w:pPr>
        <w:pStyle w:val="3"/>
        <w:ind w:left="424" w:leftChars="202" w:firstLine="560"/>
      </w:pPr>
      <w:r>
        <w:rPr>
          <w:rFonts w:hint="eastAsia" w:ascii="仿宋_GB2312" w:eastAsia="仿宋_GB2312"/>
          <w:sz w:val="28"/>
          <w:szCs w:val="28"/>
        </w:rPr>
        <w:t>“住房改革支出”（款）2024年度决算300.03万元，比2024年度年初预算313.11万元减少13.08万元，下降4.18%。主要原因：新增三名员工、离职四名员工，退休一名员工及基数调整</w:t>
      </w:r>
    </w:p>
    <w:p>
      <w:pPr>
        <w:spacing w:line="580" w:lineRule="exact"/>
        <w:ind w:firstLine="560" w:firstLineChars="200"/>
        <w:rPr>
          <w:rFonts w:ascii="仿宋_GB2312" w:eastAsia="仿宋_GB2312"/>
          <w:sz w:val="28"/>
          <w:szCs w:val="28"/>
        </w:rPr>
      </w:pPr>
      <w:r>
        <w:rPr>
          <w:rFonts w:hint="eastAsia" w:ascii="黑体" w:eastAsia="黑体"/>
          <w:b/>
          <w:sz w:val="28"/>
          <w:szCs w:val="28"/>
        </w:rPr>
        <w:t>五、政府性基金预算财政拨款支出决算情况说明</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本年度无此项支出。</w:t>
      </w:r>
    </w:p>
    <w:p>
      <w:pPr>
        <w:spacing w:line="580" w:lineRule="exact"/>
        <w:ind w:firstLine="560" w:firstLineChars="200"/>
        <w:rPr>
          <w:rFonts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ind w:firstLine="537" w:firstLineChars="192"/>
        <w:rPr>
          <w:rFonts w:ascii="仿宋_GB2312" w:eastAsia="仿宋_GB2312"/>
          <w:sz w:val="28"/>
          <w:szCs w:val="28"/>
        </w:rPr>
      </w:pPr>
      <w:r>
        <w:rPr>
          <w:rFonts w:hint="eastAsia" w:ascii="仿宋_GB2312" w:eastAsia="仿宋_GB2312"/>
          <w:sz w:val="28"/>
          <w:szCs w:val="28"/>
        </w:rPr>
        <w:t>本年度无此项支出。</w:t>
      </w:r>
    </w:p>
    <w:p>
      <w:pPr>
        <w:spacing w:line="580" w:lineRule="exact"/>
        <w:ind w:firstLine="548" w:firstLineChars="196"/>
        <w:rPr>
          <w:rFonts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ascii="黑体" w:eastAsia="黑体"/>
          <w:b/>
          <w:sz w:val="28"/>
          <w:szCs w:val="28"/>
        </w:rPr>
      </w:pPr>
      <w:r>
        <w:rPr>
          <w:rFonts w:hint="eastAsia" w:ascii="仿宋_GB2312" w:eastAsia="仿宋_GB2312"/>
          <w:sz w:val="28"/>
          <w:szCs w:val="28"/>
        </w:rPr>
        <w:t>2024年度使用一般公共预算财政拨款安排基本支出出</w:t>
      </w:r>
      <w:r>
        <w:rPr>
          <w:rFonts w:ascii="仿宋_GB2312" w:eastAsia="仿宋_GB2312"/>
          <w:sz w:val="28"/>
          <w:szCs w:val="28"/>
        </w:rPr>
        <w:t>2111.6</w:t>
      </w:r>
      <w:r>
        <w:rPr>
          <w:rFonts w:hint="eastAsia" w:ascii="仿宋_GB2312" w:eastAsia="仿宋_GB2312"/>
          <w:sz w:val="28"/>
          <w:szCs w:val="28"/>
        </w:rPr>
        <w:t>0万元，使用政府性基金财政拨款安排基本支出</w:t>
      </w:r>
      <w:r>
        <w:rPr>
          <w:rFonts w:ascii="仿宋_GB2312" w:eastAsia="仿宋_GB2312"/>
          <w:sz w:val="28"/>
          <w:szCs w:val="28"/>
        </w:rPr>
        <w:t>0</w:t>
      </w:r>
      <w:r>
        <w:rPr>
          <w:rFonts w:hint="eastAsia" w:ascii="仿宋_GB2312" w:eastAsia="仿宋_GB2312"/>
          <w:sz w:val="28"/>
          <w:szCs w:val="28"/>
        </w:rPr>
        <w:t>.00万元，（1）工资福利支出包括基本工资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rPr>
          <w:rFonts w:ascii="宋体" w:hAnsi="宋体"/>
          <w:b/>
          <w:spacing w:val="40"/>
          <w:sz w:val="32"/>
          <w:szCs w:val="32"/>
        </w:rPr>
      </w:pPr>
      <w:r>
        <w:rPr>
          <w:rFonts w:ascii="仿宋_GB2312" w:eastAsia="仿宋_GB2312"/>
          <w:b/>
          <w:sz w:val="32"/>
          <w:szCs w:val="32"/>
        </w:rPr>
        <w:tab/>
      </w:r>
    </w:p>
    <w:p>
      <w:pPr>
        <w:tabs>
          <w:tab w:val="center" w:pos="6979"/>
        </w:tabs>
        <w:jc w:val="center"/>
        <w:rPr>
          <w:rFonts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2024年度</w:t>
      </w:r>
      <w:r>
        <w:rPr>
          <w:rFonts w:hint="eastAsia" w:ascii="宋体" w:hAnsi="宋体" w:cs="宋体"/>
          <w:b/>
          <w:spacing w:val="40"/>
          <w:kern w:val="0"/>
          <w:sz w:val="32"/>
          <w:szCs w:val="32"/>
        </w:rPr>
        <w:t>其他重要事项的情况说明</w:t>
      </w:r>
    </w:p>
    <w:p>
      <w:pPr>
        <w:spacing w:line="560" w:lineRule="exact"/>
        <w:ind w:firstLine="560" w:firstLineChars="200"/>
        <w:rPr>
          <w:rFonts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rPr>
        <w:t>2024年度“三公”经费财政拨款决算数</w:t>
      </w:r>
      <w:r>
        <w:rPr>
          <w:rFonts w:ascii="仿宋_GB2312" w:eastAsia="仿宋_GB2312"/>
          <w:sz w:val="28"/>
          <w:szCs w:val="28"/>
        </w:rPr>
        <w:t>0</w:t>
      </w:r>
      <w:r>
        <w:rPr>
          <w:rFonts w:hint="eastAsia" w:ascii="仿宋_GB2312" w:eastAsia="仿宋_GB2312"/>
          <w:sz w:val="28"/>
          <w:szCs w:val="28"/>
        </w:rPr>
        <w:t>.53万元，比2024年度“三公”经费财政拨款年初预算3.70万元减少3.70万元。其中：</w:t>
      </w:r>
    </w:p>
    <w:p>
      <w:pPr>
        <w:spacing w:line="560" w:lineRule="exact"/>
        <w:ind w:firstLine="600"/>
        <w:rPr>
          <w:rFonts w:ascii="仿宋_GB2312" w:eastAsia="仿宋_GB2312"/>
          <w:sz w:val="28"/>
          <w:szCs w:val="28"/>
        </w:rPr>
      </w:pPr>
      <w:r>
        <w:rPr>
          <w:rFonts w:hint="eastAsia" w:ascii="仿宋_GB2312" w:eastAsia="仿宋_GB2312"/>
          <w:sz w:val="28"/>
          <w:szCs w:val="28"/>
        </w:rPr>
        <w:t>1.因公出国（境）费用。2024年度决算数</w:t>
      </w:r>
      <w:r>
        <w:rPr>
          <w:rFonts w:ascii="仿宋_GB2312" w:eastAsia="仿宋_GB2312"/>
          <w:sz w:val="28"/>
          <w:szCs w:val="28"/>
        </w:rPr>
        <w:t>0</w:t>
      </w:r>
      <w:r>
        <w:rPr>
          <w:rFonts w:hint="eastAsia" w:ascii="仿宋_GB2312" w:eastAsia="仿宋_GB2312"/>
          <w:sz w:val="28"/>
          <w:szCs w:val="28"/>
        </w:rPr>
        <w:t>.00万元，与2024年度年初预算数</w:t>
      </w:r>
      <w:r>
        <w:rPr>
          <w:rFonts w:ascii="仿宋_GB2312" w:eastAsia="仿宋_GB2312"/>
          <w:sz w:val="28"/>
          <w:szCs w:val="28"/>
        </w:rPr>
        <w:t>0</w:t>
      </w:r>
      <w:r>
        <w:rPr>
          <w:rFonts w:hint="eastAsia" w:ascii="仿宋_GB2312" w:eastAsia="仿宋_GB2312"/>
          <w:sz w:val="28"/>
          <w:szCs w:val="28"/>
        </w:rPr>
        <w:t>.00万元持平。主要原因：没有因公出国（境）情况。2024年度组织因公出国（境）团组0个、0人次。</w:t>
      </w:r>
    </w:p>
    <w:p>
      <w:pPr>
        <w:spacing w:line="560" w:lineRule="exact"/>
        <w:ind w:firstLine="600"/>
        <w:rPr>
          <w:rFonts w:ascii="仿宋_GB2312" w:eastAsia="仿宋_GB2312"/>
          <w:sz w:val="28"/>
          <w:szCs w:val="28"/>
        </w:rPr>
      </w:pPr>
      <w:r>
        <w:rPr>
          <w:rFonts w:hint="eastAsia" w:ascii="仿宋_GB2312" w:eastAsia="仿宋_GB2312"/>
          <w:sz w:val="28"/>
          <w:szCs w:val="28"/>
        </w:rPr>
        <w:t>2.公务接待费。2024年度决算数</w:t>
      </w:r>
      <w:r>
        <w:rPr>
          <w:rFonts w:ascii="仿宋_GB2312" w:eastAsia="仿宋_GB2312"/>
          <w:sz w:val="28"/>
          <w:szCs w:val="28"/>
        </w:rPr>
        <w:t>0</w:t>
      </w:r>
      <w:r>
        <w:rPr>
          <w:rFonts w:hint="eastAsia" w:ascii="仿宋_GB2312" w:eastAsia="仿宋_GB2312"/>
          <w:sz w:val="28"/>
          <w:szCs w:val="28"/>
        </w:rPr>
        <w:t>.00万元，与2024年度年初预算数</w:t>
      </w:r>
      <w:r>
        <w:rPr>
          <w:rFonts w:ascii="仿宋_GB2312" w:eastAsia="仿宋_GB2312"/>
          <w:sz w:val="28"/>
          <w:szCs w:val="28"/>
        </w:rPr>
        <w:t>0</w:t>
      </w:r>
      <w:r>
        <w:rPr>
          <w:rFonts w:hint="eastAsia" w:ascii="仿宋_GB2312" w:eastAsia="仿宋_GB2312"/>
          <w:sz w:val="28"/>
          <w:szCs w:val="28"/>
        </w:rPr>
        <w:t>.00万元持平。主要原因：无公务接待事项情况。公务接待0批次，公务接待0人次。</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 公务用车购置及运行维护费。2024年度决算数</w:t>
      </w:r>
      <w:r>
        <w:rPr>
          <w:rFonts w:ascii="仿宋_GB2312" w:eastAsia="仿宋_GB2312"/>
          <w:sz w:val="28"/>
          <w:szCs w:val="28"/>
        </w:rPr>
        <w:t>0.53</w:t>
      </w:r>
      <w:r>
        <w:rPr>
          <w:rFonts w:hint="eastAsia" w:ascii="仿宋_GB2312" w:eastAsia="仿宋_GB2312"/>
          <w:sz w:val="28"/>
          <w:szCs w:val="28"/>
        </w:rPr>
        <w:t>万元，比2024年度年初预算数</w:t>
      </w:r>
      <w:r>
        <w:rPr>
          <w:rFonts w:ascii="仿宋_GB2312" w:eastAsia="仿宋_GB2312"/>
          <w:sz w:val="28"/>
          <w:szCs w:val="28"/>
        </w:rPr>
        <w:t>3.7</w:t>
      </w:r>
      <w:r>
        <w:rPr>
          <w:rFonts w:hint="eastAsia" w:ascii="仿宋_GB2312" w:eastAsia="仿宋_GB2312"/>
          <w:sz w:val="28"/>
          <w:szCs w:val="28"/>
        </w:rPr>
        <w:t>0万元减少</w:t>
      </w:r>
      <w:r>
        <w:rPr>
          <w:rFonts w:ascii="仿宋_GB2312" w:eastAsia="仿宋_GB2312"/>
          <w:sz w:val="28"/>
          <w:szCs w:val="28"/>
        </w:rPr>
        <w:t>3.17</w:t>
      </w:r>
      <w:r>
        <w:rPr>
          <w:rFonts w:hint="eastAsia" w:ascii="仿宋_GB2312" w:eastAsia="仿宋_GB2312"/>
          <w:sz w:val="28"/>
          <w:szCs w:val="28"/>
        </w:rPr>
        <w:t>万元。</w:t>
      </w:r>
    </w:p>
    <w:p>
      <w:pPr>
        <w:spacing w:line="560" w:lineRule="exact"/>
        <w:ind w:firstLine="560" w:firstLineChars="200"/>
      </w:pPr>
      <w:r>
        <w:rPr>
          <w:rFonts w:hint="eastAsia" w:ascii="仿宋_GB2312" w:eastAsia="仿宋_GB2312"/>
          <w:sz w:val="28"/>
          <w:szCs w:val="28"/>
        </w:rPr>
        <w:t>其中，公务用车购置费2024年度决算数</w:t>
      </w:r>
      <w:r>
        <w:rPr>
          <w:rFonts w:ascii="仿宋_GB2312" w:eastAsia="仿宋_GB2312"/>
          <w:sz w:val="28"/>
          <w:szCs w:val="28"/>
        </w:rPr>
        <w:t>0</w:t>
      </w:r>
      <w:r>
        <w:rPr>
          <w:rFonts w:hint="eastAsia" w:ascii="仿宋_GB2312" w:eastAsia="仿宋_GB2312"/>
          <w:sz w:val="28"/>
          <w:szCs w:val="28"/>
        </w:rPr>
        <w:t>.00万元，主要原因：无公务用车购置事项，2024年度购置（更新）0辆。公务用车运行维护费2024年度决算数0.53万元，比2024年度年初预算数3.70万元减少</w:t>
      </w:r>
      <w:r>
        <w:rPr>
          <w:rFonts w:ascii="仿宋_GB2312" w:eastAsia="仿宋_GB2312"/>
          <w:sz w:val="28"/>
          <w:szCs w:val="28"/>
        </w:rPr>
        <w:t>3.17</w:t>
      </w:r>
      <w:r>
        <w:rPr>
          <w:rFonts w:hint="eastAsia" w:ascii="仿宋_GB2312" w:eastAsia="仿宋_GB2312"/>
          <w:sz w:val="28"/>
          <w:szCs w:val="28"/>
        </w:rPr>
        <w:t>万元，主要原因：落实中央过紧日子的精神，减少公务用车的使用。202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2</w:t>
      </w:r>
      <w:r>
        <w:rPr>
          <w:rFonts w:hint="eastAsia" w:ascii="仿宋_GB2312" w:eastAsia="仿宋_GB2312"/>
          <w:sz w:val="28"/>
          <w:szCs w:val="28"/>
        </w:rPr>
        <w:t>辆。</w:t>
      </w:r>
    </w:p>
    <w:p>
      <w:pPr>
        <w:tabs>
          <w:tab w:val="center" w:pos="6979"/>
        </w:tabs>
        <w:ind w:firstLine="554" w:firstLineChars="198"/>
        <w:rPr>
          <w:rFonts w:ascii="黑体" w:eastAsia="黑体"/>
          <w:sz w:val="28"/>
          <w:szCs w:val="28"/>
        </w:rPr>
      </w:pPr>
      <w:r>
        <w:rPr>
          <w:rFonts w:hint="eastAsia" w:ascii="黑体" w:eastAsia="黑体"/>
          <w:sz w:val="28"/>
          <w:szCs w:val="28"/>
        </w:rPr>
        <w:t>二、机关运行经费支出情况</w:t>
      </w:r>
    </w:p>
    <w:p>
      <w:pPr>
        <w:ind w:firstLine="537" w:firstLineChars="192"/>
        <w:rPr>
          <w:rFonts w:ascii="仿宋_GB2312" w:eastAsia="仿宋_GB2312"/>
          <w:sz w:val="28"/>
          <w:szCs w:val="28"/>
        </w:rPr>
      </w:pPr>
      <w:r>
        <w:rPr>
          <w:rFonts w:hint="eastAsia" w:ascii="仿宋_GB2312" w:eastAsia="仿宋_GB2312"/>
          <w:sz w:val="28"/>
          <w:szCs w:val="28"/>
        </w:rPr>
        <w:t>2024年度本单位不在机关运行经费统计范围内。</w:t>
      </w:r>
    </w:p>
    <w:p>
      <w:pPr>
        <w:ind w:left="540"/>
        <w:rPr>
          <w:rFonts w:ascii="黑体" w:eastAsia="黑体"/>
          <w:sz w:val="28"/>
          <w:szCs w:val="28"/>
        </w:rPr>
      </w:pPr>
      <w:r>
        <w:rPr>
          <w:rFonts w:hint="eastAsia" w:ascii="黑体" w:eastAsia="黑体"/>
          <w:sz w:val="28"/>
          <w:szCs w:val="28"/>
        </w:rPr>
        <w:t>三、政府采购支出情况</w:t>
      </w:r>
    </w:p>
    <w:p>
      <w:pPr>
        <w:ind w:firstLine="560" w:firstLineChars="200"/>
        <w:rPr>
          <w:rFonts w:ascii="仿宋_GB2312" w:eastAsia="仿宋_GB2312"/>
          <w:sz w:val="28"/>
          <w:szCs w:val="28"/>
          <w:highlight w:val="yellow"/>
        </w:rPr>
      </w:pPr>
      <w:r>
        <w:rPr>
          <w:rFonts w:hint="eastAsia" w:ascii="仿宋_GB2312" w:eastAsia="仿宋_GB2312"/>
          <w:sz w:val="28"/>
          <w:szCs w:val="28"/>
        </w:rPr>
        <w:t>2024年度政府采购支出总额</w:t>
      </w:r>
      <w:r>
        <w:rPr>
          <w:rFonts w:ascii="仿宋_GB2312" w:eastAsia="仿宋_GB2312"/>
          <w:sz w:val="28"/>
          <w:szCs w:val="28"/>
        </w:rPr>
        <w:t>309.62</w:t>
      </w:r>
      <w:r>
        <w:rPr>
          <w:rFonts w:hint="eastAsia" w:ascii="仿宋_GB2312" w:eastAsia="仿宋_GB2312"/>
          <w:sz w:val="28"/>
          <w:szCs w:val="28"/>
        </w:rPr>
        <w:t>万元，其中：政府采购货物支出</w:t>
      </w:r>
      <w:r>
        <w:rPr>
          <w:rFonts w:ascii="仿宋_GB2312" w:eastAsia="仿宋_GB2312"/>
          <w:sz w:val="28"/>
          <w:szCs w:val="28"/>
        </w:rPr>
        <w:t>172.39</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.00万元，政府采购服务支出</w:t>
      </w:r>
      <w:r>
        <w:rPr>
          <w:rFonts w:ascii="仿宋_GB2312" w:eastAsia="仿宋_GB2312"/>
          <w:sz w:val="28"/>
          <w:szCs w:val="28"/>
        </w:rPr>
        <w:t>137.23</w:t>
      </w:r>
      <w:r>
        <w:rPr>
          <w:rFonts w:hint="eastAsia" w:ascii="仿宋_GB2312" w:eastAsia="仿宋_GB2312"/>
          <w:sz w:val="28"/>
          <w:szCs w:val="28"/>
        </w:rPr>
        <w:t>万元。授予中小企业合同金额</w:t>
      </w:r>
      <w:r>
        <w:rPr>
          <w:rFonts w:ascii="仿宋_GB2312" w:eastAsia="仿宋_GB2312"/>
          <w:sz w:val="28"/>
          <w:szCs w:val="28"/>
        </w:rPr>
        <w:t>231.39</w:t>
      </w:r>
      <w:r>
        <w:rPr>
          <w:rFonts w:hint="eastAsia" w:ascii="仿宋_GB2312" w:eastAsia="仿宋_GB2312"/>
          <w:sz w:val="28"/>
          <w:szCs w:val="28"/>
        </w:rPr>
        <w:t>万元，占政府采购支出总额的74.74%，其中：授予小微企业合同金额215.61万元，占政府采购支出总额的</w:t>
      </w:r>
      <w:r>
        <w:rPr>
          <w:rFonts w:ascii="仿宋_GB2312" w:eastAsia="仿宋_GB2312"/>
          <w:sz w:val="28"/>
          <w:szCs w:val="28"/>
        </w:rPr>
        <w:t>69.64</w:t>
      </w:r>
      <w:r>
        <w:rPr>
          <w:rFonts w:hint="eastAsia" w:ascii="仿宋_GB2312" w:eastAsia="仿宋_GB2312"/>
          <w:sz w:val="28"/>
          <w:szCs w:val="28"/>
        </w:rPr>
        <w:t>%。</w:t>
      </w:r>
    </w:p>
    <w:p>
      <w:pPr>
        <w:ind w:firstLine="560" w:firstLineChars="200"/>
        <w:rPr>
          <w:rFonts w:ascii="黑体" w:eastAsia="黑体"/>
          <w:sz w:val="28"/>
          <w:szCs w:val="28"/>
          <w:highlight w:val="yellow"/>
        </w:rPr>
      </w:pPr>
      <w:r>
        <w:rPr>
          <w:rFonts w:hint="eastAsia" w:ascii="黑体" w:eastAsia="黑体"/>
          <w:sz w:val="28"/>
          <w:szCs w:val="28"/>
        </w:rPr>
        <w:t>四、国有资产占用情况</w:t>
      </w:r>
    </w:p>
    <w:p>
      <w:pPr>
        <w:ind w:firstLine="537" w:firstLineChars="192"/>
        <w:rPr>
          <w:rFonts w:hint="eastAsia" w:ascii="仿宋_GB2312" w:eastAsia="仿宋_GB2312"/>
          <w:sz w:val="28"/>
          <w:szCs w:val="28"/>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12月31日，北京市通州区图书馆</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2</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ascii="仿宋_GB2312" w:eastAsia="仿宋_GB2312"/>
          <w:sz w:val="28"/>
          <w:szCs w:val="28"/>
        </w:rPr>
      </w:pPr>
      <w:r>
        <w:rPr>
          <w:rFonts w:hint="eastAsia" w:ascii="仿宋_GB2312" w:eastAsia="仿宋_GB2312"/>
          <w:sz w:val="28"/>
          <w:szCs w:val="28"/>
        </w:rPr>
        <w:t>2024年度</w:t>
      </w:r>
      <w:r>
        <w:rPr>
          <w:rFonts w:ascii="仿宋_GB2312" w:eastAsia="仿宋_GB2312"/>
          <w:sz w:val="28"/>
          <w:szCs w:val="28"/>
        </w:rPr>
        <w:t>政府购买服务决算0</w:t>
      </w:r>
      <w:r>
        <w:rPr>
          <w:rFonts w:hint="eastAsia" w:ascii="仿宋_GB2312" w:eastAsia="仿宋_GB2312"/>
          <w:sz w:val="28"/>
          <w:szCs w:val="28"/>
        </w:rPr>
        <w:t>.00万元。</w:t>
      </w:r>
    </w:p>
    <w:p>
      <w:pPr>
        <w:ind w:firstLine="560" w:firstLineChars="200"/>
        <w:jc w:val="left"/>
        <w:rPr>
          <w:rFonts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ascii="仿宋_GB2312" w:eastAsia="仿宋_GB2312"/>
          <w:sz w:val="28"/>
          <w:szCs w:val="28"/>
        </w:rPr>
      </w:pPr>
      <w:r>
        <w:rPr>
          <w:rFonts w:hint="eastAsia" w:ascii="仿宋_GB2312" w:eastAsia="仿宋_GB2312"/>
          <w:sz w:val="28"/>
          <w:szCs w:val="28"/>
        </w:rPr>
        <w:t>7.一般公共服务支出（类）党委办公厅（室）及相关机构事务（款）一般行政管理事务（项）：反映</w:t>
      </w:r>
      <w:r>
        <w:rPr>
          <w:rFonts w:hint="eastAsia" w:ascii="仿宋_GB2312" w:hAnsi="宋体" w:eastAsia="仿宋_GB2312"/>
          <w:sz w:val="28"/>
          <w:szCs w:val="28"/>
        </w:rPr>
        <w:t>行政单位（包括实行公务员管理的事业单位）未单独设置项级科目的其他项目支出。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8.文化旅游体育与传媒支出(类)文化和旅游(款)行政运行(项)：反映行政单位（包括实行公务员管理的事业单位）的基本支出。</w:t>
      </w:r>
    </w:p>
    <w:p>
      <w:pPr>
        <w:ind w:firstLine="560" w:firstLineChars="200"/>
      </w:pPr>
      <w:r>
        <w:rPr>
          <w:rFonts w:hint="eastAsia" w:ascii="仿宋_GB2312" w:hAnsi="宋体" w:eastAsia="仿宋_GB2312"/>
          <w:sz w:val="28"/>
          <w:szCs w:val="28"/>
        </w:rPr>
        <w:t>9.文化旅游体育与传媒支出(类)文化和旅游(款)文化和旅游市场管理(项)反映文化和旅游执法检查等文化旅游市场管理方面的支出。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10.文化旅游体育与传媒支出(类)文化和旅游(款)其他文化和旅游支出(项)：反映其他用于文化和旅游方面的支出。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11.文化旅游体育与传媒支出(类)文物(款)历史名城与古迹(项)：反映历史名城、世界遗产规划与古迹保护等方面的支出。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12.社会保障和就业支出(类)行政事业单位养老支出(款)行政单位离退休(项)：反映行政单位（包括实行公务员管理的事业单位）开支的离退休经费。</w:t>
      </w:r>
    </w:p>
    <w:p>
      <w:pPr>
        <w:ind w:firstLine="560" w:firstLineChars="200"/>
      </w:pPr>
      <w:r>
        <w:rPr>
          <w:rFonts w:hint="eastAsia" w:ascii="仿宋_GB2312" w:hAnsi="宋体" w:eastAsia="仿宋_GB2312"/>
          <w:sz w:val="28"/>
          <w:szCs w:val="28"/>
        </w:rPr>
        <w:t>13.社会保障和就业支出(类)行政事业单位养老支出(款)事业单位离退休(项)：反映事业单位开支的离退休经费。</w:t>
      </w:r>
    </w:p>
    <w:p>
      <w:pPr>
        <w:ind w:firstLine="560" w:firstLineChars="200"/>
        <w:rPr>
          <w:rFonts w:ascii="仿宋_GB2312" w:hAnsi="宋体" w:eastAsia="仿宋_GB2312"/>
          <w:sz w:val="28"/>
          <w:szCs w:val="28"/>
        </w:rPr>
      </w:pPr>
      <w:r>
        <w:rPr>
          <w:rFonts w:hint="eastAsia" w:ascii="仿宋_GB2312" w:hAnsi="宋体" w:eastAsia="仿宋_GB2312"/>
          <w:sz w:val="28"/>
          <w:szCs w:val="28"/>
        </w:rPr>
        <w:t>14.社会保障和就业支出(类)行政事业单位养老支出(款)机关事业单位基本养老保险缴费支出(项)：反映机关事业单位实施养老保险制度由单位缴纳的基本养老保险费支出。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15.社会保障和就业支出(类)行政事业单位养老支出(款)机关事业单位职业年金缴费支出(项)：反映机关事业单位实施养老保险制度由单位缴纳的职业年金支出。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16.卫生健康支出(类)行政事业单位医疗(款)行政单位医疗(项)：反映财政部门安排的行政单位（包括实行公务员管理的事业单位）基本医疗保险缴费经费。</w:t>
      </w:r>
    </w:p>
    <w:p>
      <w:pPr>
        <w:ind w:firstLine="560" w:firstLineChars="200"/>
        <w:rPr>
          <w:rFonts w:ascii="仿宋_GB2312" w:hAnsi="宋体" w:eastAsia="仿宋_GB2312"/>
          <w:sz w:val="28"/>
          <w:szCs w:val="28"/>
        </w:rPr>
      </w:pPr>
      <w:r>
        <w:rPr>
          <w:rFonts w:hint="eastAsia" w:ascii="仿宋_GB2312" w:hAnsi="宋体" w:eastAsia="仿宋_GB2312"/>
          <w:sz w:val="28"/>
          <w:szCs w:val="28"/>
        </w:rPr>
        <w:t>17.卫生健康支出(类)行政事业单位医疗(款)事业单位医疗(项)：反映财政部门安排的事业单位基本医疗保险缴费经费。</w:t>
      </w:r>
    </w:p>
    <w:p>
      <w:pPr>
        <w:ind w:firstLine="560" w:firstLineChars="200"/>
        <w:rPr>
          <w:rFonts w:ascii="仿宋_GB2312" w:hAnsi="宋体" w:eastAsia="仿宋_GB2312"/>
          <w:sz w:val="28"/>
          <w:szCs w:val="28"/>
        </w:rPr>
      </w:pPr>
      <w:r>
        <w:rPr>
          <w:rFonts w:hint="eastAsia" w:ascii="仿宋_GB2312" w:hAnsi="宋体" w:eastAsia="仿宋_GB2312"/>
          <w:sz w:val="28"/>
          <w:szCs w:val="28"/>
        </w:rPr>
        <w:t>18.农林水支出(类)农业农村(款)其他农业农村支出(项)：反映其他用于农业农村方面的支出。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19.援助其他地区支出(类)其他支出(款)：反映援助其他地区资金中除教育、交通运输等项目以外的其他支出。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20.住房保障支出(类)住房改革支出(款)住房公积金(项)：反映行政事业单位按人力资源和社会保障部、财政部规定的基本工资和津贴补贴以及规定比例为职工缴纳的住房公积金。</w:t>
      </w:r>
    </w:p>
    <w:p>
      <w:pPr>
        <w:pStyle w:val="3"/>
        <w:ind w:firstLine="560"/>
        <w:rPr>
          <w:rFonts w:eastAsia="仿宋_GB2312"/>
        </w:rPr>
      </w:pPr>
      <w:r>
        <w:rPr>
          <w:rFonts w:hint="eastAsia" w:ascii="仿宋_GB2312" w:hAnsi="宋体" w:eastAsia="仿宋_GB2312"/>
          <w:sz w:val="28"/>
          <w:szCs w:val="28"/>
        </w:rPr>
        <w:t>21.住房保障支出(类)住房改革支出(款)购房补贴(项)：反映按房改政策规定，行政事业单位向符合条件职工（含离退休人员）、军队（含武警）向转役复员离退休人员发放的用于购买住房的补贴。</w:t>
      </w:r>
    </w:p>
    <w:p>
      <w:pPr>
        <w:rPr>
          <w:rFonts w:ascii="黑体" w:eastAsia="黑体"/>
          <w:sz w:val="32"/>
          <w:szCs w:val="32"/>
        </w:rPr>
      </w:pPr>
    </w:p>
    <w:p>
      <w:pPr>
        <w:tabs>
          <w:tab w:val="center" w:pos="6979"/>
        </w:tabs>
        <w:spacing w:line="380" w:lineRule="exact"/>
        <w:jc w:val="center"/>
        <w:rPr>
          <w:rFonts w:ascii="宋体" w:hAnsi="宋体" w:cs="宋体"/>
          <w:b/>
          <w:bCs/>
          <w:kern w:val="0"/>
          <w:sz w:val="28"/>
          <w:szCs w:val="28"/>
        </w:rPr>
      </w:pPr>
      <w:bookmarkStart w:id="0" w:name="_GoBack"/>
      <w:bookmarkEnd w:id="0"/>
    </w:p>
    <w:p>
      <w:pPr>
        <w:tabs>
          <w:tab w:val="center" w:pos="6979"/>
        </w:tabs>
        <w:spacing w:line="380" w:lineRule="exact"/>
        <w:jc w:val="center"/>
        <w:rPr>
          <w:rFonts w:ascii="宋体" w:hAnsi="宋体" w:cs="宋体"/>
          <w:b/>
          <w:bCs/>
          <w:kern w:val="0"/>
          <w:sz w:val="28"/>
          <w:szCs w:val="28"/>
        </w:rPr>
      </w:pPr>
    </w:p>
    <w:p>
      <w:pPr>
        <w:rPr>
          <w:rFonts w:ascii="黑体" w:eastAsia="黑体"/>
          <w:sz w:val="32"/>
          <w:szCs w:val="32"/>
        </w:rPr>
      </w:pPr>
    </w:p>
    <w:p>
      <w:pPr>
        <w:ind w:firstLine="640" w:firstLineChars="200"/>
        <w:jc w:val="center"/>
        <w:rPr>
          <w:rFonts w:ascii="黑体" w:eastAsia="黑体"/>
          <w:sz w:val="32"/>
          <w:szCs w:val="32"/>
        </w:rPr>
      </w:pPr>
    </w:p>
    <w:p>
      <w:pPr>
        <w:ind w:firstLine="640" w:firstLineChars="200"/>
        <w:jc w:val="center"/>
        <w:rPr>
          <w:rFonts w:ascii="黑体" w:eastAsia="黑体"/>
          <w:sz w:val="28"/>
          <w:szCs w:val="28"/>
          <w:highlight w:val="yellow"/>
        </w:rPr>
      </w:pPr>
      <w:r>
        <w:rPr>
          <w:rFonts w:hint="eastAsia" w:ascii="黑体" w:eastAsia="黑体"/>
          <w:sz w:val="32"/>
          <w:szCs w:val="32"/>
        </w:rPr>
        <w:t>第四部分  2024年度部门绩效评价情况</w:t>
      </w:r>
    </w:p>
    <w:p>
      <w:p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rPr>
        <w:t>（格式详见附件）</w:t>
      </w:r>
    </w:p>
    <w:tbl>
      <w:tblPr>
        <w:tblStyle w:val="11"/>
        <w:tblW w:w="14163" w:type="dxa"/>
        <w:jc w:val="center"/>
        <w:tblInd w:w="0" w:type="dxa"/>
        <w:tblLayout w:type="fixed"/>
        <w:tblCellMar>
          <w:top w:w="0" w:type="dxa"/>
          <w:left w:w="108" w:type="dxa"/>
          <w:bottom w:w="0" w:type="dxa"/>
          <w:right w:w="108" w:type="dxa"/>
        </w:tblCellMar>
      </w:tblPr>
      <w:tblGrid>
        <w:gridCol w:w="14163"/>
      </w:tblGrid>
      <w:tr>
        <w:tblPrEx>
          <w:tblLayout w:type="fixed"/>
        </w:tblPrEx>
        <w:trPr>
          <w:trHeight w:val="440" w:hRule="exact"/>
          <w:jc w:val="center"/>
        </w:trPr>
        <w:tc>
          <w:tcPr>
            <w:tcW w:w="14163" w:type="dxa"/>
            <w:tcBorders>
              <w:top w:val="nil"/>
              <w:left w:val="nil"/>
              <w:bottom w:val="nil"/>
              <w:right w:val="nil"/>
            </w:tcBorders>
            <w:vAlign w:val="center"/>
          </w:tcPr>
          <w:p>
            <w:pPr>
              <w:widowControl/>
              <w:spacing w:line="500" w:lineRule="exact"/>
              <w:jc w:val="center"/>
              <w:rPr>
                <w:rFonts w:ascii="宋体" w:hAnsi="宋体" w:cs="宋体"/>
                <w:b/>
                <w:bCs/>
                <w:kern w:val="0"/>
                <w:sz w:val="32"/>
                <w:szCs w:val="32"/>
              </w:rPr>
            </w:pPr>
            <w:r>
              <w:rPr>
                <w:rFonts w:hint="eastAsia" w:ascii="方正小标宋简体" w:hAnsi="方正小标宋简体" w:eastAsia="方正小标宋简体" w:cs="方正小标宋简体"/>
                <w:b/>
                <w:bCs/>
                <w:kern w:val="0"/>
                <w:sz w:val="36"/>
                <w:szCs w:val="36"/>
              </w:rPr>
              <w:t>项目支出绩效自评表</w:t>
            </w:r>
          </w:p>
        </w:tc>
      </w:tr>
      <w:tr>
        <w:tblPrEx>
          <w:tblLayout w:type="fixed"/>
          <w:tblCellMar>
            <w:top w:w="0" w:type="dxa"/>
            <w:left w:w="108" w:type="dxa"/>
            <w:bottom w:w="0" w:type="dxa"/>
            <w:right w:w="108" w:type="dxa"/>
          </w:tblCellMar>
        </w:tblPrEx>
        <w:trPr>
          <w:trHeight w:val="194" w:hRule="atLeast"/>
          <w:jc w:val="center"/>
        </w:trPr>
        <w:tc>
          <w:tcPr>
            <w:tcW w:w="14163" w:type="dxa"/>
            <w:tcBorders>
              <w:top w:val="nil"/>
              <w:left w:val="nil"/>
              <w:bottom w:val="nil"/>
              <w:right w:val="nil"/>
            </w:tcBorders>
          </w:tcPr>
          <w:p>
            <w:pPr>
              <w:widowControl/>
              <w:jc w:val="center"/>
              <w:rPr>
                <w:rFonts w:ascii="宋体" w:hAnsi="宋体" w:cs="宋体"/>
                <w:kern w:val="0"/>
                <w:sz w:val="22"/>
              </w:rPr>
            </w:pPr>
            <w:r>
              <w:rPr>
                <w:rFonts w:hint="eastAsia" w:ascii="仿宋_GB2312" w:hAnsi="仿宋_GB2312" w:eastAsia="仿宋_GB2312" w:cs="仿宋_GB2312"/>
                <w:kern w:val="0"/>
                <w:sz w:val="28"/>
                <w:szCs w:val="28"/>
              </w:rPr>
              <w:t>（2024年度）</w:t>
            </w:r>
          </w:p>
        </w:tc>
      </w:tr>
    </w:tbl>
    <w:p/>
    <w:p>
      <w:pPr>
        <w:spacing w:line="580" w:lineRule="exact"/>
        <w:ind w:firstLine="560" w:firstLineChars="200"/>
        <w:rPr>
          <w:rFonts w:ascii="仿宋_GB2312" w:hAnsi="仿宋_GB2312" w:eastAsia="仿宋_GB2312" w:cs="仿宋_GB2312"/>
          <w:sz w:val="28"/>
          <w:szCs w:val="28"/>
        </w:rPr>
      </w:pPr>
    </w:p>
    <w:p>
      <w:pPr>
        <w:pStyle w:val="2"/>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通州区图书馆推进社保卡一卡通服务项目</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0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271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对通州区图书馆本馆的自助办证机、自助借还机、台口馆员工作站、门口24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实现使广大读者可以通过使用社保卡，也可以在图书馆上述RFID自助设备上进行办证、借还图书，也可通过手机电子社保卡进行办证、借还图书，起到简化读者办证、简化借还图书流程，提高读者的借阅体验的作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按既定目标完成，实现社保卡一卡通服务，有效简化读者办证、借还图书流程，进一步提高读者的借阅体验，持续提升公共图书馆服务水平。</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物理社保卡读卡器</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电子社保卡的扫描器</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设备软件系统优化、升级</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设备软件系统（24小时街区自助图书馆）</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设备结构改造（24小时街区自助图书馆）</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台口馆员工作站社保卡改造</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质量达标率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设备采购、运输</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5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实现社保卡在图书馆的身份认证和业务办理功能</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让读者可以使用社保卡便捷的办理读者卡、借阅图书等。</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实现社保卡便捷办证、借阅图书等功能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提升图书馆服务的覆盖范围和便捷程度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吸引更多人利用图书馆资源，提高图书馆的社会影响力。</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宣传</w:t>
            </w:r>
            <w:r>
              <w:rPr>
                <w:rFonts w:ascii="仿宋_GB2312" w:hAnsi="宋体" w:eastAsia="仿宋_GB2312" w:cs="宋体"/>
                <w:kern w:val="0"/>
                <w:szCs w:val="21"/>
              </w:rPr>
              <w:t>力度不足</w:t>
            </w:r>
            <w:r>
              <w:rPr>
                <w:rFonts w:hint="eastAsia" w:ascii="仿宋_GB2312" w:hAnsi="宋体" w:eastAsia="仿宋_GB2312" w:cs="宋体"/>
                <w:kern w:val="0"/>
                <w:szCs w:val="21"/>
              </w:rPr>
              <w:t>。加强</w:t>
            </w:r>
            <w:r>
              <w:rPr>
                <w:rFonts w:ascii="仿宋_GB2312" w:hAnsi="宋体" w:eastAsia="仿宋_GB2312" w:cs="宋体"/>
                <w:kern w:val="0"/>
                <w:szCs w:val="21"/>
              </w:rPr>
              <w:t>信息发布和馆内</w:t>
            </w:r>
            <w:r>
              <w:rPr>
                <w:rFonts w:hint="eastAsia" w:ascii="仿宋_GB2312" w:hAnsi="宋体" w:eastAsia="仿宋_GB2312" w:cs="宋体"/>
                <w:kern w:val="0"/>
                <w:szCs w:val="21"/>
              </w:rPr>
              <w:t>宣传</w:t>
            </w:r>
            <w:r>
              <w:rPr>
                <w:rFonts w:ascii="仿宋_GB2312" w:hAnsi="宋体" w:eastAsia="仿宋_GB2312" w:cs="宋体"/>
                <w:kern w:val="0"/>
                <w:szCs w:val="21"/>
              </w:rPr>
              <w:t>，</w:t>
            </w:r>
            <w:r>
              <w:rPr>
                <w:rFonts w:hint="eastAsia" w:ascii="仿宋_GB2312" w:hAnsi="宋体" w:eastAsia="仿宋_GB2312" w:cs="宋体"/>
                <w:kern w:val="0"/>
                <w:szCs w:val="21"/>
              </w:rPr>
              <w:t>向</w:t>
            </w:r>
            <w:r>
              <w:rPr>
                <w:rFonts w:ascii="仿宋_GB2312" w:hAnsi="宋体" w:eastAsia="仿宋_GB2312" w:cs="宋体"/>
                <w:kern w:val="0"/>
                <w:szCs w:val="21"/>
              </w:rPr>
              <w:t>读者</w:t>
            </w:r>
            <w:r>
              <w:rPr>
                <w:rFonts w:hint="eastAsia" w:ascii="仿宋_GB2312" w:hAnsi="宋体" w:eastAsia="仿宋_GB2312" w:cs="宋体"/>
                <w:kern w:val="0"/>
                <w:szCs w:val="21"/>
              </w:rPr>
              <w:t>持续</w:t>
            </w:r>
            <w:r>
              <w:rPr>
                <w:rFonts w:ascii="仿宋_GB2312" w:hAnsi="宋体" w:eastAsia="仿宋_GB2312" w:cs="宋体"/>
                <w:kern w:val="0"/>
                <w:szCs w:val="21"/>
              </w:rPr>
              <w:t>推广</w:t>
            </w:r>
            <w:r>
              <w:rPr>
                <w:rFonts w:hint="eastAsia" w:ascii="仿宋_GB2312" w:hAnsi="宋体" w:eastAsia="仿宋_GB2312" w:cs="宋体"/>
                <w:kern w:val="0"/>
                <w:szCs w:val="21"/>
              </w:rPr>
              <w:t>相关</w:t>
            </w:r>
            <w:r>
              <w:rPr>
                <w:rFonts w:ascii="仿宋_GB2312" w:hAnsi="宋体" w:eastAsia="仿宋_GB2312" w:cs="宋体"/>
                <w:kern w:val="0"/>
                <w:szCs w:val="21"/>
              </w:rPr>
              <w:t>业务。</w:t>
            </w:r>
          </w:p>
        </w:tc>
      </w:tr>
      <w:tr>
        <w:tblPrEx>
          <w:tblLayout w:type="fixed"/>
          <w:tblCellMar>
            <w:top w:w="0" w:type="dxa"/>
            <w:left w:w="108" w:type="dxa"/>
            <w:bottom w:w="0" w:type="dxa"/>
            <w:right w:w="108" w:type="dxa"/>
          </w:tblCellMar>
        </w:tblPrEx>
        <w:trPr>
          <w:trHeight w:val="22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促进公共资源的共享与整合</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加强图书馆与其他公共服务机构的合作与互动。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不断促进</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现有</w:t>
            </w:r>
            <w:r>
              <w:rPr>
                <w:rFonts w:ascii="仿宋_GB2312" w:hAnsi="宋体" w:eastAsia="仿宋_GB2312" w:cs="宋体"/>
                <w:kern w:val="0"/>
                <w:szCs w:val="21"/>
              </w:rPr>
              <w:t>系统与数据对接有技术局限性</w:t>
            </w:r>
            <w:r>
              <w:rPr>
                <w:rFonts w:hint="eastAsia" w:ascii="仿宋_GB2312" w:hAnsi="宋体" w:eastAsia="仿宋_GB2312" w:cs="宋体"/>
                <w:kern w:val="0"/>
                <w:szCs w:val="21"/>
              </w:rPr>
              <w:t>。加强</w:t>
            </w:r>
            <w:r>
              <w:rPr>
                <w:rFonts w:ascii="仿宋_GB2312" w:hAnsi="宋体" w:eastAsia="仿宋_GB2312" w:cs="宋体"/>
                <w:kern w:val="0"/>
                <w:szCs w:val="21"/>
              </w:rPr>
              <w:t>与其他</w:t>
            </w:r>
            <w:r>
              <w:rPr>
                <w:rFonts w:hint="eastAsia" w:ascii="仿宋_GB2312" w:hAnsi="宋体" w:eastAsia="仿宋_GB2312" w:cs="宋体"/>
                <w:kern w:val="0"/>
                <w:szCs w:val="21"/>
              </w:rPr>
              <w:t>公共</w:t>
            </w:r>
            <w:r>
              <w:rPr>
                <w:rFonts w:ascii="仿宋_GB2312" w:hAnsi="宋体" w:eastAsia="仿宋_GB2312" w:cs="宋体"/>
                <w:kern w:val="0"/>
                <w:szCs w:val="21"/>
              </w:rPr>
              <w:t>机构</w:t>
            </w:r>
            <w:r>
              <w:rPr>
                <w:rFonts w:hint="eastAsia" w:ascii="仿宋_GB2312" w:hAnsi="宋体" w:eastAsia="仿宋_GB2312" w:cs="宋体"/>
                <w:kern w:val="0"/>
                <w:szCs w:val="21"/>
              </w:rPr>
              <w:t>和</w:t>
            </w:r>
            <w:r>
              <w:rPr>
                <w:rFonts w:ascii="仿宋_GB2312" w:hAnsi="宋体" w:eastAsia="仿宋_GB2312" w:cs="宋体"/>
                <w:kern w:val="0"/>
                <w:szCs w:val="21"/>
              </w:rPr>
              <w:t>京津冀图书馆的</w:t>
            </w:r>
            <w:r>
              <w:rPr>
                <w:rFonts w:hint="eastAsia" w:ascii="仿宋_GB2312" w:hAnsi="宋体" w:eastAsia="仿宋_GB2312" w:cs="宋体"/>
                <w:kern w:val="0"/>
                <w:szCs w:val="21"/>
              </w:rPr>
              <w:t>合作</w:t>
            </w:r>
            <w:r>
              <w:rPr>
                <w:rFonts w:ascii="仿宋_GB2312" w:hAnsi="宋体" w:eastAsia="仿宋_GB2312" w:cs="宋体"/>
                <w:kern w:val="0"/>
                <w:szCs w:val="21"/>
              </w:rPr>
              <w:t>，</w:t>
            </w:r>
            <w:r>
              <w:rPr>
                <w:rFonts w:hint="eastAsia" w:ascii="仿宋_GB2312" w:hAnsi="宋体" w:eastAsia="仿宋_GB2312" w:cs="宋体"/>
                <w:kern w:val="0"/>
                <w:szCs w:val="21"/>
              </w:rPr>
              <w:t>持续</w:t>
            </w:r>
            <w:r>
              <w:rPr>
                <w:rFonts w:ascii="仿宋_GB2312" w:hAnsi="宋体" w:eastAsia="仿宋_GB2312" w:cs="宋体"/>
                <w:kern w:val="0"/>
                <w:szCs w:val="21"/>
              </w:rPr>
              <w:t>探索业务对接可能性。</w:t>
            </w:r>
          </w:p>
        </w:tc>
      </w:tr>
      <w:tr>
        <w:tblPrEx>
          <w:tblLayout w:type="fixed"/>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7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环境管理制度和信息化管理体系</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建立完善的环境管理制度和信息化管理体系，促进图书馆的可持续发展。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w:t>
            </w:r>
            <w:r>
              <w:rPr>
                <w:rFonts w:ascii="仿宋_GB2312" w:hAnsi="宋体" w:eastAsia="仿宋_GB2312" w:cs="宋体"/>
                <w:kern w:val="0"/>
                <w:szCs w:val="21"/>
              </w:rPr>
              <w:t>业务数据分析，</w:t>
            </w:r>
            <w:r>
              <w:rPr>
                <w:rFonts w:hint="eastAsia" w:ascii="仿宋_GB2312" w:hAnsi="宋体" w:eastAsia="仿宋_GB2312" w:cs="宋体"/>
                <w:kern w:val="0"/>
                <w:szCs w:val="21"/>
              </w:rPr>
              <w:t>持续</w:t>
            </w:r>
            <w:r>
              <w:rPr>
                <w:rFonts w:ascii="仿宋_GB2312" w:hAnsi="宋体" w:eastAsia="仿宋_GB2312" w:cs="宋体"/>
                <w:kern w:val="0"/>
                <w:szCs w:val="21"/>
              </w:rPr>
              <w:t>完善</w:t>
            </w:r>
            <w:r>
              <w:rPr>
                <w:rFonts w:hint="eastAsia" w:ascii="仿宋_GB2312" w:hAnsi="宋体" w:eastAsia="仿宋_GB2312" w:cs="宋体"/>
                <w:kern w:val="0"/>
                <w:szCs w:val="21"/>
              </w:rPr>
              <w:t>管理制度</w:t>
            </w:r>
            <w:r>
              <w:rPr>
                <w:rFonts w:ascii="仿宋_GB2312" w:hAnsi="宋体" w:eastAsia="仿宋_GB2312" w:cs="宋体"/>
                <w:kern w:val="0"/>
                <w:szCs w:val="21"/>
              </w:rPr>
              <w:t>和信息化管理体系建设。</w:t>
            </w: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rPr>
          <w:rFonts w:ascii="黑体" w:eastAsia="黑体"/>
          <w:sz w:val="28"/>
          <w:szCs w:val="28"/>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图书馆专兼职管理员培训</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加强推动通州区文化系统人员队伍建设；提高全区基层文化管理人员的整体素质和业务能力，进一步提升公共图书馆服务效能。</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按年初目标完成2024年度专兼职管理员培训工作，进一步推动图书馆人员队伍建设，提升整体素质及业务能力。</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培训人数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不少于600人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711人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培训课时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不少于20课时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20课时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培训每课时时长</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1.5-2小时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2小时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27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培训讲师资质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相应的各行业国家级或省市级专家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相应的各行业国家级或省市级专家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网络平台通畅率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课件录制上传工作完成率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全员培训合格率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服务、组织完成质量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培训开展时间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2024年4月-10月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2024年4月-10月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突发问题解决时效率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结项总结时间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2024年11月</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2024年10月</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9.93万元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基层公共文化组织员思想素质和服务水平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基层服务技能和手段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进一步增强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有所增强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公共文化设施使用能力</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通州区文化系统人员队伍建设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持续完善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进一步完善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通州区公共文化事业发展</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持续促进</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进一步推进</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培训人员满意度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99.02%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96.97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085"/>
        <w:gridCol w:w="42"/>
        <w:gridCol w:w="1132"/>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精密空调及交换机采购项目</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18"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采购2台精密空调、1台监控用网络交换机。有效解决图书馆中心机房空调故障无法使用，及馆内监控系统卡顿无法使用情况。</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按既定目标完成，及时有效解决馆内中心机房空调及监控系统故障问题，进一步提升公共图书馆服务质量，加大提升馆内设施设备安全。</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精密空调数量</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核心交换机数量</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设备质量达标率</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10个工作日内</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25.42万元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23.52万元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1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公共图书馆基础设施建设</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18"/>
                <w:szCs w:val="21"/>
              </w:rPr>
              <w:t>确保机房设备适温、提高稳定性，保证馆内电子设备正常运行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确保机房设备适温、提高稳定性，保证馆内电子设备正常运行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1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图书馆安全管理工作开展</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不断提升馆内设备安全性能</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不断提升馆内设备安全性能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20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公共文化服务开展</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21"/>
              </w:rPr>
            </w:pPr>
            <w:r>
              <w:rPr>
                <w:rFonts w:hint="eastAsia" w:ascii="仿宋_GB2312" w:hAnsi="宋体" w:eastAsia="仿宋_GB2312" w:cs="宋体"/>
                <w:kern w:val="0"/>
                <w:sz w:val="18"/>
                <w:szCs w:val="21"/>
              </w:rPr>
              <w:t>提供健全的设施设备保障，营造安全的阅读空间，提高服务水平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18"/>
                <w:szCs w:val="21"/>
              </w:rPr>
              <w:t>提供健全的设施设备保障，营造安全的阅读空间，提高服务水平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9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kern w:val="0"/>
                <w:szCs w:val="21"/>
              </w:rPr>
              <w:t>≧</w:t>
            </w: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96.50%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r>
              <w:rPr>
                <w:rFonts w:ascii="仿宋_GB2312" w:hAnsi="宋体" w:eastAsia="仿宋_GB2312" w:cs="宋体"/>
                <w:kern w:val="0"/>
                <w:szCs w:val="21"/>
              </w:rPr>
              <w:t>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12"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174"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99.05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通州区图书馆推进社保卡一卡通服务项目</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62"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2714"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对通州区图书馆本馆的自助办证机、自助借还机、台口馆员工作站、门口24小时街区自助图书馆四种设备硬件及软件系统进行升级改造，为每一台设备增加物理社保卡读卡器，增加电子社保卡的扫描器；同时，升级设备软件系统，使其支持社保卡读取数据、数据连通社保服务器、并支持办理图书馆相关业务。</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 xml:space="preserve">    实现使广大读者可以通过使用社保卡，也可以在图书馆上述RFID自助设备上进行办证、借还图书，也可通过手机电子社保卡进行办证、借还图书，起到简化读者办证、简化借还图书流程，提高读者的借阅体验的作用。</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按既定目标完成，实现社保卡一卡通服务，有效简化读者办证、借还图书流程，进一步提高读者的借阅体验，持续提升公共图书馆服务水平。</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物理社保卡读卡器</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电子社保卡的扫描器</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26台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设备软件系统优化、升级</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设备软件系统（24小时街区自助图书馆）</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设备结构改造（24小时街区自助图书馆）</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台口馆员工作站社保卡改造</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7台</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安装及调试验收</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通过验收</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质保期</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质量达标率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8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设备采购、运输</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安装及调试</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项目成本</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36.25万元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35.20万元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4.86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58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实现社保卡在图书馆的身份认证和业务办理功能</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让读者可以使用社保卡便捷的办理读者卡、借阅图书等。</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实现社保卡便捷办证、借阅图书等功能</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7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提升图书馆服务的覆盖范围和便捷程度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吸引更多人利用图书馆资源，提高图书馆的社会影响力。</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宣传</w:t>
            </w:r>
            <w:r>
              <w:rPr>
                <w:rFonts w:ascii="仿宋_GB2312" w:hAnsi="宋体" w:eastAsia="仿宋_GB2312" w:cs="宋体"/>
                <w:kern w:val="0"/>
                <w:szCs w:val="21"/>
              </w:rPr>
              <w:t>力度不足</w:t>
            </w:r>
            <w:r>
              <w:rPr>
                <w:rFonts w:hint="eastAsia" w:ascii="仿宋_GB2312" w:hAnsi="宋体" w:eastAsia="仿宋_GB2312" w:cs="宋体"/>
                <w:kern w:val="0"/>
                <w:szCs w:val="21"/>
              </w:rPr>
              <w:t>。加强</w:t>
            </w:r>
            <w:r>
              <w:rPr>
                <w:rFonts w:ascii="仿宋_GB2312" w:hAnsi="宋体" w:eastAsia="仿宋_GB2312" w:cs="宋体"/>
                <w:kern w:val="0"/>
                <w:szCs w:val="21"/>
              </w:rPr>
              <w:t>信息发布和馆内</w:t>
            </w:r>
            <w:r>
              <w:rPr>
                <w:rFonts w:hint="eastAsia" w:ascii="仿宋_GB2312" w:hAnsi="宋体" w:eastAsia="仿宋_GB2312" w:cs="宋体"/>
                <w:kern w:val="0"/>
                <w:szCs w:val="21"/>
              </w:rPr>
              <w:t>宣传</w:t>
            </w:r>
            <w:r>
              <w:rPr>
                <w:rFonts w:ascii="仿宋_GB2312" w:hAnsi="宋体" w:eastAsia="仿宋_GB2312" w:cs="宋体"/>
                <w:kern w:val="0"/>
                <w:szCs w:val="21"/>
              </w:rPr>
              <w:t>，</w:t>
            </w:r>
            <w:r>
              <w:rPr>
                <w:rFonts w:hint="eastAsia" w:ascii="仿宋_GB2312" w:hAnsi="宋体" w:eastAsia="仿宋_GB2312" w:cs="宋体"/>
                <w:kern w:val="0"/>
                <w:szCs w:val="21"/>
              </w:rPr>
              <w:t>向</w:t>
            </w:r>
            <w:r>
              <w:rPr>
                <w:rFonts w:ascii="仿宋_GB2312" w:hAnsi="宋体" w:eastAsia="仿宋_GB2312" w:cs="宋体"/>
                <w:kern w:val="0"/>
                <w:szCs w:val="21"/>
              </w:rPr>
              <w:t>读者</w:t>
            </w:r>
            <w:r>
              <w:rPr>
                <w:rFonts w:hint="eastAsia" w:ascii="仿宋_GB2312" w:hAnsi="宋体" w:eastAsia="仿宋_GB2312" w:cs="宋体"/>
                <w:kern w:val="0"/>
                <w:szCs w:val="21"/>
              </w:rPr>
              <w:t>持续</w:t>
            </w:r>
            <w:r>
              <w:rPr>
                <w:rFonts w:ascii="仿宋_GB2312" w:hAnsi="宋体" w:eastAsia="仿宋_GB2312" w:cs="宋体"/>
                <w:kern w:val="0"/>
                <w:szCs w:val="21"/>
              </w:rPr>
              <w:t>推广</w:t>
            </w:r>
            <w:r>
              <w:rPr>
                <w:rFonts w:hint="eastAsia" w:ascii="仿宋_GB2312" w:hAnsi="宋体" w:eastAsia="仿宋_GB2312" w:cs="宋体"/>
                <w:kern w:val="0"/>
                <w:szCs w:val="21"/>
              </w:rPr>
              <w:t>相关</w:t>
            </w:r>
            <w:r>
              <w:rPr>
                <w:rFonts w:ascii="仿宋_GB2312" w:hAnsi="宋体" w:eastAsia="仿宋_GB2312" w:cs="宋体"/>
                <w:kern w:val="0"/>
                <w:szCs w:val="21"/>
              </w:rPr>
              <w:t>业务。</w:t>
            </w:r>
          </w:p>
        </w:tc>
      </w:tr>
      <w:tr>
        <w:tblPrEx>
          <w:tblLayout w:type="fixed"/>
          <w:tblCellMar>
            <w:top w:w="0" w:type="dxa"/>
            <w:left w:w="108" w:type="dxa"/>
            <w:bottom w:w="0" w:type="dxa"/>
            <w:right w:w="108" w:type="dxa"/>
          </w:tblCellMar>
        </w:tblPrEx>
        <w:trPr>
          <w:trHeight w:val="22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促进公共资源的共享与整合</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加强图书馆与其他公共服务机构的合作与互动。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不断促进</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现有</w:t>
            </w:r>
            <w:r>
              <w:rPr>
                <w:rFonts w:ascii="仿宋_GB2312" w:hAnsi="宋体" w:eastAsia="仿宋_GB2312" w:cs="宋体"/>
                <w:kern w:val="0"/>
                <w:szCs w:val="21"/>
              </w:rPr>
              <w:t>系统与数据对接有技术局限性</w:t>
            </w:r>
            <w:r>
              <w:rPr>
                <w:rFonts w:hint="eastAsia" w:ascii="仿宋_GB2312" w:hAnsi="宋体" w:eastAsia="仿宋_GB2312" w:cs="宋体"/>
                <w:kern w:val="0"/>
                <w:szCs w:val="21"/>
              </w:rPr>
              <w:t>。加强</w:t>
            </w:r>
            <w:r>
              <w:rPr>
                <w:rFonts w:ascii="仿宋_GB2312" w:hAnsi="宋体" w:eastAsia="仿宋_GB2312" w:cs="宋体"/>
                <w:kern w:val="0"/>
                <w:szCs w:val="21"/>
              </w:rPr>
              <w:t>与其他</w:t>
            </w:r>
            <w:r>
              <w:rPr>
                <w:rFonts w:hint="eastAsia" w:ascii="仿宋_GB2312" w:hAnsi="宋体" w:eastAsia="仿宋_GB2312" w:cs="宋体"/>
                <w:kern w:val="0"/>
                <w:szCs w:val="21"/>
              </w:rPr>
              <w:t>公共</w:t>
            </w:r>
            <w:r>
              <w:rPr>
                <w:rFonts w:ascii="仿宋_GB2312" w:hAnsi="宋体" w:eastAsia="仿宋_GB2312" w:cs="宋体"/>
                <w:kern w:val="0"/>
                <w:szCs w:val="21"/>
              </w:rPr>
              <w:t>机构</w:t>
            </w:r>
            <w:r>
              <w:rPr>
                <w:rFonts w:hint="eastAsia" w:ascii="仿宋_GB2312" w:hAnsi="宋体" w:eastAsia="仿宋_GB2312" w:cs="宋体"/>
                <w:kern w:val="0"/>
                <w:szCs w:val="21"/>
              </w:rPr>
              <w:t>和</w:t>
            </w:r>
            <w:r>
              <w:rPr>
                <w:rFonts w:ascii="仿宋_GB2312" w:hAnsi="宋体" w:eastAsia="仿宋_GB2312" w:cs="宋体"/>
                <w:kern w:val="0"/>
                <w:szCs w:val="21"/>
              </w:rPr>
              <w:t>京津冀图书馆的</w:t>
            </w:r>
            <w:r>
              <w:rPr>
                <w:rFonts w:hint="eastAsia" w:ascii="仿宋_GB2312" w:hAnsi="宋体" w:eastAsia="仿宋_GB2312" w:cs="宋体"/>
                <w:kern w:val="0"/>
                <w:szCs w:val="21"/>
              </w:rPr>
              <w:t>合作</w:t>
            </w:r>
            <w:r>
              <w:rPr>
                <w:rFonts w:ascii="仿宋_GB2312" w:hAnsi="宋体" w:eastAsia="仿宋_GB2312" w:cs="宋体"/>
                <w:kern w:val="0"/>
                <w:szCs w:val="21"/>
              </w:rPr>
              <w:t>，</w:t>
            </w:r>
            <w:r>
              <w:rPr>
                <w:rFonts w:hint="eastAsia" w:ascii="仿宋_GB2312" w:hAnsi="宋体" w:eastAsia="仿宋_GB2312" w:cs="宋体"/>
                <w:kern w:val="0"/>
                <w:szCs w:val="21"/>
              </w:rPr>
              <w:t>持续</w:t>
            </w:r>
            <w:r>
              <w:rPr>
                <w:rFonts w:ascii="仿宋_GB2312" w:hAnsi="宋体" w:eastAsia="仿宋_GB2312" w:cs="宋体"/>
                <w:kern w:val="0"/>
                <w:szCs w:val="21"/>
              </w:rPr>
              <w:t>探索业务对接可能性。</w:t>
            </w:r>
          </w:p>
        </w:tc>
      </w:tr>
      <w:tr>
        <w:tblPrEx>
          <w:tblLayout w:type="fixed"/>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75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环境管理制度和信息化管理体系</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建立完善的环境管理制度和信息化管理体系，促进图书馆的可持续发展。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7.125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加强</w:t>
            </w:r>
            <w:r>
              <w:rPr>
                <w:rFonts w:ascii="仿宋_GB2312" w:hAnsi="宋体" w:eastAsia="仿宋_GB2312" w:cs="宋体"/>
                <w:kern w:val="0"/>
                <w:szCs w:val="21"/>
              </w:rPr>
              <w:t>业务数据分析，</w:t>
            </w:r>
            <w:r>
              <w:rPr>
                <w:rFonts w:hint="eastAsia" w:ascii="仿宋_GB2312" w:hAnsi="宋体" w:eastAsia="仿宋_GB2312" w:cs="宋体"/>
                <w:kern w:val="0"/>
                <w:szCs w:val="21"/>
              </w:rPr>
              <w:t>持续</w:t>
            </w:r>
            <w:r>
              <w:rPr>
                <w:rFonts w:ascii="仿宋_GB2312" w:hAnsi="宋体" w:eastAsia="仿宋_GB2312" w:cs="宋体"/>
                <w:kern w:val="0"/>
                <w:szCs w:val="21"/>
              </w:rPr>
              <w:t>完善</w:t>
            </w:r>
            <w:r>
              <w:rPr>
                <w:rFonts w:hint="eastAsia" w:ascii="仿宋_GB2312" w:hAnsi="宋体" w:eastAsia="仿宋_GB2312" w:cs="宋体"/>
                <w:kern w:val="0"/>
                <w:szCs w:val="21"/>
              </w:rPr>
              <w:t>管理制度</w:t>
            </w:r>
            <w:r>
              <w:rPr>
                <w:rFonts w:ascii="仿宋_GB2312" w:hAnsi="宋体" w:eastAsia="仿宋_GB2312" w:cs="宋体"/>
                <w:kern w:val="0"/>
                <w:szCs w:val="21"/>
              </w:rPr>
              <w:t>和信息化管理体系建设。</w:t>
            </w: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操作馆员满意度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满意度达到≥95.00%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97.50%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97.99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2024年对美术馆、公共图书馆、文化馆（站）免费开放补助资金（市级）</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47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按年初目标完成各项工作，进一步保障图书馆正常有序开放，更好的做好公共文化服务工作，进一步实现公共文化服务工作的宣传与推广。</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免费开放天数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保障馆内各项业务工作有效运行天数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年度正常开放率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保障各项业务工作有效运行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项目实施时间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44.45万元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正常开展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正常有序开展</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推广全民阅读</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4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97.63%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943"/>
        <w:gridCol w:w="184"/>
        <w:gridCol w:w="1132"/>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通州区图书馆多功能厅显示屏系统升级改造</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2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49.62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9.06</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49.62</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44.95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513"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通州区图书馆多功能厅显示屏系统升级改造项目，应用于馆内多功能厅，是集开会、表演、培训等多方位。使用频率高，视频播放量大，目前现有大屏已经出现部分模块坏掉，影响活动整体效果，升级改造需求迫切。升级改造后，可满足日常活动的使用需求，提升活动整体效果，操作简便快捷。</w:t>
            </w:r>
          </w:p>
          <w:p>
            <w:pPr>
              <w:widowControl/>
              <w:spacing w:line="240" w:lineRule="exact"/>
              <w:jc w:val="left"/>
              <w:rPr>
                <w:rFonts w:ascii="仿宋_GB2312" w:hAnsi="宋体" w:eastAsia="仿宋_GB2312" w:cs="宋体"/>
                <w:kern w:val="0"/>
                <w:szCs w:val="21"/>
              </w:rPr>
            </w:pP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按既定目标完成各项工作，进一步保障图书馆设施设备健全，满足日常活动需求，提升整体服务效果，更好的做好公共文化服务工作。</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改造屏幕尺寸</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28.5平米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28.5228平米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4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41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LED显示屏参数标准</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符合国家LED大屏行业参数标准</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符合国家LED大屏行业参数标准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设备验收合格率</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实施时间</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2024年第二至三季度</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2024年三季度</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1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竣工、验收时间</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2024年第三季度</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2024年三季度</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ascii="仿宋_GB2312" w:hAnsi="宋体" w:eastAsia="仿宋_GB2312" w:cs="宋体"/>
                <w:kern w:val="0"/>
                <w:szCs w:val="21"/>
              </w:rPr>
              <w:t>49.62</w:t>
            </w:r>
            <w:r>
              <w:rPr>
                <w:rFonts w:hint="eastAsia" w:ascii="仿宋_GB2312" w:hAnsi="宋体" w:eastAsia="仿宋_GB2312" w:cs="宋体"/>
                <w:kern w:val="0"/>
                <w:szCs w:val="21"/>
              </w:rPr>
              <w:t>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44.95万元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9.06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32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公共文化设施建设</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不断提升、完善图书馆设施设备建设。</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提升、完善图书馆设施设备建设。</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7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日常活动开展效果</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满足日常所需，有效提升活动整体效果，操作简便快捷。</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提升活动整体效果，操作简便快捷。</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27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保障活动视频播放质量，满足读者阅读文化需求，提升公共图书馆服务水平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不断满足读者阅读文化需求，提升公共图书馆服务水平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读者使用满意度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使用单位满意度</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100.00%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70"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1316"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774"/>
        <w:gridCol w:w="708"/>
        <w:gridCol w:w="1276"/>
        <w:gridCol w:w="49"/>
        <w:gridCol w:w="1127"/>
        <w:gridCol w:w="1132"/>
        <w:gridCol w:w="952"/>
        <w:gridCol w:w="175"/>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679"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阅读推广活动</w:t>
            </w:r>
          </w:p>
        </w:tc>
      </w:tr>
      <w:tr>
        <w:tblPrEx>
          <w:tblLayout w:type="fixed"/>
          <w:tblCellMar>
            <w:top w:w="0" w:type="dxa"/>
            <w:left w:w="108" w:type="dxa"/>
            <w:bottom w:w="0" w:type="dxa"/>
            <w:right w:w="108" w:type="dxa"/>
          </w:tblCellMar>
        </w:tblPrEx>
        <w:trPr>
          <w:trHeight w:val="562" w:hRule="exact"/>
          <w:jc w:val="center"/>
        </w:trPr>
        <w:tc>
          <w:tcPr>
            <w:tcW w:w="1359"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292"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359"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203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3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03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439"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延续通州区图书馆优质品牌活动，丰富百姓精神文化生活、营造良好全民阅读氛围，有效提升志愿者的公共服务能力。</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按年初设定目标完成阅读推广工作，充分发挥通州区图书馆的社会资源优势和职能优势，进一步引领广大市民开展全民阅读活动；有效提升志愿者的公共服务能力、志愿者队伍的整体素质和业务能力。</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77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7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280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≥70场阅读推广活动（传统文化系列活动30场、少儿活动30场、民生类活动10场）</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highlight w:val="yellow"/>
              </w:rPr>
            </w:pPr>
            <w:r>
              <w:rPr>
                <w:rFonts w:hint="eastAsia" w:ascii="仿宋_GB2312" w:hAnsi="宋体" w:eastAsia="仿宋_GB2312" w:cs="宋体"/>
                <w:kern w:val="0"/>
                <w:sz w:val="18"/>
                <w:szCs w:val="20"/>
              </w:rPr>
              <w:t>94场阅读推广活动（传统文化系列活动49场、少儿活动30场、民生类活动15场）</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5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拍摄剪辑</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≥22集，550分钟。（讲座类20集，400分钟，红领巾活动2场，150分钟。）</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25集，1081</w:t>
            </w:r>
          </w:p>
          <w:p>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分钟。（讲座类20集，590分钟，红领巾活动</w:t>
            </w:r>
          </w:p>
          <w:p>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2场</w:t>
            </w:r>
          </w:p>
          <w:p>
            <w:pPr>
              <w:widowControl/>
              <w:spacing w:line="240" w:lineRule="exact"/>
              <w:jc w:val="left"/>
              <w:rPr>
                <w:rFonts w:ascii="仿宋_GB2312" w:hAnsi="宋体" w:eastAsia="仿宋_GB2312" w:cs="宋体"/>
                <w:kern w:val="0"/>
                <w:sz w:val="18"/>
                <w:szCs w:val="21"/>
              </w:rPr>
            </w:pPr>
            <w:r>
              <w:rPr>
                <w:rFonts w:hint="eastAsia" w:ascii="仿宋_GB2312" w:hAnsi="宋体" w:eastAsia="仿宋_GB2312" w:cs="宋体"/>
                <w:kern w:val="0"/>
                <w:sz w:val="18"/>
                <w:szCs w:val="21"/>
              </w:rPr>
              <w:t>5集，491</w:t>
            </w:r>
          </w:p>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18"/>
                <w:szCs w:val="21"/>
              </w:rPr>
              <w:t>分钟。）</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12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开展志愿者服务</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包含全年志愿者活动服务组织不低于40场；特色品牌文化志愿系列活动：通图儿童故事会、法韵书香-法律帮助在身边、红领巾志愿服务、文化助残等不低于40场；2024年通州区图书馆志愿服务宣传片拍摄制作；志愿者物资配备不少于400套等各类物资；全年志愿者激励服务保障（餐费）不少于200人次；志愿者培训全年不少于10场；</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18"/>
                <w:szCs w:val="20"/>
              </w:rPr>
              <w:t>开展志愿服务370余场；志愿者宣传片1部；配备志愿者物资400套，全年志愿者激励服务保障（餐费）200人次，开展志愿者培训10场。</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2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“阅美副中心图书活起来”全民阅读推广活动完成度</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志愿服务及活动开展完成度</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2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“阅美副中心图书活起来”全民阅读推广活动开展时间</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2024年底前完成</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2024年12月完成</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志愿服务及活动开展时间</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2024年底前完成</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2024年12月完成</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50.00万元</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49.22万元</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5.41</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tblPrEx>
          <w:tblLayout w:type="fixed"/>
          <w:tblCellMar>
            <w:top w:w="0" w:type="dxa"/>
            <w:left w:w="108" w:type="dxa"/>
            <w:bottom w:w="0" w:type="dxa"/>
            <w:right w:w="108" w:type="dxa"/>
          </w:tblCellMar>
        </w:tblPrEx>
        <w:trPr>
          <w:trHeight w:val="125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“阅美副中心图书活起来”全民阅读推广活动成本</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30.00万元</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29.47万元</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tblPrEx>
          <w:tblLayout w:type="fixed"/>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志愿服务及活动开展成本</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20.00万元</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19.75万元</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5.43</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预算评审、比选结余</w:t>
            </w: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社会主义核心价值体系</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进一步弘扬</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进一步弘扬</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人民群众文化民生</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进一步保障</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有所保障</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志愿服务精神与氛围</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color w:val="000000"/>
                <w:kern w:val="0"/>
                <w:sz w:val="18"/>
                <w:szCs w:val="21"/>
              </w:rPr>
              <w:t>加大弘扬“奉献、友爱、互助、进步”的志愿服务精神，营造良好的志愿服务氛围</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进一步营造氛围</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8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读者日益增长的文化阅读需求</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不断满足</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不断满足</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全民阅读影响力</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逐年提升</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0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通州区图书馆志愿者队伍的体系建设</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不断完善</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进一步完善</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志愿者队伍的服务能力和认识水平</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进一步提高</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有所提高</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28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“阅美副中心图书活起来”全民阅读推广活动满意度</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98.65%</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志愿服务及活动开展满意度</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98.87%</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276"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2308"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603"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45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98.04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数字资源建设</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463"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加强通州区图书馆数字图书馆建设，更好地做好公共文化服务工作，推进公共图书馆软硬件系统等基础设施建设，丰富公共数字文化资源。</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完成年初设定既定目标，对各数字资源完成安装与部署，有力保障读者服务基本业务正常有序开展，持续推进数字图书馆建设发展</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每家厂商线上或线下活动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2场及以上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售后技术支持</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1年及以上</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43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支持windows\linux安装</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58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支持本地镜像\远程</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55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有等级保护资质</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83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安装部署</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合同签订后15天内</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合同签订后15天内</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故障维修</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24小时内</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24小时内</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highlight w:val="yellow"/>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78.38万元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数字资源建设效果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公众阅读数字资源量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不断丰富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有所丰富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读者服务基本业务</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有序推进</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有序推进</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读者借阅数字资源便捷满意度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98.00%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283"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955"/>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723"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书刊采购</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505"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95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2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95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95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5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632"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655"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补充中文图书不少于4380种，17500册；年补充地方文献类书籍不少于1650册/件；年采购中文期刊约673种12800册；年采购报纸约100种；更好的丰富公共文化资源，扩充馆藏量，提升读者阅读质量；强化地方文献成果，提升通州地方资料的多样性和参考价值。</w:t>
            </w:r>
          </w:p>
        </w:tc>
        <w:tc>
          <w:tcPr>
            <w:tcW w:w="3632"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 更好的丰富公共文化资源，扩充馆藏量，提升读者阅读质量；同时强化地方文献成果，提升通州地方资料的多样性和参考价值。</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194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年补充中文图书新书种类、册数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约4380种、17500册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20"/>
                <w:szCs w:val="21"/>
              </w:rPr>
              <w:t>截至1月已完成订购4770种、19017册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最终实际发生种册数以2025年3月31日结项为准。</w:t>
            </w:r>
          </w:p>
        </w:tc>
      </w:tr>
      <w:tr>
        <w:tblPrEx>
          <w:tblLayout w:type="fixed"/>
          <w:tblCellMar>
            <w:top w:w="0" w:type="dxa"/>
            <w:left w:w="108" w:type="dxa"/>
            <w:bottom w:w="0" w:type="dxa"/>
            <w:right w:w="108" w:type="dxa"/>
          </w:tblCellMar>
        </w:tblPrEx>
        <w:trPr>
          <w:trHeight w:val="9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年补充地方文献类书籍册数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不少于1650册/件</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 w:val="20"/>
                <w:szCs w:val="21"/>
              </w:rPr>
              <w:t>1353套，共计1650册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年采购中文期刊种类、册数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约673种、12800册</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 w:val="20"/>
                <w:szCs w:val="21"/>
              </w:rPr>
              <w:t>截至1月已完成815种、14997册</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实际发生以2026年3月31日结项时为准</w:t>
            </w:r>
          </w:p>
        </w:tc>
      </w:tr>
      <w:tr>
        <w:tblPrEx>
          <w:tblLayout w:type="fixed"/>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年采购报纸种类</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约100种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116种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补充中文图书一线出版社图书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不低于40.00%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不低于40.00%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00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补充中文图书出版时间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2022年-2024年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2022年-2024年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1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补充中文图书畅销书比例</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不小于购书总量30.00%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不小于购书总量30.00%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补充地方文献新书出版时间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2024年底之前</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2024年底之前</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2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购置图书封面及内页</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完好无损、内容无错漏（部分孤本、史料可适当放宽要求）</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完好无损、内容无错漏</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22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采购地方文献类书籍特征</w:t>
            </w:r>
          </w:p>
        </w:tc>
        <w:tc>
          <w:tcPr>
            <w:tcW w:w="84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具有通州及运河地域特征，且具有保存价值和使用价值的各类文献资料</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具有地域特性及保存价值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11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采购报纸、期刊质量</w:t>
            </w:r>
          </w:p>
        </w:tc>
        <w:tc>
          <w:tcPr>
            <w:tcW w:w="849"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ascii="仿宋_GB2312" w:hAnsi="宋体" w:eastAsia="仿宋_GB2312" w:cs="宋体"/>
                <w:kern w:val="0"/>
                <w:szCs w:val="21"/>
              </w:rPr>
            </w:pPr>
            <w:r>
              <w:rPr>
                <w:rFonts w:hint="eastAsia" w:ascii="仿宋_GB2312" w:hAnsi="宋体" w:eastAsia="仿宋_GB2312" w:cs="宋体"/>
                <w:kern w:val="0"/>
                <w:szCs w:val="21"/>
              </w:rPr>
              <w:t>经新闻出版局备案的正版报刊，全品种供货；所供报刊无污损、图文不清、缺页、倒页等质量问题</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无质量问题</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供货及时率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8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问题解决时效率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4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150.00万元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149.99万元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2.99</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报纸订购结余</w:t>
            </w:r>
          </w:p>
        </w:tc>
      </w:tr>
      <w:tr>
        <w:tblPrEx>
          <w:tblLayout w:type="fixed"/>
          <w:tblCellMar>
            <w:top w:w="0" w:type="dxa"/>
            <w:left w:w="108" w:type="dxa"/>
            <w:bottom w:w="0" w:type="dxa"/>
            <w:right w:w="108" w:type="dxa"/>
          </w:tblCellMar>
        </w:tblPrEx>
        <w:trPr>
          <w:trHeight w:val="54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中文图书采购成本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地方文献图书采购成本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28.00万元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期刊采购成本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22.00万元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1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报纸采购成本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3.99万元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1.99</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报纸订购结余</w:t>
            </w: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公众阅读氛围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不断加强</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有所加强</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公共图书馆建设</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稳步发展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有所发展</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通州历史文化和人文精神</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进一步传承</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进一步传承</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图书馆文献资源库</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进一步扩充、完善</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进一步扩充、完善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读者日益增长的阅读需求</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3.8</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61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通州区公共文化服务水平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8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通州及运河区域研究</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持续提供智力支持</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不断提供智力支持</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4.75</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7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社会公众满意度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96.00%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98.23</w:t>
            </w:r>
          </w:p>
        </w:tc>
        <w:tc>
          <w:tcPr>
            <w:tcW w:w="165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2024年文化中心水电费及图书馆网费</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52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r>
              <w:rPr>
                <w:rFonts w:ascii="仿宋_GB2312" w:hAnsi="宋体" w:eastAsia="仿宋_GB2312" w:cs="宋体"/>
                <w:kern w:val="0"/>
                <w:szCs w:val="21"/>
              </w:rPr>
              <w:t xml:space="preserve"> </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w:t>
            </w:r>
            <w:r>
              <w:rPr>
                <w:rFonts w:ascii="仿宋_GB2312" w:hAnsi="宋体" w:eastAsia="仿宋_GB2312" w:cs="宋体"/>
                <w:kern w:val="0"/>
                <w:szCs w:val="21"/>
              </w:rPr>
              <w:t xml:space="preserve"> </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2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保障文化中心（文化馆、图书馆）水、电及图书馆网络的及时供应，确保两馆日常工作正常运转，各类设施设备顺利运行。</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完成年初设定既定目标，有效保障文化中心（文化馆、图书馆）水电及图书馆网络的及时供应，保障两馆日常工作正常运转。</w:t>
            </w:r>
            <w:r>
              <w:rPr>
                <w:rFonts w:ascii="仿宋_GB2312" w:hAnsi="宋体" w:eastAsia="仿宋_GB2312" w:cs="宋体"/>
                <w:kern w:val="0"/>
                <w:szCs w:val="21"/>
              </w:rPr>
              <w:t xml:space="preserve"> </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运维保障面积</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29483平米</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29483平米</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保障运维天数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图书馆专线网络数量</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3根</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3根</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年度正常开放率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安全隐患</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日常维护机制健全性</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健全</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较健全</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项目实施时间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157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288.40万元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222.01万元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4.62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tblPrEx>
          <w:tblLayout w:type="fixed"/>
          <w:tblCellMar>
            <w:top w:w="0" w:type="dxa"/>
            <w:left w:w="108" w:type="dxa"/>
            <w:bottom w:w="0" w:type="dxa"/>
            <w:right w:w="108" w:type="dxa"/>
          </w:tblCellMar>
        </w:tblPrEx>
        <w:trPr>
          <w:trHeight w:val="154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文化中心1-12月水费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27.84万元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12.34万元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2.22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tblPrEx>
          <w:tblLayout w:type="fixed"/>
          <w:tblCellMar>
            <w:top w:w="0" w:type="dxa"/>
            <w:left w:w="108" w:type="dxa"/>
            <w:bottom w:w="0" w:type="dxa"/>
            <w:right w:w="108" w:type="dxa"/>
          </w:tblCellMar>
        </w:tblPrEx>
        <w:trPr>
          <w:trHeight w:val="1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文化中心3-10月电费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约202.00万元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151.11</w:t>
            </w:r>
            <w:r>
              <w:rPr>
                <w:rFonts w:hint="eastAsia" w:ascii="仿宋_GB2312" w:hAnsi="宋体" w:eastAsia="仿宋_GB2312" w:cs="宋体"/>
                <w:kern w:val="0"/>
                <w:szCs w:val="21"/>
              </w:rPr>
              <w:t>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3.74</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宋体" w:hAnsi="宋体" w:cs="宋体"/>
                <w:bCs/>
                <w:kern w:val="0"/>
                <w:sz w:val="20"/>
                <w:szCs w:val="20"/>
              </w:rPr>
              <w:t>2024年当年机房空调、交换机等设备故障，用电量减少。</w:t>
            </w:r>
          </w:p>
        </w:tc>
      </w:tr>
      <w:tr>
        <w:tblPrEx>
          <w:tblLayout w:type="fixed"/>
          <w:tblCellMar>
            <w:top w:w="0" w:type="dxa"/>
            <w:left w:w="108" w:type="dxa"/>
            <w:bottom w:w="0" w:type="dxa"/>
            <w:right w:w="108" w:type="dxa"/>
          </w:tblCellMar>
        </w:tblPrEx>
        <w:trPr>
          <w:trHeight w:val="7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图书馆全年专线网费</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58.56万元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58.56万元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公共文化服务保障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文化中心空间环境</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进一步优化</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有所提升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7.5</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6.75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8"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水电网运维管理</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进一步规范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不断规范完善</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7.2</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4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使用单位满意度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不断提升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持续提升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90.68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Pr>
        <w:pStyle w:val="3"/>
        <w:ind w:firstLine="420"/>
      </w:pPr>
    </w:p>
    <w:p>
      <w:pPr>
        <w:pStyle w:val="3"/>
        <w:ind w:firstLine="420"/>
      </w:pPr>
    </w:p>
    <w:p>
      <w:pPr>
        <w:spacing w:line="480" w:lineRule="exact"/>
        <w:jc w:val="center"/>
        <w:rPr>
          <w:rFonts w:ascii="方正小标宋简体" w:hAnsi="黑体" w:eastAsia="方正小标宋简体"/>
          <w:sz w:val="36"/>
          <w:szCs w:val="36"/>
        </w:rPr>
      </w:pPr>
      <w:r>
        <w:rPr>
          <w:rFonts w:hint="eastAsia" w:ascii="方正小标宋简体" w:hAnsi="黑体" w:eastAsia="方正小标宋简体"/>
          <w:sz w:val="36"/>
          <w:szCs w:val="36"/>
        </w:rPr>
        <w:t>项目支出绩效自评表</w:t>
      </w:r>
    </w:p>
    <w:p>
      <w:pPr>
        <w:spacing w:line="480" w:lineRule="exact"/>
        <w:jc w:val="center"/>
        <w:rPr>
          <w:rFonts w:ascii="仿宋_GB2312" w:hAnsi="宋体" w:eastAsia="仿宋_GB2312"/>
          <w:sz w:val="28"/>
          <w:szCs w:val="28"/>
        </w:rPr>
      </w:pPr>
      <w:r>
        <w:rPr>
          <w:rFonts w:hint="eastAsia" w:ascii="仿宋_GB2312" w:hAnsi="宋体" w:eastAsia="仿宋_GB2312"/>
          <w:sz w:val="28"/>
          <w:szCs w:val="28"/>
        </w:rPr>
        <w:t>（2024年度）</w:t>
      </w:r>
    </w:p>
    <w:p>
      <w:pPr>
        <w:spacing w:line="240" w:lineRule="exact"/>
        <w:rPr>
          <w:rFonts w:ascii="仿宋_GB2312" w:hAnsi="宋体" w:eastAsia="仿宋_GB2312"/>
          <w:sz w:val="30"/>
          <w:szCs w:val="30"/>
        </w:rPr>
      </w:pPr>
    </w:p>
    <w:tbl>
      <w:tblPr>
        <w:tblStyle w:val="11"/>
        <w:tblW w:w="9038" w:type="dxa"/>
        <w:jc w:val="center"/>
        <w:tblInd w:w="0" w:type="dxa"/>
        <w:tblLayout w:type="fixed"/>
        <w:tblCellMar>
          <w:top w:w="0" w:type="dxa"/>
          <w:left w:w="108" w:type="dxa"/>
          <w:bottom w:w="0" w:type="dxa"/>
          <w:right w:w="108" w:type="dxa"/>
        </w:tblCellMar>
      </w:tblPr>
      <w:tblGrid>
        <w:gridCol w:w="585"/>
        <w:gridCol w:w="975"/>
        <w:gridCol w:w="1105"/>
        <w:gridCol w:w="727"/>
        <w:gridCol w:w="1127"/>
        <w:gridCol w:w="283"/>
        <w:gridCol w:w="849"/>
        <w:gridCol w:w="848"/>
        <w:gridCol w:w="279"/>
        <w:gridCol w:w="284"/>
        <w:gridCol w:w="420"/>
        <w:gridCol w:w="143"/>
        <w:gridCol w:w="703"/>
        <w:gridCol w:w="710"/>
      </w:tblGrid>
      <w:tr>
        <w:tblPrEx>
          <w:tblLayout w:type="fixed"/>
          <w:tblCellMar>
            <w:top w:w="0" w:type="dxa"/>
            <w:left w:w="108" w:type="dxa"/>
            <w:bottom w:w="0" w:type="dxa"/>
            <w:right w:w="108" w:type="dxa"/>
          </w:tblCellMar>
        </w:tblPrEx>
        <w:trPr>
          <w:trHeight w:val="306"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项目名称</w:t>
            </w:r>
          </w:p>
        </w:tc>
        <w:tc>
          <w:tcPr>
            <w:tcW w:w="7478" w:type="dxa"/>
            <w:gridSpan w:val="1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2024年中央三馆免费开放补助资金</w:t>
            </w:r>
          </w:p>
        </w:tc>
      </w:tr>
      <w:tr>
        <w:tblPrEx>
          <w:tblLayout w:type="fixed"/>
          <w:tblCellMar>
            <w:top w:w="0" w:type="dxa"/>
            <w:left w:w="108" w:type="dxa"/>
            <w:bottom w:w="0" w:type="dxa"/>
            <w:right w:w="108" w:type="dxa"/>
          </w:tblCellMar>
        </w:tblPrEx>
        <w:trPr>
          <w:trHeight w:val="562" w:hRule="exact"/>
          <w:jc w:val="center"/>
        </w:trPr>
        <w:tc>
          <w:tcPr>
            <w:tcW w:w="15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主管部门</w:t>
            </w:r>
          </w:p>
        </w:tc>
        <w:tc>
          <w:tcPr>
            <w:tcW w:w="4091"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北京市通州区文化和旅游局</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实施单位</w:t>
            </w:r>
          </w:p>
        </w:tc>
        <w:tc>
          <w:tcPr>
            <w:tcW w:w="2260"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北京市通州区图书馆</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项目资金</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（万元）</w:t>
            </w: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年初预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全年预</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算数</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全年</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执行数</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执行率</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r>
      <w:tr>
        <w:tblPrEx>
          <w:tblLayout w:type="fixed"/>
          <w:tblCellMar>
            <w:top w:w="0" w:type="dxa"/>
            <w:left w:w="108" w:type="dxa"/>
            <w:bottom w:w="0" w:type="dxa"/>
            <w:right w:w="108" w:type="dxa"/>
          </w:tblCellMar>
        </w:tblPrEx>
        <w:trPr>
          <w:trHeight w:val="494"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r>
              <w:rPr>
                <w:rFonts w:hint="eastAsia" w:ascii="仿宋_GB2312" w:hAnsi="宋体" w:eastAsia="仿宋_GB2312" w:cs="宋体"/>
                <w:kern w:val="0"/>
                <w:szCs w:val="21"/>
              </w:rPr>
              <w:t>年度资金总额</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r>
      <w:tr>
        <w:tblPrEx>
          <w:tblLayout w:type="fixed"/>
          <w:tblCellMar>
            <w:top w:w="0" w:type="dxa"/>
            <w:left w:w="108" w:type="dxa"/>
            <w:bottom w:w="0" w:type="dxa"/>
            <w:right w:w="108" w:type="dxa"/>
          </w:tblCellMar>
        </w:tblPrEx>
        <w:trPr>
          <w:trHeight w:val="601"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其中：当年财政</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拨款</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w:t>
            </w: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67"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上年结转资金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306"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83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 xml:space="preserve">  其他资金</w:t>
            </w:r>
          </w:p>
        </w:tc>
        <w:tc>
          <w:tcPr>
            <w:tcW w:w="1127"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32"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27"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04" w:type="dxa"/>
            <w:gridSpan w:val="2"/>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846"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71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r>
      <w:tr>
        <w:tblPrEx>
          <w:tblLayout w:type="fixed"/>
          <w:tblCellMar>
            <w:top w:w="0" w:type="dxa"/>
            <w:left w:w="108" w:type="dxa"/>
            <w:bottom w:w="0" w:type="dxa"/>
            <w:right w:w="108" w:type="dxa"/>
          </w:tblCellMar>
        </w:tblPrEx>
        <w:trPr>
          <w:trHeight w:val="548" w:hRule="exact"/>
          <w:jc w:val="center"/>
        </w:trPr>
        <w:tc>
          <w:tcPr>
            <w:tcW w:w="585"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年度总体目标</w:t>
            </w: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预期目标</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实际完成情况</w:t>
            </w:r>
          </w:p>
        </w:tc>
      </w:tr>
      <w:tr>
        <w:tblPrEx>
          <w:tblLayout w:type="fixed"/>
          <w:tblCellMar>
            <w:top w:w="0" w:type="dxa"/>
            <w:left w:w="108" w:type="dxa"/>
            <w:bottom w:w="0" w:type="dxa"/>
            <w:right w:w="108" w:type="dxa"/>
          </w:tblCellMar>
        </w:tblPrEx>
        <w:trPr>
          <w:trHeight w:val="1597" w:hRule="exact"/>
          <w:jc w:val="center"/>
        </w:trPr>
        <w:tc>
          <w:tcPr>
            <w:tcW w:w="585"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066" w:type="dxa"/>
            <w:gridSpan w:val="6"/>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保障图书馆正常有序开放，更好的做好公共文化服务工作；保障馆内各项重要业务、读者服务基本业务、软硬件设施设备等稳定有效运行；进一步实现公共文化服务工作的宣传与推广。</w:t>
            </w:r>
          </w:p>
        </w:tc>
        <w:tc>
          <w:tcPr>
            <w:tcW w:w="3387" w:type="dxa"/>
            <w:gridSpan w:val="7"/>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r>
              <w:rPr>
                <w:rFonts w:hint="eastAsia" w:ascii="仿宋_GB2312" w:hAnsi="宋体" w:eastAsia="仿宋_GB2312" w:cs="宋体"/>
                <w:kern w:val="0"/>
                <w:szCs w:val="21"/>
              </w:rPr>
              <w:t>按年初目标完成各项工作，进一步保障图书馆正常有序开放，更好的做好公共文化服务工作，进一步实现公共文化服务工作的宣传与推广。</w:t>
            </w:r>
          </w:p>
        </w:tc>
      </w:tr>
      <w:tr>
        <w:tblPrEx>
          <w:tblLayout w:type="fixed"/>
          <w:tblCellMar>
            <w:top w:w="0" w:type="dxa"/>
            <w:left w:w="108" w:type="dxa"/>
            <w:bottom w:w="0" w:type="dxa"/>
            <w:right w:w="108" w:type="dxa"/>
          </w:tblCellMar>
        </w:tblPrEx>
        <w:trPr>
          <w:trHeight w:val="830" w:hRule="exact"/>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绩</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效</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指</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标</w:t>
            </w:r>
          </w:p>
        </w:tc>
        <w:tc>
          <w:tcPr>
            <w:tcW w:w="97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一级指标</w:t>
            </w:r>
          </w:p>
        </w:tc>
        <w:tc>
          <w:tcPr>
            <w:tcW w:w="110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二级指标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三级指标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年度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实际</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完成值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分值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得分</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偏差原因分析及改进</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措施</w:t>
            </w:r>
          </w:p>
        </w:tc>
      </w:tr>
      <w:tr>
        <w:tblPrEx>
          <w:tblLayout w:type="fixed"/>
          <w:tblCellMar>
            <w:top w:w="0" w:type="dxa"/>
            <w:left w:w="108" w:type="dxa"/>
            <w:bottom w:w="0" w:type="dxa"/>
            <w:right w:w="108" w:type="dxa"/>
          </w:tblCellMar>
        </w:tblPrEx>
        <w:trPr>
          <w:trHeight w:val="42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产出指标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数量指标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免费开放天数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57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保障馆内各项业务工作有效运行天数</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365天</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质量指标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年度正常开放率</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ascii="仿宋_GB2312" w:hAnsi="宋体" w:eastAsia="仿宋_GB2312" w:cs="宋体"/>
                <w:kern w:val="0"/>
                <w:szCs w:val="21"/>
              </w:rPr>
              <w:t>100</w:t>
            </w:r>
            <w:r>
              <w:rPr>
                <w:rFonts w:hint="eastAsia" w:ascii="仿宋_GB2312" w:hAnsi="宋体" w:eastAsia="仿宋_GB2312" w:cs="宋体"/>
                <w:kern w:val="0"/>
                <w:szCs w:val="21"/>
              </w:rPr>
              <w:t>.00</w:t>
            </w:r>
            <w:r>
              <w:rPr>
                <w:rFonts w:ascii="仿宋_GB2312" w:hAnsi="宋体" w:eastAsia="仿宋_GB2312" w:cs="宋体"/>
                <w:kern w:val="0"/>
                <w:szCs w:val="21"/>
              </w:rPr>
              <w:t>%</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保障各项业务工作有效运行</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合格</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51"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时效指标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项目实施时间</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2024年</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2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35"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7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成本指标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项目总成本</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5.55万元</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5.55万元</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07"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效益指标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经济效益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3"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社会效益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读者服务工作</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正常开展</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正常有序开展</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99"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推广全民阅读</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进一步提升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逐步提升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生态效益</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指标1：</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2"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可持续影响指标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公共文化服务水平</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稳步提升</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30"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564"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满意度</w:t>
            </w:r>
          </w:p>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指标</w:t>
            </w:r>
          </w:p>
        </w:tc>
        <w:tc>
          <w:tcPr>
            <w:tcW w:w="11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服务对象满意度标</w:t>
            </w: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读者满意度</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≥95.00%</w:t>
            </w: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99.19%</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指标2：</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306" w:hRule="exact"/>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1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2137" w:type="dxa"/>
            <w:gridSpan w:val="3"/>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c>
          <w:tcPr>
            <w:tcW w:w="84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84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r>
        <w:tblPrEx>
          <w:tblLayout w:type="fixed"/>
          <w:tblCellMar>
            <w:top w:w="0" w:type="dxa"/>
            <w:left w:w="108" w:type="dxa"/>
            <w:bottom w:w="0" w:type="dxa"/>
            <w:right w:w="108" w:type="dxa"/>
          </w:tblCellMar>
        </w:tblPrEx>
        <w:trPr>
          <w:trHeight w:val="477" w:hRule="exact"/>
          <w:jc w:val="center"/>
        </w:trPr>
        <w:tc>
          <w:tcPr>
            <w:tcW w:w="649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56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97.50</w:t>
            </w:r>
          </w:p>
        </w:tc>
        <w:tc>
          <w:tcPr>
            <w:tcW w:w="141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Cs w:val="21"/>
              </w:rPr>
            </w:pPr>
          </w:p>
        </w:tc>
      </w:tr>
    </w:tbl>
    <w:p/>
    <w:p>
      <w:pPr>
        <w:spacing w:line="480" w:lineRule="exact"/>
        <w:rPr>
          <w:rFonts w:ascii="仿宋_GB2312" w:hAnsi="仿宋_GB2312" w:eastAsia="仿宋_GB2312" w:cs="仿宋_GB2312"/>
          <w:sz w:val="32"/>
          <w:szCs w:val="32"/>
        </w:rPr>
      </w:pP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方正小标宋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10</w: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15</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24A09"/>
    <w:multiLevelType w:val="singleLevel"/>
    <w:tmpl w:val="32D24A09"/>
    <w:lvl w:ilvl="0" w:tentative="0">
      <w:start w:val="2"/>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8550B"/>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619E"/>
    <w:rsid w:val="00307DA5"/>
    <w:rsid w:val="0031169D"/>
    <w:rsid w:val="0031170D"/>
    <w:rsid w:val="00313E14"/>
    <w:rsid w:val="003167DD"/>
    <w:rsid w:val="00320C8B"/>
    <w:rsid w:val="00321BD8"/>
    <w:rsid w:val="00325687"/>
    <w:rsid w:val="00332C14"/>
    <w:rsid w:val="00335079"/>
    <w:rsid w:val="003352CE"/>
    <w:rsid w:val="003407B6"/>
    <w:rsid w:val="00341D8E"/>
    <w:rsid w:val="003457A2"/>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067F8"/>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0D87"/>
    <w:rsid w:val="005052FA"/>
    <w:rsid w:val="005069E1"/>
    <w:rsid w:val="00507E59"/>
    <w:rsid w:val="005122B5"/>
    <w:rsid w:val="0052381C"/>
    <w:rsid w:val="005346B3"/>
    <w:rsid w:val="0054051C"/>
    <w:rsid w:val="00546A84"/>
    <w:rsid w:val="00547BE2"/>
    <w:rsid w:val="0055353D"/>
    <w:rsid w:val="0056187C"/>
    <w:rsid w:val="0057441E"/>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1F81"/>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4ADA"/>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8501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E51E4"/>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C7C60"/>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3372"/>
    <w:rsid w:val="00E24371"/>
    <w:rsid w:val="00E243AB"/>
    <w:rsid w:val="00E26641"/>
    <w:rsid w:val="00E2778F"/>
    <w:rsid w:val="00E278B0"/>
    <w:rsid w:val="00E33023"/>
    <w:rsid w:val="00E331F3"/>
    <w:rsid w:val="00E3498D"/>
    <w:rsid w:val="00E42425"/>
    <w:rsid w:val="00E43E55"/>
    <w:rsid w:val="00E4554E"/>
    <w:rsid w:val="00E46D22"/>
    <w:rsid w:val="00E4768F"/>
    <w:rsid w:val="00E528D1"/>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1450120"/>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1FF72FEC"/>
    <w:rsid w:val="214243FA"/>
    <w:rsid w:val="21AD613C"/>
    <w:rsid w:val="22467189"/>
    <w:rsid w:val="257A14F5"/>
    <w:rsid w:val="26B007AE"/>
    <w:rsid w:val="27196C26"/>
    <w:rsid w:val="29EF086F"/>
    <w:rsid w:val="2EFFE297"/>
    <w:rsid w:val="301437CA"/>
    <w:rsid w:val="349D1F0A"/>
    <w:rsid w:val="34DD0473"/>
    <w:rsid w:val="378941FA"/>
    <w:rsid w:val="3C684897"/>
    <w:rsid w:val="433E495C"/>
    <w:rsid w:val="489F2FD7"/>
    <w:rsid w:val="490A4BE0"/>
    <w:rsid w:val="4AC27CB3"/>
    <w:rsid w:val="4B8E3CC8"/>
    <w:rsid w:val="4BF72BEF"/>
    <w:rsid w:val="4E071802"/>
    <w:rsid w:val="4EDC2DFA"/>
    <w:rsid w:val="4FA90297"/>
    <w:rsid w:val="4FC41A43"/>
    <w:rsid w:val="502F0896"/>
    <w:rsid w:val="51DB3C59"/>
    <w:rsid w:val="550C0952"/>
    <w:rsid w:val="55762E42"/>
    <w:rsid w:val="57A7B272"/>
    <w:rsid w:val="581F5774"/>
    <w:rsid w:val="58470068"/>
    <w:rsid w:val="58747CAC"/>
    <w:rsid w:val="59A010EC"/>
    <w:rsid w:val="5A1720F9"/>
    <w:rsid w:val="5B5E5D7B"/>
    <w:rsid w:val="5B9C37C2"/>
    <w:rsid w:val="5BA7C654"/>
    <w:rsid w:val="5BAF4699"/>
    <w:rsid w:val="5CAC69ED"/>
    <w:rsid w:val="5CE01D27"/>
    <w:rsid w:val="60A54109"/>
    <w:rsid w:val="61D01CDF"/>
    <w:rsid w:val="62867CC0"/>
    <w:rsid w:val="64C0607C"/>
    <w:rsid w:val="65756C86"/>
    <w:rsid w:val="674D385B"/>
    <w:rsid w:val="676F09E1"/>
    <w:rsid w:val="6A1E6CE3"/>
    <w:rsid w:val="702E5D36"/>
    <w:rsid w:val="70B04793"/>
    <w:rsid w:val="71793A80"/>
    <w:rsid w:val="72672C40"/>
    <w:rsid w:val="7357290B"/>
    <w:rsid w:val="75383C8A"/>
    <w:rsid w:val="798524E4"/>
    <w:rsid w:val="79A332DB"/>
    <w:rsid w:val="7A7F1C49"/>
    <w:rsid w:val="7B5B7AE6"/>
    <w:rsid w:val="7B7B6628"/>
    <w:rsid w:val="7BA7071E"/>
    <w:rsid w:val="7BDF6DA8"/>
    <w:rsid w:val="7C7EDC1A"/>
    <w:rsid w:val="7C873133"/>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Plain Text"/>
    <w:basedOn w:val="1"/>
    <w:qFormat/>
    <w:uiPriority w:val="0"/>
    <w:rPr>
      <w:rFonts w:ascii="宋体" w:hAnsi="Courier New"/>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0">
    <w:name w:val="Normal (Web)"/>
    <w:basedOn w:val="1"/>
    <w:unhideWhenUsed/>
    <w:qFormat/>
    <w:uiPriority w:val="0"/>
    <w:pPr>
      <w:spacing w:before="100" w:beforeAutospacing="1" w:after="100" w:afterAutospacing="1"/>
      <w:ind w:right="238"/>
      <w:jc w:val="left"/>
    </w:pPr>
    <w:rPr>
      <w:b/>
      <w:kern w:val="0"/>
      <w:sz w:val="24"/>
      <w:szCs w:val="20"/>
    </w:rPr>
  </w:style>
  <w:style w:type="character" w:styleId="13">
    <w:name w:val="Strong"/>
    <w:qFormat/>
    <w:uiPriority w:val="0"/>
    <w:rPr>
      <w:b/>
    </w:rPr>
  </w:style>
  <w:style w:type="character" w:styleId="14">
    <w:name w:val="page number"/>
    <w:qFormat/>
    <w:uiPriority w:val="0"/>
  </w:style>
  <w:style w:type="character" w:customStyle="1" w:styleId="15">
    <w:name w:val="页脚 Char"/>
    <w:link w:val="8"/>
    <w:qFormat/>
    <w:uiPriority w:val="0"/>
    <w:rPr>
      <w:rFonts w:eastAsia="宋体"/>
      <w:kern w:val="2"/>
      <w:sz w:val="18"/>
      <w:szCs w:val="18"/>
      <w:lang w:val="en-US" w:eastAsia="zh-CN" w:bidi="ar-SA"/>
    </w:rPr>
  </w:style>
  <w:style w:type="character" w:customStyle="1" w:styleId="16">
    <w:name w:val="页眉 Char"/>
    <w:link w:val="9"/>
    <w:qFormat/>
    <w:uiPriority w:val="0"/>
    <w:rPr>
      <w:rFonts w:ascii="Calibri" w:hAnsi="Calibri" w:eastAsia="宋体"/>
      <w:kern w:val="2"/>
      <w:sz w:val="18"/>
      <w:szCs w:val="18"/>
      <w:lang w:val="en-US" w:eastAsia="zh-CN" w:bidi="ar-SA"/>
    </w:rPr>
  </w:style>
  <w:style w:type="paragraph" w:customStyle="1" w:styleId="17">
    <w:name w:val="Char Char Char Char Char Char Char"/>
    <w:basedOn w:val="1"/>
    <w:qFormat/>
    <w:uiPriority w:val="0"/>
    <w:rPr>
      <w:rFonts w:ascii="Tahoma" w:hAnsi="Tahoma"/>
      <w:sz w:val="24"/>
      <w:szCs w:val="20"/>
    </w:rPr>
  </w:style>
  <w:style w:type="paragraph" w:customStyle="1" w:styleId="18">
    <w:name w:val="Char1 Char Char Char"/>
    <w:basedOn w:val="1"/>
    <w:qFormat/>
    <w:uiPriority w:val="0"/>
    <w:pPr>
      <w:widowControl/>
      <w:spacing w:after="160" w:line="240" w:lineRule="exact"/>
      <w:jc w:val="left"/>
    </w:pPr>
    <w:rPr>
      <w:szCs w:val="20"/>
    </w:rPr>
  </w:style>
  <w:style w:type="paragraph" w:customStyle="1" w:styleId="19">
    <w:name w:val="Char"/>
    <w:basedOn w:val="1"/>
    <w:qFormat/>
    <w:uiPriority w:val="0"/>
    <w:rPr>
      <w:rFonts w:ascii="Tahoma" w:hAnsi="Tahoma"/>
      <w:sz w:val="24"/>
      <w:szCs w:val="20"/>
    </w:rPr>
  </w:style>
  <w:style w:type="paragraph" w:customStyle="1" w:styleId="20">
    <w:name w:val="Char Char3 Char Char"/>
    <w:basedOn w:val="1"/>
    <w:qFormat/>
    <w:uiPriority w:val="0"/>
    <w:rPr>
      <w:szCs w:val="21"/>
    </w:rPr>
  </w:style>
  <w:style w:type="paragraph" w:styleId="21">
    <w:name w:val="List Paragraph"/>
    <w:basedOn w:val="1"/>
    <w:unhideWhenUsed/>
    <w:qFormat/>
    <w:uiPriority w:val="99"/>
    <w:pPr>
      <w:ind w:firstLine="420" w:firstLineChars="200"/>
    </w:pPr>
  </w:style>
  <w:style w:type="paragraph" w:customStyle="1" w:styleId="22">
    <w:name w:val="Char Char Char Char Char Char Char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7379.03</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46</Pages>
  <Words>13402</Words>
  <Characters>7070</Characters>
  <Lines>58</Lines>
  <Paragraphs>40</Paragraphs>
  <TotalTime>1</TotalTime>
  <ScaleCrop>false</ScaleCrop>
  <LinksUpToDate>false</LinksUpToDate>
  <CharactersWithSpaces>20432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2025-10-16T04:19:59Z</dcterms:modified>
  <dc:title>北京市财政局关于做好向市人大常委会报送2015年度市级部门决算（草案）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435078ACFECC4A5A8A519EF4C3681114_13</vt:lpwstr>
  </property>
  <property fmtid="{D5CDD505-2E9C-101B-9397-08002B2CF9AE}" pid="4" name="KSOTemplateDocerSaveRecord">
    <vt:lpwstr>eyJoZGlkIjoiNDFjNmI3OTUzZmQxYjIyMGI4NjYzNzM5YzUwM2FmMDUiLCJ1c2VySWQiOiIxNjA1NDY4MzA3In0=</vt:lpwstr>
  </property>
</Properties>
</file>