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auto"/>
          <w:sz w:val="32"/>
          <w:szCs w:val="32"/>
        </w:rPr>
      </w:pPr>
    </w:p>
    <w:p>
      <w:pPr>
        <w:spacing w:line="560" w:lineRule="exact"/>
        <w:rPr>
          <w:rFonts w:hint="default" w:ascii="仿宋_GB2312"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tbl>
      <w:tblPr>
        <w:tblStyle w:val="8"/>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2024</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基层动物防疫及狂犬病强制免疫经费</w:t>
            </w:r>
          </w:p>
        </w:tc>
      </w:tr>
      <w:tr>
        <w:tblPrEx>
          <w:tblCellMar>
            <w:top w:w="0" w:type="dxa"/>
            <w:left w:w="108" w:type="dxa"/>
            <w:bottom w:w="0" w:type="dxa"/>
            <w:right w:w="108" w:type="dxa"/>
          </w:tblCellMar>
        </w:tblPrEx>
        <w:trPr>
          <w:trHeight w:val="476"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通州区农业农村局</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通州区动物疫病预防控制中心</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bookmarkStart w:id="0" w:name="_GoBack"/>
            <w:bookmarkEnd w:id="0"/>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198</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180.2484</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91.03%</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198</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180.2484</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91.03%</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306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s="宋体"/>
                <w:kern w:val="0"/>
                <w:sz w:val="20"/>
                <w:szCs w:val="20"/>
              </w:rPr>
            </w:pPr>
            <w:r>
              <w:rPr>
                <w:rFonts w:hint="eastAsia" w:ascii="宋体" w:hAnsi="宋体" w:cs="宋体"/>
                <w:kern w:val="0"/>
                <w:sz w:val="20"/>
                <w:szCs w:val="20"/>
              </w:rPr>
              <w:t>目标1：对13种疫病开展检测工作，覆盖全区22个乡镇、街道，包括规模场，覆盖面达100%。提升抗体合格率，减少疫病发生。根据监测疫病发展情况，对疫情进行预警预报，保证群体抗体合格率达70%以上，降低疫情发生率，减少死亡率，降低无害化处理对环境的污染。</w:t>
            </w:r>
          </w:p>
          <w:p>
            <w:pPr>
              <w:spacing w:line="240" w:lineRule="exact"/>
              <w:jc w:val="left"/>
              <w:rPr>
                <w:rFonts w:ascii="宋体" w:hAnsi="宋体" w:cs="宋体"/>
                <w:kern w:val="0"/>
                <w:sz w:val="20"/>
                <w:szCs w:val="20"/>
              </w:rPr>
            </w:pPr>
            <w:r>
              <w:rPr>
                <w:rFonts w:hint="eastAsia" w:ascii="宋体" w:hAnsi="宋体" w:cs="宋体"/>
                <w:kern w:val="0"/>
                <w:sz w:val="20"/>
                <w:szCs w:val="20"/>
              </w:rPr>
              <w:t>目标2：对全区注册犬实施强制免疫，减少狂犬病的发生。</w:t>
            </w:r>
          </w:p>
          <w:p>
            <w:pPr>
              <w:spacing w:line="240" w:lineRule="exact"/>
              <w:jc w:val="left"/>
              <w:rPr>
                <w:rFonts w:ascii="宋体" w:hAnsi="宋体" w:cs="宋体"/>
                <w:kern w:val="0"/>
                <w:sz w:val="20"/>
                <w:szCs w:val="20"/>
              </w:rPr>
            </w:pPr>
            <w:r>
              <w:rPr>
                <w:rFonts w:hint="eastAsia" w:ascii="宋体" w:hAnsi="宋体" w:cs="宋体"/>
                <w:kern w:val="0"/>
                <w:sz w:val="20"/>
                <w:szCs w:val="20"/>
              </w:rPr>
              <w:t>目标3：对依法实施强制免疫过程中造成动物应激死亡的给予补偿。</w:t>
            </w:r>
          </w:p>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rPr>
              <w:t>目标4：全区应免动物免疫密度达100%；动物防疫储备物资保证通州区基层动物防疫和突发重大动物疫病的物资供给，降低疫情的传播风险。</w:t>
            </w:r>
          </w:p>
        </w:tc>
        <w:tc>
          <w:tcPr>
            <w:tcW w:w="3356" w:type="dxa"/>
            <w:gridSpan w:val="7"/>
            <w:tcBorders>
              <w:top w:val="single" w:color="auto" w:sz="4" w:space="0"/>
              <w:left w:val="nil"/>
              <w:bottom w:val="single" w:color="auto" w:sz="4" w:space="0"/>
              <w:right w:val="single" w:color="auto" w:sz="4" w:space="0"/>
            </w:tcBorders>
            <w:noWrap w:val="0"/>
            <w:vAlign w:val="center"/>
          </w:tcPr>
          <w:p>
            <w:pPr>
              <w:spacing w:line="240" w:lineRule="exact"/>
              <w:jc w:val="left"/>
              <w:rPr>
                <w:rFonts w:ascii="宋体" w:hAnsi="宋体" w:cs="宋体"/>
                <w:kern w:val="0"/>
                <w:sz w:val="20"/>
                <w:szCs w:val="20"/>
              </w:rPr>
            </w:pPr>
            <w:r>
              <w:rPr>
                <w:rFonts w:hint="eastAsia" w:ascii="宋体" w:hAnsi="宋体" w:cs="宋体"/>
                <w:kern w:val="0"/>
                <w:sz w:val="20"/>
                <w:szCs w:val="20"/>
              </w:rPr>
              <w:t>目标1：对13种疫病开展检测工作，覆盖全区22个乡镇、街道，包括规模场，覆盖面达100%。提升抗体合格率，减少疫病发生。根据监测疫病发展情况，对疫情进行预警预报，保证群体抗体合格率达70%以上，降低疫情发生率，减少死亡率，降低无害化处理对环境的污染。</w:t>
            </w:r>
          </w:p>
          <w:p>
            <w:pPr>
              <w:spacing w:line="240" w:lineRule="exact"/>
              <w:jc w:val="left"/>
              <w:rPr>
                <w:rFonts w:ascii="宋体" w:hAnsi="宋体" w:cs="宋体"/>
                <w:kern w:val="0"/>
                <w:sz w:val="20"/>
                <w:szCs w:val="20"/>
              </w:rPr>
            </w:pPr>
            <w:r>
              <w:rPr>
                <w:rFonts w:hint="eastAsia" w:ascii="宋体" w:hAnsi="宋体" w:cs="宋体"/>
                <w:kern w:val="0"/>
                <w:sz w:val="20"/>
                <w:szCs w:val="20"/>
              </w:rPr>
              <w:t>目标2：对全区注册犬实施强制免疫，减少狂犬病的发生。</w:t>
            </w:r>
          </w:p>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rPr>
              <w:t>目标3：对依法实施强制免疫过程中造成动物应激死亡的给予补偿。</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rPr>
              <w:t>检测疫病种类</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rPr>
              <w:t>13种</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15种</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rPr>
              <w:t>检测样品覆盖范围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rPr>
              <w:t>22个乡镇、街道</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rPr>
              <w:t>22个乡镇、街道</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rPr>
              <w:t>规模养殖场覆盖率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rPr>
              <w:t>100</w:t>
            </w:r>
            <w:r>
              <w:rPr>
                <w:rFonts w:ascii="宋体" w:hAnsi="宋体" w:cs="宋体"/>
                <w:kern w:val="0"/>
                <w:sz w:val="20"/>
                <w:szCs w:val="20"/>
              </w:rPr>
              <w:t>%</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20"/>
                <w:szCs w:val="20"/>
              </w:rPr>
              <w:t>100</w:t>
            </w:r>
            <w:r>
              <w:rPr>
                <w:rFonts w:ascii="宋体" w:hAnsi="宋体" w:cs="宋体"/>
                <w:kern w:val="0"/>
                <w:sz w:val="20"/>
                <w:szCs w:val="20"/>
              </w:rPr>
              <w:t>%</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免疫犬数量</w:t>
            </w:r>
          </w:p>
        </w:tc>
        <w:tc>
          <w:tcPr>
            <w:tcW w:w="938" w:type="dxa"/>
            <w:tcBorders>
              <w:top w:val="nil"/>
              <w:left w:val="nil"/>
              <w:bottom w:val="single" w:color="auto" w:sz="4" w:space="0"/>
              <w:right w:val="single" w:color="auto" w:sz="4" w:space="0"/>
            </w:tcBorders>
            <w:shd w:val="clear" w:color="auto" w:fill="auto"/>
            <w:noWrap w:val="0"/>
            <w:vAlign w:val="center"/>
          </w:tcPr>
          <w:p>
            <w:pPr>
              <w:spacing w:line="240" w:lineRule="exact"/>
              <w:jc w:val="left"/>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val="en-US" w:eastAsia="zh-CN"/>
              </w:rPr>
              <w:t>2.04</w:t>
            </w:r>
            <w:r>
              <w:rPr>
                <w:rFonts w:hint="eastAsia" w:ascii="宋体" w:hAnsi="宋体" w:cs="宋体"/>
                <w:color w:val="auto"/>
                <w:kern w:val="0"/>
                <w:sz w:val="20"/>
                <w:szCs w:val="20"/>
              </w:rPr>
              <w:t>万</w:t>
            </w:r>
            <w:r>
              <w:rPr>
                <w:rFonts w:hint="eastAsia" w:ascii="宋体" w:hAnsi="宋体" w:cs="宋体"/>
                <w:color w:val="auto"/>
                <w:kern w:val="0"/>
                <w:sz w:val="20"/>
                <w:szCs w:val="20"/>
                <w:lang w:eastAsia="zh-CN"/>
              </w:rPr>
              <w:t>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4.8718万条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000000"/>
                <w:kern w:val="0"/>
                <w:sz w:val="20"/>
                <w:szCs w:val="20"/>
              </w:rPr>
            </w:pPr>
            <w:r>
              <w:rPr>
                <w:rFonts w:hint="eastAsia" w:ascii="宋体" w:hAnsi="宋体" w:cs="宋体"/>
                <w:color w:val="000000"/>
                <w:kern w:val="0"/>
                <w:sz w:val="20"/>
                <w:szCs w:val="20"/>
              </w:rPr>
              <w:t>应激死亡补偿数量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20"/>
                <w:szCs w:val="20"/>
              </w:rPr>
              <w:t>以乡镇、街道上</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无应激</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rPr>
              <w:t>检测样品合格率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20"/>
                <w:szCs w:val="20"/>
                <w:lang w:val="en-US" w:eastAsia="zh-CN" w:bidi="ar-SA"/>
              </w:rPr>
              <w:t>70%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rPr>
              <w:t>消毒药均符合“药品</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符合</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rPr>
              <w:t>防护用品均通过“医疗器械质量管理体系”认证</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通过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rPr>
              <w:t>项目完成时间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20"/>
                <w:szCs w:val="20"/>
              </w:rPr>
              <w:t>202</w:t>
            </w:r>
            <w:r>
              <w:rPr>
                <w:rFonts w:hint="eastAsia" w:ascii="宋体" w:hAnsi="宋体" w:cs="宋体"/>
                <w:color w:val="auto"/>
                <w:kern w:val="0"/>
                <w:sz w:val="20"/>
                <w:szCs w:val="20"/>
                <w:lang w:val="en-US" w:eastAsia="zh-CN"/>
              </w:rPr>
              <w:t>4</w:t>
            </w:r>
            <w:r>
              <w:rPr>
                <w:rFonts w:hint="eastAsia" w:ascii="宋体" w:hAnsi="宋体" w:cs="宋体"/>
                <w:color w:val="auto"/>
                <w:kern w:val="0"/>
                <w:sz w:val="20"/>
                <w:szCs w:val="20"/>
              </w:rPr>
              <w:t>年底前完</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2024年12月</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成本控制在总预算内</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both"/>
              <w:rPr>
                <w:rFonts w:ascii="宋体" w:hAnsi="宋体" w:eastAsia="宋体" w:cs="宋体"/>
                <w:color w:val="auto"/>
                <w:kern w:val="0"/>
                <w:sz w:val="18"/>
                <w:szCs w:val="18"/>
                <w:lang w:val="en-US" w:eastAsia="zh-CN" w:bidi="ar-SA"/>
              </w:rPr>
            </w:pPr>
            <w:r>
              <w:rPr>
                <w:rFonts w:hint="eastAsia" w:ascii="宋体" w:hAnsi="宋体" w:cs="宋体"/>
                <w:color w:val="auto"/>
                <w:kern w:val="0"/>
                <w:sz w:val="20"/>
                <w:szCs w:val="20"/>
                <w:lang w:val="en-US" w:eastAsia="zh-CN"/>
              </w:rPr>
              <w:t>≤198</w:t>
            </w:r>
            <w:r>
              <w:rPr>
                <w:rFonts w:hint="eastAsia" w:ascii="宋体" w:hAnsi="宋体" w:cs="宋体"/>
                <w:color w:val="auto"/>
                <w:kern w:val="0"/>
                <w:sz w:val="20"/>
                <w:szCs w:val="20"/>
              </w:rPr>
              <w:t>万元</w:t>
            </w:r>
          </w:p>
        </w:tc>
        <w:tc>
          <w:tcPr>
            <w:tcW w:w="84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180.2484</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62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宋体" w:hAnsi="宋体" w:eastAsia="宋体" w:cs="宋体"/>
                <w:color w:val="auto"/>
                <w:kern w:val="0"/>
                <w:sz w:val="18"/>
                <w:szCs w:val="18"/>
                <w:lang w:val="en-US" w:eastAsia="zh-CN" w:bidi="ar-SA"/>
              </w:rPr>
            </w:pPr>
            <w:r>
              <w:rPr>
                <w:rFonts w:hint="eastAsia" w:ascii="宋体" w:hAnsi="宋体" w:cs="宋体"/>
                <w:color w:val="000000"/>
                <w:kern w:val="0"/>
                <w:sz w:val="20"/>
                <w:szCs w:val="20"/>
              </w:rPr>
              <w:t>通过储备动物防疫物资，确保应急物资供给，为养殖场户畜禽安全提供后勤保障</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kern w:val="0"/>
                <w:sz w:val="20"/>
                <w:szCs w:val="20"/>
              </w:rPr>
              <w:t>区域内无重大动物疫病发生</w:t>
            </w:r>
          </w:p>
        </w:tc>
        <w:tc>
          <w:tcPr>
            <w:tcW w:w="84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通州区内未发生重大动物疫情</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宋体" w:hAnsi="宋体" w:eastAsia="宋体" w:cs="宋体"/>
                <w:color w:val="auto"/>
                <w:kern w:val="0"/>
                <w:sz w:val="18"/>
                <w:szCs w:val="18"/>
                <w:lang w:val="en-US" w:eastAsia="zh-CN" w:bidi="ar-SA"/>
              </w:rPr>
            </w:pPr>
            <w:r>
              <w:rPr>
                <w:rFonts w:hint="eastAsia" w:ascii="宋体" w:hAnsi="宋体" w:cs="宋体"/>
                <w:color w:val="000000"/>
                <w:kern w:val="0"/>
                <w:sz w:val="20"/>
                <w:szCs w:val="20"/>
              </w:rPr>
              <w:t>降低动物疫情发生率</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降低</w:t>
            </w:r>
          </w:p>
        </w:tc>
        <w:tc>
          <w:tcPr>
            <w:tcW w:w="84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降低</w:t>
            </w:r>
          </w:p>
          <w:p>
            <w:pPr>
              <w:widowControl/>
              <w:spacing w:line="240" w:lineRule="exact"/>
              <w:jc w:val="center"/>
              <w:rPr>
                <w:rFonts w:hint="eastAsia" w:ascii="宋体" w:hAnsi="宋体" w:eastAsia="宋体" w:cs="宋体"/>
                <w:color w:val="auto"/>
                <w:kern w:val="0"/>
                <w:sz w:val="18"/>
                <w:szCs w:val="18"/>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宋体" w:hAnsi="宋体" w:eastAsia="宋体" w:cs="宋体"/>
                <w:color w:val="auto"/>
                <w:kern w:val="0"/>
                <w:sz w:val="18"/>
                <w:szCs w:val="18"/>
                <w:lang w:val="en-US" w:eastAsia="zh-CN" w:bidi="ar-SA"/>
              </w:rPr>
            </w:pPr>
            <w:r>
              <w:rPr>
                <w:rFonts w:hint="eastAsia" w:ascii="宋体" w:hAnsi="宋体" w:cs="宋体"/>
                <w:color w:val="000000"/>
                <w:kern w:val="0"/>
                <w:sz w:val="20"/>
                <w:szCs w:val="20"/>
              </w:rPr>
              <w:t>保证群体抗体合格率达70%以上</w:t>
            </w:r>
          </w:p>
        </w:tc>
        <w:tc>
          <w:tcPr>
            <w:tcW w:w="93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70%</w:t>
            </w:r>
          </w:p>
        </w:tc>
        <w:tc>
          <w:tcPr>
            <w:tcW w:w="848"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widowControl/>
        <w:spacing w:line="480" w:lineRule="exact"/>
        <w:ind w:firstLine="440" w:firstLineChars="200"/>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填报注意事项：</w:t>
      </w:r>
    </w:p>
    <w:p>
      <w:pPr>
        <w:widowControl/>
        <w:spacing w:line="480" w:lineRule="exact"/>
        <w:ind w:firstLine="440" w:firstLineChars="200"/>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lang w:val="en-US" w:eastAsia="zh-CN"/>
        </w:rPr>
        <w:t>1.</w:t>
      </w:r>
      <w:r>
        <w:rPr>
          <w:rFonts w:hint="eastAsia" w:ascii="宋体" w:hAnsi="宋体" w:eastAsia="宋体" w:cs="宋体"/>
          <w:color w:val="auto"/>
          <w:kern w:val="0"/>
          <w:sz w:val="22"/>
          <w:szCs w:val="24"/>
        </w:rPr>
        <w:t>评价方法说明</w:t>
      </w:r>
      <w:r>
        <w:rPr>
          <w:rFonts w:hint="eastAsia" w:ascii="宋体" w:hAnsi="宋体" w:cs="宋体"/>
          <w:color w:val="auto"/>
          <w:kern w:val="0"/>
          <w:sz w:val="22"/>
          <w:szCs w:val="24"/>
          <w:lang w:eastAsia="zh-CN"/>
        </w:rPr>
        <w:t>：</w:t>
      </w:r>
      <w:r>
        <w:rPr>
          <w:rFonts w:hint="eastAsia" w:ascii="宋体" w:hAnsi="宋体" w:eastAsia="宋体" w:cs="宋体"/>
          <w:color w:val="auto"/>
          <w:kern w:val="0"/>
          <w:sz w:val="22"/>
          <w:szCs w:val="24"/>
        </w:rPr>
        <w:t>采取打分的形式，满分为100分。单位自评指标的权重由各单位根据项目实际情况确定。原则上预算执行率和一级指标权重统一设置为：预算执行率10%、产出指标50%、效益指标30%、服务对象满意度指标10%。如有特殊情况，一级指标权重可做适当调整。二、三级指标应当根据指标重要程度、项目实施阶段等因素综合确定，准确反映项目的产出和效益。</w:t>
      </w:r>
    </w:p>
    <w:p>
      <w:pPr>
        <w:widowControl/>
        <w:numPr>
          <w:ilvl w:val="0"/>
          <w:numId w:val="0"/>
        </w:numPr>
        <w:spacing w:line="480" w:lineRule="exact"/>
        <w:ind w:firstLine="440" w:firstLineChars="200"/>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lang w:val="en-US" w:eastAsia="zh-CN"/>
        </w:rPr>
        <w:t>2.</w:t>
      </w:r>
      <w:r>
        <w:rPr>
          <w:rFonts w:hint="eastAsia" w:ascii="宋体" w:hAnsi="宋体" w:eastAsia="宋体" w:cs="宋体"/>
          <w:color w:val="auto"/>
          <w:kern w:val="0"/>
          <w:sz w:val="22"/>
          <w:szCs w:val="24"/>
        </w:rPr>
        <w:t>评价的得分评定方法分为两类：一是定量指标。与年初指标值相比，完成指标值的，记该指标所赋全部分值；如果是由于年初指标值设定明显偏低造成的，要按照偏离度适度调减分值；未完成指标值的，按照完成值在指标值中所占比例记分</w:t>
      </w:r>
      <w:r>
        <w:rPr>
          <w:rFonts w:hint="eastAsia" w:ascii="宋体" w:hAnsi="宋体" w:eastAsia="宋体" w:cs="宋体"/>
          <w:color w:val="auto"/>
          <w:kern w:val="0"/>
          <w:sz w:val="22"/>
          <w:szCs w:val="24"/>
          <w:lang w:eastAsia="zh-CN"/>
        </w:rPr>
        <w:t>，</w:t>
      </w:r>
      <w:r>
        <w:rPr>
          <w:rFonts w:hint="eastAsia" w:ascii="宋体" w:hAnsi="宋体" w:eastAsia="宋体" w:cs="宋体"/>
          <w:color w:val="auto"/>
          <w:kern w:val="0"/>
          <w:sz w:val="22"/>
          <w:szCs w:val="24"/>
        </w:rPr>
        <w:t>得分一档最高不能超过该指标分值上限。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p>
      <w:pPr>
        <w:keepNext w:val="0"/>
        <w:keepLines w:val="0"/>
        <w:pageBreakBefore w:val="0"/>
        <w:widowControl/>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4"/>
        </w:rPr>
      </w:pPr>
      <w:r>
        <w:rPr>
          <w:rFonts w:hint="eastAsia" w:ascii="宋体" w:hAnsi="宋体" w:eastAsia="宋体" w:cs="宋体"/>
          <w:color w:val="auto"/>
          <w:kern w:val="0"/>
          <w:sz w:val="22"/>
          <w:szCs w:val="24"/>
          <w:lang w:val="en-US" w:eastAsia="zh-CN"/>
        </w:rPr>
        <w:t>二是定性指标。</w:t>
      </w:r>
      <w:r>
        <w:rPr>
          <w:rFonts w:hint="eastAsia" w:ascii="宋体" w:hAnsi="宋体" w:eastAsia="宋体" w:cs="宋体"/>
          <w:color w:val="auto"/>
          <w:kern w:val="0"/>
          <w:sz w:val="22"/>
          <w:szCs w:val="24"/>
          <w:highlight w:val="none"/>
        </w:rPr>
        <w:t>定性指标得分按照以下方法评定：根据指标完成情况分为达成年度指标、部分达成年度指标且有一定效果、未达成年度指标且效果较差3档，分别按照该指标对应分值区间100%-80%（含80%）、80-60%（含60%）、60%-0%合理确定分值。</w:t>
      </w:r>
    </w:p>
    <w:p>
      <w:pPr>
        <w:keepNext w:val="0"/>
        <w:keepLines w:val="0"/>
        <w:pageBreakBefore w:val="0"/>
        <w:widowControl/>
        <w:kinsoku/>
        <w:wordWrap/>
        <w:overflowPunct/>
        <w:topLinePunct w:val="0"/>
        <w:autoSpaceDE/>
        <w:autoSpaceDN/>
        <w:bidi w:val="0"/>
        <w:spacing w:line="480" w:lineRule="exact"/>
        <w:ind w:firstLine="440" w:firstLineChars="200"/>
        <w:textAlignment w:val="auto"/>
        <w:rPr>
          <w:rFonts w:hint="eastAsia" w:ascii="宋体" w:hAnsi="宋体" w:eastAsia="宋体" w:cs="宋体"/>
          <w:color w:val="auto"/>
          <w:kern w:val="0"/>
          <w:sz w:val="22"/>
          <w:szCs w:val="24"/>
          <w:highlight w:val="none"/>
        </w:rPr>
      </w:pPr>
      <w:r>
        <w:rPr>
          <w:rFonts w:hint="eastAsia" w:ascii="宋体" w:hAnsi="宋体" w:eastAsia="宋体" w:cs="宋体"/>
          <w:color w:val="auto"/>
          <w:kern w:val="0"/>
          <w:sz w:val="22"/>
          <w:szCs w:val="24"/>
          <w:highlight w:val="none"/>
        </w:rPr>
        <w:t>各项绩效指标得分汇总成该项目自评的总分。</w:t>
      </w:r>
    </w:p>
    <w:p>
      <w:pPr>
        <w:widowControl/>
        <w:numPr>
          <w:ilvl w:val="0"/>
          <w:numId w:val="0"/>
        </w:numPr>
        <w:spacing w:line="480" w:lineRule="exact"/>
        <w:ind w:firstLine="440" w:firstLineChars="200"/>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lang w:val="en-US" w:eastAsia="zh-CN"/>
        </w:rPr>
        <w:t>3.</w:t>
      </w:r>
      <w:r>
        <w:rPr>
          <w:rFonts w:hint="eastAsia" w:ascii="宋体" w:hAnsi="宋体" w:eastAsia="宋体" w:cs="宋体"/>
          <w:color w:val="auto"/>
          <w:kern w:val="0"/>
          <w:sz w:val="22"/>
          <w:szCs w:val="24"/>
        </w:rPr>
        <w:t>各部门在收集、分析上述绩效执行信息的基础上，</w:t>
      </w:r>
      <w:r>
        <w:rPr>
          <w:rFonts w:hint="eastAsia" w:ascii="宋体" w:hAnsi="宋体" w:eastAsia="宋体" w:cs="宋体"/>
          <w:color w:val="auto"/>
          <w:kern w:val="0"/>
          <w:sz w:val="22"/>
          <w:szCs w:val="24"/>
          <w:lang w:val="en-US" w:eastAsia="zh-CN"/>
        </w:rPr>
        <w:t>针</w:t>
      </w:r>
      <w:r>
        <w:rPr>
          <w:rFonts w:hint="eastAsia" w:ascii="宋体" w:hAnsi="宋体" w:eastAsia="宋体" w:cs="宋体"/>
          <w:color w:val="auto"/>
          <w:kern w:val="0"/>
          <w:sz w:val="22"/>
          <w:szCs w:val="24"/>
        </w:rPr>
        <w:t>对未完成绩效目标及指标</w:t>
      </w:r>
      <w:r>
        <w:rPr>
          <w:rFonts w:hint="eastAsia" w:ascii="宋体" w:hAnsi="宋体" w:eastAsia="宋体" w:cs="宋体"/>
          <w:color w:val="auto"/>
          <w:kern w:val="0"/>
          <w:sz w:val="22"/>
          <w:szCs w:val="24"/>
          <w:lang w:eastAsia="zh-CN"/>
        </w:rPr>
        <w:t>，</w:t>
      </w:r>
      <w:r>
        <w:rPr>
          <w:rFonts w:hint="eastAsia" w:ascii="宋体" w:hAnsi="宋体" w:eastAsia="宋体" w:cs="宋体"/>
          <w:color w:val="auto"/>
          <w:kern w:val="0"/>
          <w:sz w:val="22"/>
          <w:szCs w:val="24"/>
          <w:lang w:val="en-US" w:eastAsia="zh-CN"/>
        </w:rPr>
        <w:t>需</w:t>
      </w:r>
      <w:r>
        <w:rPr>
          <w:rFonts w:hint="eastAsia" w:ascii="宋体" w:hAnsi="宋体" w:eastAsia="宋体" w:cs="宋体"/>
          <w:color w:val="auto"/>
          <w:kern w:val="0"/>
          <w:sz w:val="22"/>
          <w:szCs w:val="24"/>
        </w:rPr>
        <w:t>在“偏差原因分析及改进措施”中</w:t>
      </w:r>
      <w:r>
        <w:rPr>
          <w:rFonts w:hint="eastAsia" w:ascii="宋体" w:hAnsi="宋体" w:eastAsia="宋体" w:cs="宋体"/>
          <w:color w:val="auto"/>
          <w:kern w:val="0"/>
          <w:sz w:val="22"/>
          <w:szCs w:val="24"/>
          <w:lang w:val="en-US" w:eastAsia="zh-CN"/>
        </w:rPr>
        <w:t>逐条分析</w:t>
      </w:r>
      <w:r>
        <w:rPr>
          <w:rFonts w:hint="eastAsia" w:ascii="宋体" w:hAnsi="宋体" w:eastAsia="宋体" w:cs="宋体"/>
          <w:color w:val="auto"/>
          <w:kern w:val="0"/>
          <w:sz w:val="22"/>
          <w:szCs w:val="24"/>
        </w:rPr>
        <w:t>说明偏离目标、不能完成目标的原因及拟采取的措施。</w:t>
      </w:r>
    </w:p>
    <w:p>
      <w:pPr>
        <w:widowControl/>
        <w:numPr>
          <w:ilvl w:val="0"/>
          <w:numId w:val="0"/>
        </w:numPr>
        <w:spacing w:line="480" w:lineRule="exact"/>
        <w:ind w:firstLine="440" w:firstLineChars="200"/>
        <w:jc w:val="left"/>
        <w:outlineLvl w:val="0"/>
        <w:rPr>
          <w:rFonts w:hint="eastAsia" w:ascii="宋体" w:hAnsi="宋体" w:eastAsia="宋体" w:cs="宋体"/>
          <w:color w:val="auto"/>
          <w:kern w:val="0"/>
          <w:sz w:val="22"/>
          <w:szCs w:val="24"/>
        </w:rPr>
      </w:pPr>
      <w:r>
        <w:rPr>
          <w:rFonts w:hint="eastAsia" w:ascii="宋体" w:hAnsi="宋体" w:eastAsia="宋体" w:cs="宋体"/>
          <w:color w:val="auto"/>
          <w:kern w:val="0"/>
          <w:sz w:val="22"/>
          <w:szCs w:val="24"/>
        </w:rPr>
        <w:t>4.</w:t>
      </w:r>
      <w:r>
        <w:rPr>
          <w:rFonts w:hint="eastAsia" w:ascii="宋体" w:hAnsi="宋体" w:cs="宋体"/>
          <w:color w:val="auto"/>
          <w:kern w:val="0"/>
          <w:sz w:val="22"/>
          <w:szCs w:val="24"/>
          <w:lang w:val="en-US" w:eastAsia="zh-CN"/>
        </w:rPr>
        <w:t>等级划分：</w:t>
      </w:r>
      <w:r>
        <w:rPr>
          <w:rFonts w:hint="eastAsia" w:ascii="宋体" w:hAnsi="宋体" w:eastAsia="宋体" w:cs="宋体"/>
          <w:color w:val="auto"/>
          <w:kern w:val="0"/>
          <w:sz w:val="22"/>
          <w:szCs w:val="24"/>
        </w:rPr>
        <w:t>90（含）-100分为</w:t>
      </w:r>
      <w:r>
        <w:rPr>
          <w:rFonts w:hint="eastAsia" w:ascii="宋体" w:hAnsi="宋体" w:eastAsia="宋体" w:cs="宋体"/>
          <w:color w:val="auto"/>
          <w:kern w:val="0"/>
          <w:sz w:val="22"/>
          <w:szCs w:val="24"/>
          <w:lang w:val="en-US" w:eastAsia="zh-CN"/>
        </w:rPr>
        <w:t>优</w:t>
      </w:r>
      <w:r>
        <w:rPr>
          <w:rFonts w:hint="eastAsia" w:ascii="宋体" w:hAnsi="宋体" w:eastAsia="宋体" w:cs="宋体"/>
          <w:color w:val="auto"/>
          <w:kern w:val="0"/>
          <w:sz w:val="22"/>
          <w:szCs w:val="24"/>
        </w:rPr>
        <w:t>、80（含）-90分为</w:t>
      </w:r>
      <w:r>
        <w:rPr>
          <w:rFonts w:hint="eastAsia" w:ascii="宋体" w:hAnsi="宋体" w:eastAsia="宋体" w:cs="宋体"/>
          <w:color w:val="auto"/>
          <w:kern w:val="0"/>
          <w:sz w:val="22"/>
          <w:szCs w:val="24"/>
          <w:lang w:val="en-US" w:eastAsia="zh-CN"/>
        </w:rPr>
        <w:t>良</w:t>
      </w:r>
      <w:r>
        <w:rPr>
          <w:rFonts w:hint="eastAsia" w:ascii="宋体" w:hAnsi="宋体" w:eastAsia="宋体" w:cs="宋体"/>
          <w:color w:val="auto"/>
          <w:kern w:val="0"/>
          <w:sz w:val="22"/>
          <w:szCs w:val="24"/>
        </w:rPr>
        <w:t>、60（含）-80分为</w:t>
      </w:r>
      <w:r>
        <w:rPr>
          <w:rFonts w:hint="eastAsia" w:ascii="宋体" w:hAnsi="宋体" w:cs="宋体"/>
          <w:color w:val="auto"/>
          <w:kern w:val="0"/>
          <w:sz w:val="22"/>
          <w:szCs w:val="24"/>
          <w:lang w:val="en-US" w:eastAsia="zh-CN"/>
        </w:rPr>
        <w:t>中</w:t>
      </w:r>
      <w:r>
        <w:rPr>
          <w:rFonts w:hint="eastAsia" w:ascii="宋体" w:hAnsi="宋体" w:eastAsia="宋体" w:cs="宋体"/>
          <w:color w:val="auto"/>
          <w:kern w:val="0"/>
          <w:sz w:val="22"/>
          <w:szCs w:val="24"/>
        </w:rPr>
        <w:t>、60分以下为差。</w:t>
      </w: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keepNext w:val="0"/>
        <w:keepLines w:val="0"/>
        <w:pageBreakBefore w:val="0"/>
        <w:numPr>
          <w:ilvl w:val="0"/>
          <w:numId w:val="0"/>
        </w:numPr>
        <w:pBdr>
          <w:bottom w:val="single" w:color="FFFFFF" w:sz="4" w:space="17"/>
        </w:pBdr>
        <w:kinsoku/>
        <w:wordWrap/>
        <w:overflowPunct/>
        <w:topLinePunct w:val="0"/>
        <w:autoSpaceDE/>
        <w:autoSpaceDN/>
        <w:bidi w:val="0"/>
        <w:adjustRightInd/>
        <w:snapToGrid/>
        <w:spacing w:line="560" w:lineRule="exact"/>
        <w:ind w:firstLine="486" w:firstLineChars="0"/>
        <w:textAlignment w:val="auto"/>
        <w:rPr>
          <w:rFonts w:hint="eastAsia" w:ascii="仿宋_GB2312" w:hAnsi="Calibri" w:eastAsia="仿宋_GB2312" w:cs="Times New Roman"/>
          <w:b w:val="0"/>
          <w:bCs w:val="0"/>
          <w:color w:val="auto"/>
          <w:kern w:val="2"/>
          <w:sz w:val="32"/>
          <w:szCs w:val="32"/>
          <w:highlight w:val="none"/>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kern w:val="0"/>
          <w:sz w:val="22"/>
          <w:szCs w:val="24"/>
          <w:lang w:val="en-US" w:eastAsia="zh-CN" w:bidi="ar-SA"/>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CEXiZ/ywEAAHkDAAAOAAAAAAAAAAEAIAAAAB8BAABkcnMvZTJv&#10;RG9jLnhtbFBLBQYAAAAABgAGAFkBAAB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ZjYxMDY5MjQxZjc3MmY5NzQyYTM5OTMxZDMxMWUifQ=="/>
  </w:docVars>
  <w:rsids>
    <w:rsidRoot w:val="5EDB0B63"/>
    <w:rsid w:val="01534994"/>
    <w:rsid w:val="0AC57974"/>
    <w:rsid w:val="0B015772"/>
    <w:rsid w:val="0C8165E0"/>
    <w:rsid w:val="19F53BF6"/>
    <w:rsid w:val="1D1C5D2B"/>
    <w:rsid w:val="1DC11D64"/>
    <w:rsid w:val="2080016D"/>
    <w:rsid w:val="24442B3D"/>
    <w:rsid w:val="26055EE5"/>
    <w:rsid w:val="2AF14037"/>
    <w:rsid w:val="2CBF8107"/>
    <w:rsid w:val="2EB70209"/>
    <w:rsid w:val="30FF2B40"/>
    <w:rsid w:val="31992204"/>
    <w:rsid w:val="33FC38D8"/>
    <w:rsid w:val="35D339CB"/>
    <w:rsid w:val="3FF79B31"/>
    <w:rsid w:val="49A461E3"/>
    <w:rsid w:val="4BA31FDB"/>
    <w:rsid w:val="4BFF9656"/>
    <w:rsid w:val="4C7D17B0"/>
    <w:rsid w:val="4CC65627"/>
    <w:rsid w:val="4EC533B4"/>
    <w:rsid w:val="537A1457"/>
    <w:rsid w:val="537B9DA3"/>
    <w:rsid w:val="577FC547"/>
    <w:rsid w:val="5A474F5C"/>
    <w:rsid w:val="5DDF52D1"/>
    <w:rsid w:val="5EDB0B63"/>
    <w:rsid w:val="5F9F33EB"/>
    <w:rsid w:val="6633245E"/>
    <w:rsid w:val="6AC7B1A3"/>
    <w:rsid w:val="6B77FB6F"/>
    <w:rsid w:val="6EE9A86C"/>
    <w:rsid w:val="6FD43E60"/>
    <w:rsid w:val="71DB912D"/>
    <w:rsid w:val="763011FF"/>
    <w:rsid w:val="763E871D"/>
    <w:rsid w:val="79EBFCAD"/>
    <w:rsid w:val="7BBD97BD"/>
    <w:rsid w:val="7BED256C"/>
    <w:rsid w:val="7BFE4A5B"/>
    <w:rsid w:val="7BFFEC6B"/>
    <w:rsid w:val="7D2458C0"/>
    <w:rsid w:val="7DBF4FBB"/>
    <w:rsid w:val="7DCD9330"/>
    <w:rsid w:val="7DD758A1"/>
    <w:rsid w:val="7E0B3DE4"/>
    <w:rsid w:val="7E562264"/>
    <w:rsid w:val="7E5EB5A1"/>
    <w:rsid w:val="7F2773F9"/>
    <w:rsid w:val="7F3909BD"/>
    <w:rsid w:val="7F7C49BA"/>
    <w:rsid w:val="7FA44DC6"/>
    <w:rsid w:val="7FBF70D0"/>
    <w:rsid w:val="7FF719AD"/>
    <w:rsid w:val="9BFD2FEF"/>
    <w:rsid w:val="AA5E3CAD"/>
    <w:rsid w:val="AFDDEFDC"/>
    <w:rsid w:val="B2DFF942"/>
    <w:rsid w:val="B5FC34C6"/>
    <w:rsid w:val="BAEFCA12"/>
    <w:rsid w:val="BD5D8A02"/>
    <w:rsid w:val="D4CEDA1A"/>
    <w:rsid w:val="D5A31DC0"/>
    <w:rsid w:val="D7FF1616"/>
    <w:rsid w:val="DFEAA56F"/>
    <w:rsid w:val="E6922BE3"/>
    <w:rsid w:val="EB5BB730"/>
    <w:rsid w:val="EDFF835A"/>
    <w:rsid w:val="EEBB59E1"/>
    <w:rsid w:val="EFCF022D"/>
    <w:rsid w:val="F37B3AB2"/>
    <w:rsid w:val="F6FF4047"/>
    <w:rsid w:val="F7E365DE"/>
    <w:rsid w:val="FA5A168B"/>
    <w:rsid w:val="FD3F40DC"/>
    <w:rsid w:val="FD8E962E"/>
    <w:rsid w:val="FEF8056D"/>
    <w:rsid w:val="FEF82787"/>
    <w:rsid w:val="FEFD3F0E"/>
    <w:rsid w:val="FFBDE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w:basedOn w:val="1"/>
    <w:next w:val="1"/>
    <w:qFormat/>
    <w:uiPriority w:val="0"/>
    <w:pPr>
      <w:spacing w:before="0" w:after="140" w:line="276"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character" w:customStyle="1" w:styleId="11">
    <w:name w:val="font81"/>
    <w:basedOn w:val="9"/>
    <w:qFormat/>
    <w:uiPriority w:val="0"/>
    <w:rPr>
      <w:rFonts w:hint="eastAsia" w:ascii="宋体" w:hAnsi="宋体" w:eastAsia="宋体" w:cs="宋体"/>
      <w:color w:val="000000"/>
      <w:sz w:val="20"/>
      <w:szCs w:val="20"/>
      <w:u w:val="none"/>
    </w:rPr>
  </w:style>
  <w:style w:type="character" w:customStyle="1" w:styleId="12">
    <w:name w:val="font11"/>
    <w:basedOn w:val="9"/>
    <w:qFormat/>
    <w:uiPriority w:val="0"/>
    <w:rPr>
      <w:rFonts w:hint="eastAsia" w:ascii="仿宋_GB2312" w:eastAsia="仿宋_GB2312" w:cs="仿宋_GB2312"/>
      <w:color w:val="000000"/>
      <w:sz w:val="24"/>
      <w:szCs w:val="24"/>
      <w:u w:val="none"/>
    </w:rPr>
  </w:style>
  <w:style w:type="character" w:customStyle="1" w:styleId="13">
    <w:name w:val="font61"/>
    <w:basedOn w:val="9"/>
    <w:qFormat/>
    <w:uiPriority w:val="0"/>
    <w:rPr>
      <w:rFonts w:hint="eastAsia" w:ascii="仿宋_GB2312" w:eastAsia="仿宋_GB2312" w:cs="仿宋_GB2312"/>
      <w:color w:val="000000"/>
      <w:sz w:val="24"/>
      <w:szCs w:val="24"/>
      <w:u w:val="none"/>
    </w:rPr>
  </w:style>
  <w:style w:type="character" w:customStyle="1" w:styleId="14">
    <w:name w:val="font71"/>
    <w:basedOn w:val="9"/>
    <w:qFormat/>
    <w:uiPriority w:val="0"/>
    <w:rPr>
      <w:rFonts w:hint="eastAsia" w:ascii="宋体" w:hAnsi="宋体" w:eastAsia="宋体" w:cs="宋体"/>
      <w:color w:val="FF0000"/>
      <w:sz w:val="20"/>
      <w:szCs w:val="20"/>
      <w:u w:val="none"/>
    </w:rPr>
  </w:style>
  <w:style w:type="paragraph" w:customStyle="1" w:styleId="15">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16">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9620</Words>
  <Characters>10202</Characters>
  <Lines>0</Lines>
  <Paragraphs>0</Paragraphs>
  <TotalTime>7</TotalTime>
  <ScaleCrop>false</ScaleCrop>
  <LinksUpToDate>false</LinksUpToDate>
  <CharactersWithSpaces>10298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2024-03-13T19:08:00Z</dcterms:created>
  <dc:creator>user</dc:creator>
  <cp:lastModifiedBy>lenovo</cp:lastModifiedBy>
  <cp:lastPrinted>2025-01-08T17:22:00Z</cp:lastPrinted>
  <dcterms:modified xsi:type="dcterms:W3CDTF">2025-09-30T02:42:57Z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C3F58188F4AB47C6B1FF9AF61856E6E9</vt:lpwstr>
  </property>
</Properties>
</file>