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2-2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清产核资服务费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对全体体制改革单位进行清产核资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除涉诉三家待注销二级单位，均已完成清算工作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清查单位数量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18家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18家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清算报告准确率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完成时间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≤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2024年12月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2024年12月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项目成本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10万元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保障水务新系统正常运转</w:t>
            </w:r>
            <w:r>
              <w:rPr>
                <w:rFonts w:hint="eastAsia" w:ascii="Helvetica" w:hAnsi="Helvetica" w:eastAsia="Helvetica" w:cs="Helvetica"/>
                <w:i w:val="0"/>
                <w:caps w:val="0"/>
                <w:color w:val="000000"/>
                <w:spacing w:val="0"/>
                <w:sz w:val="19"/>
                <w:szCs w:val="19"/>
                <w:shd w:val="clear" w:fill="FFFFFF"/>
              </w:rPr>
              <w:t>，避免造成国有资产流失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定性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部门满意度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spacing w:line="600" w:lineRule="exact"/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6" w:firstLineChars="0"/>
        <w:textAlignment w:val="auto"/>
        <w:rPr>
          <w:rFonts w:hint="eastAsia" w:ascii="仿宋_GB2312" w:hAnsi="Calibri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444FAB"/>
    <w:rsid w:val="3BBB1ECB"/>
    <w:rsid w:val="488F2520"/>
    <w:rsid w:val="5044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2025-02-18T09:02:00Z</dcterms:created>
  <dc:creator>Administrator</dc:creator>
  <cp:lastModifiedBy>Administrator</cp:lastModifiedBy>
  <dcterms:modified xsi:type="dcterms:W3CDTF">2025-09-09T01:16:29Z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</Properties>
</file>