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2020年通州区“两田一园”农业机井智能计量系统工程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前期工作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44"/>
                <w:sz w:val="18"/>
                <w:szCs w:val="18"/>
              </w:rPr>
              <w:t>北京市水利规划设计研究院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根据《关于加快推进农业水价综合改革的通知》（发改价格[2019]855号）要求，我局计划对潞城、宋庄、台湖、张家湾4个乡镇的农业机井安装智能计量系统。项目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前期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实施方案编制费1.961372万元；设计费18.726787万元。以上共计20.688159万元。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因项目终止，经双方协商一致，签订项目终止协议，一次性拨付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10万元整。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指标1：项目实施方案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指标2：项目施工图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指标1：完成项目实施方案、施工图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达到施工要求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达到施工要求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项目开始时间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2020年5月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2020年5月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指标1：直接成本控制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以财政预算评审报告为依据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加强水资源管理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完成项目前期设计工作，为项目实施奠定基础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项目终止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使用单位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C3F2CA8"/>
    <w:rsid w:val="12DD75D7"/>
    <w:rsid w:val="1BEB6CEC"/>
    <w:rsid w:val="213F5C5B"/>
    <w:rsid w:val="22CE2F7B"/>
    <w:rsid w:val="28807644"/>
    <w:rsid w:val="34CA1F40"/>
    <w:rsid w:val="47604285"/>
    <w:rsid w:val="5044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dcterms:modified xsi:type="dcterms:W3CDTF">2025-09-08T09:18:19Z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