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w:t>
      </w:r>
      <w:r>
        <w:rPr>
          <w:rFonts w:hint="eastAsia" w:ascii="黑体" w:hAnsi="黑体" w:eastAsia="黑体"/>
          <w:color w:val="auto"/>
          <w:sz w:val="32"/>
          <w:szCs w:val="32"/>
          <w:lang w:val="en-US" w:eastAsia="zh-CN"/>
        </w:rPr>
        <w:t>2-2</w:t>
      </w:r>
    </w:p>
    <w:tbl>
      <w:tblPr>
        <w:tblStyle w:val="6"/>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427"/>
        <w:gridCol w:w="344"/>
        <w:gridCol w:w="308"/>
        <w:gridCol w:w="528"/>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通州区污水厂（站）第三方监管项目</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北京通州区水务局</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北京通州区水务局</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bookmarkStart w:id="0" w:name="_GoBack"/>
            <w:bookmarkEnd w:id="0"/>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1016"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lang w:eastAsia="zh-CN"/>
              </w:rPr>
            </w:pPr>
            <w:r>
              <w:rPr>
                <w:rFonts w:hint="eastAsia" w:ascii="宋体" w:hAnsi="宋体" w:cs="宋体"/>
                <w:color w:val="auto"/>
                <w:kern w:val="0"/>
                <w:sz w:val="18"/>
                <w:szCs w:val="18"/>
              </w:rPr>
              <w:t>污水处理厂站巡查监管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污水处理厂站出水水质取样检测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管网的巡查监管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污泥厂站巡查及泥质检测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再生水水质检测</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全区</w:t>
            </w:r>
            <w:r>
              <w:rPr>
                <w:rFonts w:hint="eastAsia" w:ascii="宋体" w:hAnsi="宋体" w:cs="宋体"/>
                <w:color w:val="auto"/>
                <w:kern w:val="0"/>
                <w:sz w:val="18"/>
                <w:szCs w:val="18"/>
              </w:rPr>
              <w:t>污水处理厂站巡查监管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污水处理厂站出水水质取样检测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管网的巡查监管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污泥厂站巡查及泥质检测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再生水水质检测</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101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eastAsia="宋体" w:cs="宋体"/>
                <w:color w:val="000000"/>
                <w:kern w:val="0"/>
                <w:sz w:val="18"/>
                <w:szCs w:val="18"/>
              </w:rPr>
              <w:t>污水处理厂站、污泥处置厂巡查监管</w:t>
            </w:r>
            <w:r>
              <w:rPr>
                <w:rFonts w:hint="eastAsia" w:ascii="宋体" w:hAnsi="宋体" w:cs="宋体"/>
                <w:color w:val="000000"/>
                <w:kern w:val="0"/>
                <w:sz w:val="18"/>
                <w:szCs w:val="18"/>
                <w:lang w:eastAsia="zh-CN"/>
              </w:rPr>
              <w:t>、出水水质人工检测、污泥泥质人工检测</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按要求完成</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32"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rPr>
            </w:pPr>
            <w:r>
              <w:rPr>
                <w:rFonts w:hint="eastAsia" w:ascii="宋体" w:hAnsi="宋体" w:cs="宋体"/>
                <w:color w:val="000000"/>
                <w:kern w:val="0"/>
                <w:sz w:val="18"/>
                <w:szCs w:val="18"/>
                <w:lang w:eastAsia="zh-CN"/>
              </w:rPr>
              <w:t>出水</w:t>
            </w:r>
            <w:r>
              <w:rPr>
                <w:rFonts w:hint="eastAsia" w:ascii="宋体" w:hAnsi="宋体" w:eastAsia="宋体" w:cs="宋体"/>
                <w:color w:val="000000"/>
                <w:kern w:val="0"/>
                <w:sz w:val="18"/>
                <w:szCs w:val="18"/>
              </w:rPr>
              <w:t>水质监测报告质量</w:t>
            </w:r>
            <w:r>
              <w:rPr>
                <w:rFonts w:hint="eastAsia" w:ascii="宋体" w:hAnsi="宋体" w:cs="宋体"/>
                <w:color w:val="000000"/>
                <w:kern w:val="0"/>
                <w:sz w:val="18"/>
                <w:szCs w:val="18"/>
                <w:lang w:eastAsia="zh-CN"/>
              </w:rPr>
              <w:t>、巡查的及时率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kern w:val="0"/>
                <w:sz w:val="18"/>
                <w:szCs w:val="18"/>
              </w:rPr>
              <w:t>符合出水水质要求</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745"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eastAsia="宋体" w:cs="宋体"/>
                <w:color w:val="000000"/>
                <w:kern w:val="0"/>
                <w:sz w:val="18"/>
                <w:szCs w:val="18"/>
                <w:lang w:val="en-US" w:eastAsia="zh-CN"/>
              </w:rPr>
              <w:t>完成</w:t>
            </w:r>
            <w:r>
              <w:rPr>
                <w:rFonts w:hint="eastAsia" w:ascii="宋体" w:hAnsi="宋体" w:cs="宋体"/>
                <w:color w:val="000000"/>
                <w:kern w:val="0"/>
                <w:sz w:val="18"/>
                <w:szCs w:val="18"/>
                <w:lang w:val="en-US" w:eastAsia="zh-CN"/>
              </w:rPr>
              <w:t>全年</w:t>
            </w:r>
            <w:r>
              <w:rPr>
                <w:rFonts w:hint="eastAsia" w:ascii="宋体" w:hAnsi="宋体" w:eastAsia="宋体" w:cs="宋体"/>
                <w:color w:val="000000"/>
                <w:kern w:val="0"/>
                <w:sz w:val="18"/>
                <w:szCs w:val="18"/>
                <w:lang w:val="en-US" w:eastAsia="zh-CN"/>
              </w:rPr>
              <w:t>度</w:t>
            </w:r>
            <w:r>
              <w:rPr>
                <w:rFonts w:hint="eastAsia" w:ascii="宋体" w:hAnsi="宋体" w:cs="宋体"/>
                <w:color w:val="000000"/>
                <w:kern w:val="0"/>
                <w:sz w:val="18"/>
                <w:szCs w:val="18"/>
                <w:lang w:val="en-US" w:eastAsia="zh-CN"/>
              </w:rPr>
              <w:t>巡查任务</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eastAsia="zh-CN"/>
              </w:rPr>
              <w:t>污水、污泥处理设施巡查</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1018"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eastAsia="宋体" w:cs="宋体"/>
                <w:i w:val="0"/>
                <w:iCs w:val="0"/>
                <w:color w:val="000000"/>
                <w:kern w:val="0"/>
                <w:sz w:val="18"/>
                <w:szCs w:val="18"/>
                <w:u w:val="none"/>
                <w:lang w:val="en-US" w:eastAsia="zh-CN" w:bidi="ar"/>
              </w:rPr>
              <w:t>控制预算总额，资金支付合理合规，符合合同要求。</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kern w:val="0"/>
                <w:sz w:val="18"/>
                <w:szCs w:val="18"/>
                <w:lang w:eastAsia="zh-CN"/>
              </w:rPr>
              <w:t>按合同要求支付</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eastAsia="zh-CN"/>
              </w:rPr>
              <w:t>根据财政预算批复支付</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6</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0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通过巡查监管帮助厂站运营单位提升出水达标率，降低安全隐患。</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提高</w:t>
            </w:r>
            <w:r>
              <w:rPr>
                <w:rFonts w:hint="eastAsia" w:ascii="宋体" w:hAnsi="宋体" w:eastAsia="宋体" w:cs="宋体"/>
                <w:color w:val="000000"/>
                <w:kern w:val="0"/>
                <w:sz w:val="18"/>
                <w:szCs w:val="18"/>
              </w:rPr>
              <w:t>人民生活质量</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452"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有利于提高通州区污水处理厂站整体运营管理水平及为全区水环境的提升改善做好辅助监测工作；加强再生水使用安全管理。</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kern w:val="0"/>
                <w:sz w:val="18"/>
                <w:szCs w:val="18"/>
                <w:lang w:val="en-US" w:eastAsia="zh-CN"/>
              </w:rPr>
              <w:t>改善</w:t>
            </w:r>
            <w:r>
              <w:rPr>
                <w:rFonts w:hint="eastAsia" w:ascii="宋体" w:hAnsi="宋体" w:eastAsia="宋体" w:cs="宋体"/>
                <w:kern w:val="0"/>
                <w:sz w:val="18"/>
                <w:szCs w:val="18"/>
                <w:lang w:eastAsia="zh-CN"/>
              </w:rPr>
              <w:t>水环境</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7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lang w:eastAsia="zh-CN"/>
              </w:rPr>
            </w:pPr>
            <w:r>
              <w:rPr>
                <w:rFonts w:hint="eastAsia" w:ascii="宋体" w:hAnsi="宋体" w:cs="宋体"/>
                <w:color w:val="000000"/>
                <w:kern w:val="0"/>
                <w:sz w:val="18"/>
                <w:szCs w:val="18"/>
                <w:lang w:eastAsia="zh-CN"/>
              </w:rPr>
              <w:t>设施</w:t>
            </w:r>
            <w:r>
              <w:rPr>
                <w:rFonts w:hint="eastAsia" w:ascii="宋体" w:hAnsi="宋体" w:eastAsia="宋体" w:cs="宋体"/>
                <w:color w:val="000000"/>
                <w:kern w:val="0"/>
                <w:sz w:val="18"/>
                <w:szCs w:val="18"/>
              </w:rPr>
              <w:t>稳定正常运行，持续发挥效益</w:t>
            </w:r>
            <w:r>
              <w:rPr>
                <w:rFonts w:hint="eastAsia" w:ascii="宋体" w:hAnsi="宋体" w:eastAsia="宋体" w:cs="宋体"/>
                <w:color w:val="000000"/>
                <w:kern w:val="0"/>
                <w:sz w:val="18"/>
                <w:szCs w:val="18"/>
                <w:lang w:eastAsia="zh-CN"/>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eastAsia="宋体" w:cs="宋体"/>
                <w:color w:val="000000"/>
                <w:kern w:val="0"/>
                <w:sz w:val="18"/>
                <w:szCs w:val="18"/>
              </w:rPr>
              <w:t>稳定正常运行</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7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群众</w:t>
            </w:r>
            <w:r>
              <w:rPr>
                <w:rFonts w:hint="eastAsia" w:ascii="宋体" w:hAnsi="宋体" w:cs="宋体"/>
                <w:color w:val="auto"/>
                <w:kern w:val="0"/>
                <w:sz w:val="18"/>
                <w:szCs w:val="18"/>
              </w:rPr>
              <w:t>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cs="宋体"/>
                <w:color w:val="auto"/>
                <w:kern w:val="0"/>
                <w:sz w:val="18"/>
                <w:szCs w:val="18"/>
              </w:rPr>
            </w:pPr>
            <w:r>
              <w:rPr>
                <w:rFonts w:hint="eastAsia" w:ascii="宋体" w:hAnsi="宋体" w:eastAsia="宋体" w:cs="宋体"/>
                <w:color w:val="000000"/>
                <w:kern w:val="0"/>
                <w:sz w:val="18"/>
                <w:szCs w:val="18"/>
              </w:rPr>
              <w:t>周边居民满意度</w:t>
            </w:r>
          </w:p>
        </w:tc>
        <w:tc>
          <w:tcPr>
            <w:tcW w:w="938" w:type="dxa"/>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cs="宋体"/>
                <w:color w:val="auto"/>
                <w:kern w:val="0"/>
                <w:sz w:val="18"/>
                <w:szCs w:val="18"/>
              </w:rPr>
            </w:pPr>
            <w:r>
              <w:rPr>
                <w:rFonts w:hint="eastAsia" w:ascii="宋体" w:hAnsi="宋体" w:eastAsia="宋体" w:cs="宋体"/>
                <w:color w:val="000000"/>
                <w:kern w:val="0"/>
                <w:sz w:val="18"/>
                <w:szCs w:val="18"/>
              </w:rPr>
              <w:t>未发生投诉</w:t>
            </w:r>
          </w:p>
        </w:tc>
        <w:tc>
          <w:tcPr>
            <w:tcW w:w="848" w:type="dxa"/>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cs="宋体"/>
                <w:color w:val="auto"/>
                <w:kern w:val="0"/>
                <w:sz w:val="18"/>
                <w:szCs w:val="18"/>
              </w:rPr>
            </w:pPr>
            <w:r>
              <w:rPr>
                <w:rFonts w:hint="eastAsia" w:ascii="宋体" w:hAnsi="宋体" w:eastAsia="宋体" w:cs="宋体"/>
                <w:color w:val="000000"/>
                <w:kern w:val="0"/>
                <w:sz w:val="18"/>
                <w:szCs w:val="18"/>
              </w:rPr>
              <w:t>未发生投诉</w:t>
            </w:r>
          </w:p>
        </w:tc>
        <w:tc>
          <w:tcPr>
            <w:tcW w:w="6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eastAsia="zh-CN"/>
              </w:rPr>
              <w:t>1</w:t>
            </w:r>
            <w:r>
              <w:rPr>
                <w:rFonts w:hint="eastAsia" w:ascii="宋体" w:hAnsi="宋体" w:cs="宋体"/>
                <w:color w:val="auto"/>
                <w:kern w:val="0"/>
                <w:sz w:val="18"/>
                <w:szCs w:val="18"/>
                <w:lang w:val="en-US" w:eastAsia="zh-CN"/>
              </w:rPr>
              <w:t>0</w:t>
            </w:r>
          </w:p>
        </w:tc>
        <w:tc>
          <w:tcPr>
            <w:tcW w:w="65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96</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填报注意事项：</w:t>
      </w:r>
    </w:p>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评价方法说明</w:t>
      </w:r>
      <w:r>
        <w:rPr>
          <w:rFonts w:hint="eastAsia" w:ascii="宋体" w:hAnsi="宋体" w:cs="宋体"/>
          <w:color w:val="auto"/>
          <w:kern w:val="0"/>
          <w:sz w:val="22"/>
          <w:szCs w:val="24"/>
          <w:lang w:eastAsia="zh-CN"/>
        </w:rPr>
        <w:t>：</w:t>
      </w:r>
      <w:r>
        <w:rPr>
          <w:rFonts w:hint="eastAsia" w:ascii="宋体" w:hAnsi="宋体" w:eastAsia="宋体" w:cs="宋体"/>
          <w:color w:val="auto"/>
          <w:kern w:val="0"/>
          <w:sz w:val="22"/>
          <w:szCs w:val="24"/>
        </w:rPr>
        <w:t>采取打分的形式，满分为100分。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2.</w:t>
      </w:r>
      <w:r>
        <w:rPr>
          <w:rFonts w:hint="eastAsia" w:ascii="宋体" w:hAnsi="宋体" w:eastAsia="宋体" w:cs="宋体"/>
          <w:color w:val="auto"/>
          <w:kern w:val="0"/>
          <w:sz w:val="22"/>
          <w:szCs w:val="24"/>
        </w:rPr>
        <w:t>评价的得分评定方法分为两类：一是定量指标。与年初指标值相比，完成指标值的，记该指标所赋全部分值；如果是由于年初指标值设定明显偏低造成的，要按照偏离度适度调减分值；未完成指标值的，按照完成值在指标值中所占比例记分</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rPr>
        <w:t>得分一档最高不能超过该指标分值上限。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二是定性指标。</w:t>
      </w:r>
      <w:r>
        <w:rPr>
          <w:rFonts w:hint="eastAsia" w:ascii="宋体" w:hAnsi="宋体" w:eastAsia="宋体" w:cs="宋体"/>
          <w:color w:val="auto"/>
          <w:kern w:val="0"/>
          <w:sz w:val="22"/>
          <w:szCs w:val="24"/>
          <w:highlight w:val="none"/>
        </w:rPr>
        <w:t>定性指标得分按照以下方法评定：根据指标完成情况分为达成年度指标、部分达成年度指标且有一定效果、未达成年度指标且效果较差3档，分别按照该指标对应分值区间100%-80%（含80%）、80-60%（含60%）、60%-0%合理确定分值。</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各项绩效指标得分汇总成该项目自评的总分。</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3.</w:t>
      </w:r>
      <w:r>
        <w:rPr>
          <w:rFonts w:hint="eastAsia" w:ascii="宋体" w:hAnsi="宋体" w:eastAsia="宋体" w:cs="宋体"/>
          <w:color w:val="auto"/>
          <w:kern w:val="0"/>
          <w:sz w:val="22"/>
          <w:szCs w:val="24"/>
        </w:rPr>
        <w:t>各部门在收集、分析上述绩效执行信息的基础上，</w:t>
      </w:r>
      <w:r>
        <w:rPr>
          <w:rFonts w:hint="eastAsia" w:ascii="宋体" w:hAnsi="宋体" w:eastAsia="宋体" w:cs="宋体"/>
          <w:color w:val="auto"/>
          <w:kern w:val="0"/>
          <w:sz w:val="22"/>
          <w:szCs w:val="24"/>
          <w:lang w:val="en-US" w:eastAsia="zh-CN"/>
        </w:rPr>
        <w:t>针</w:t>
      </w:r>
      <w:r>
        <w:rPr>
          <w:rFonts w:hint="eastAsia" w:ascii="宋体" w:hAnsi="宋体" w:eastAsia="宋体" w:cs="宋体"/>
          <w:color w:val="auto"/>
          <w:kern w:val="0"/>
          <w:sz w:val="22"/>
          <w:szCs w:val="24"/>
        </w:rPr>
        <w:t>对未完成绩效目标及指标</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lang w:val="en-US" w:eastAsia="zh-CN"/>
        </w:rPr>
        <w:t>需</w:t>
      </w:r>
      <w:r>
        <w:rPr>
          <w:rFonts w:hint="eastAsia" w:ascii="宋体" w:hAnsi="宋体" w:eastAsia="宋体" w:cs="宋体"/>
          <w:color w:val="auto"/>
          <w:kern w:val="0"/>
          <w:sz w:val="22"/>
          <w:szCs w:val="24"/>
        </w:rPr>
        <w:t>在“偏差原因分析及改进措施”中</w:t>
      </w:r>
      <w:r>
        <w:rPr>
          <w:rFonts w:hint="eastAsia" w:ascii="宋体" w:hAnsi="宋体" w:eastAsia="宋体" w:cs="宋体"/>
          <w:color w:val="auto"/>
          <w:kern w:val="0"/>
          <w:sz w:val="22"/>
          <w:szCs w:val="24"/>
          <w:lang w:val="en-US" w:eastAsia="zh-CN"/>
        </w:rPr>
        <w:t>逐条分析</w:t>
      </w:r>
      <w:r>
        <w:rPr>
          <w:rFonts w:hint="eastAsia" w:ascii="宋体" w:hAnsi="宋体" w:eastAsia="宋体" w:cs="宋体"/>
          <w:color w:val="auto"/>
          <w:kern w:val="0"/>
          <w:sz w:val="22"/>
          <w:szCs w:val="24"/>
        </w:rPr>
        <w:t>说明偏离目标、不能完成目标的原因及拟采取的措施。</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4.</w:t>
      </w:r>
      <w:r>
        <w:rPr>
          <w:rFonts w:hint="eastAsia" w:ascii="宋体" w:hAnsi="宋体" w:cs="宋体"/>
          <w:color w:val="auto"/>
          <w:kern w:val="0"/>
          <w:sz w:val="22"/>
          <w:szCs w:val="24"/>
          <w:lang w:val="en-US" w:eastAsia="zh-CN"/>
        </w:rPr>
        <w:t>等级划分：</w:t>
      </w:r>
      <w:r>
        <w:rPr>
          <w:rFonts w:hint="eastAsia" w:ascii="宋体" w:hAnsi="宋体" w:eastAsia="宋体" w:cs="宋体"/>
          <w:color w:val="auto"/>
          <w:kern w:val="0"/>
          <w:sz w:val="22"/>
          <w:szCs w:val="24"/>
        </w:rPr>
        <w:t>90（含）-100分为</w:t>
      </w:r>
      <w:r>
        <w:rPr>
          <w:rFonts w:hint="eastAsia" w:ascii="宋体" w:hAnsi="宋体" w:eastAsia="宋体" w:cs="宋体"/>
          <w:color w:val="auto"/>
          <w:kern w:val="0"/>
          <w:sz w:val="22"/>
          <w:szCs w:val="24"/>
          <w:lang w:val="en-US" w:eastAsia="zh-CN"/>
        </w:rPr>
        <w:t>优</w:t>
      </w:r>
      <w:r>
        <w:rPr>
          <w:rFonts w:hint="eastAsia" w:ascii="宋体" w:hAnsi="宋体" w:eastAsia="宋体" w:cs="宋体"/>
          <w:color w:val="auto"/>
          <w:kern w:val="0"/>
          <w:sz w:val="22"/>
          <w:szCs w:val="24"/>
        </w:rPr>
        <w:t>、80（含）-90分为</w:t>
      </w:r>
      <w:r>
        <w:rPr>
          <w:rFonts w:hint="eastAsia" w:ascii="宋体" w:hAnsi="宋体" w:eastAsia="宋体" w:cs="宋体"/>
          <w:color w:val="auto"/>
          <w:kern w:val="0"/>
          <w:sz w:val="22"/>
          <w:szCs w:val="24"/>
          <w:lang w:val="en-US" w:eastAsia="zh-CN"/>
        </w:rPr>
        <w:t>良</w:t>
      </w:r>
      <w:r>
        <w:rPr>
          <w:rFonts w:hint="eastAsia" w:ascii="宋体" w:hAnsi="宋体" w:eastAsia="宋体" w:cs="宋体"/>
          <w:color w:val="auto"/>
          <w:kern w:val="0"/>
          <w:sz w:val="22"/>
          <w:szCs w:val="24"/>
        </w:rPr>
        <w:t>、60（含）-80分为</w:t>
      </w:r>
      <w:r>
        <w:rPr>
          <w:rFonts w:hint="eastAsia" w:ascii="宋体" w:hAnsi="宋体" w:cs="宋体"/>
          <w:color w:val="auto"/>
          <w:kern w:val="0"/>
          <w:sz w:val="22"/>
          <w:szCs w:val="24"/>
          <w:lang w:val="en-US" w:eastAsia="zh-CN"/>
        </w:rPr>
        <w:t>中</w:t>
      </w:r>
      <w:r>
        <w:rPr>
          <w:rFonts w:hint="eastAsia" w:ascii="宋体" w:hAnsi="宋体" w:eastAsia="宋体" w:cs="宋体"/>
          <w:color w:val="auto"/>
          <w:kern w:val="0"/>
          <w:sz w:val="22"/>
          <w:szCs w:val="24"/>
        </w:rPr>
        <w:t>、60分以下为差。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kYmU2YTdjMmY4ZjI5NjEyODFmMjk2YWU2MWMxZmYifQ=="/>
  </w:docVars>
  <w:rsids>
    <w:rsidRoot w:val="00000000"/>
    <w:rsid w:val="066E7569"/>
    <w:rsid w:val="06750E53"/>
    <w:rsid w:val="09787B9F"/>
    <w:rsid w:val="0AC75B0A"/>
    <w:rsid w:val="14CA0061"/>
    <w:rsid w:val="14FC060D"/>
    <w:rsid w:val="15A440FD"/>
    <w:rsid w:val="184B14B9"/>
    <w:rsid w:val="1AF33D39"/>
    <w:rsid w:val="1D9B6A3E"/>
    <w:rsid w:val="20346CD6"/>
    <w:rsid w:val="210E677D"/>
    <w:rsid w:val="260333D3"/>
    <w:rsid w:val="2D7F6F4F"/>
    <w:rsid w:val="35FB40C6"/>
    <w:rsid w:val="3B157793"/>
    <w:rsid w:val="3C460065"/>
    <w:rsid w:val="46582E6F"/>
    <w:rsid w:val="49F7299F"/>
    <w:rsid w:val="4E8839D8"/>
    <w:rsid w:val="502B5150"/>
    <w:rsid w:val="533407C0"/>
    <w:rsid w:val="536E5A80"/>
    <w:rsid w:val="54D264E2"/>
    <w:rsid w:val="55C027DF"/>
    <w:rsid w:val="5CF502D5"/>
    <w:rsid w:val="615E036F"/>
    <w:rsid w:val="6B4F21E3"/>
    <w:rsid w:val="6E2A2647"/>
    <w:rsid w:val="6F1C23DC"/>
    <w:rsid w:val="6F81706F"/>
    <w:rsid w:val="70405B8B"/>
    <w:rsid w:val="71EE4F30"/>
    <w:rsid w:val="7CA83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 w:type="paragraph" w:styleId="3">
    <w:name w:val="Body Text"/>
    <w:basedOn w:val="1"/>
    <w:next w:val="4"/>
    <w:qFormat/>
    <w:uiPriority w:val="0"/>
    <w:pPr>
      <w:spacing w:before="0" w:after="140" w:line="276" w:lineRule="auto"/>
    </w:pPr>
  </w:style>
  <w:style w:type="paragraph" w:styleId="4">
    <w:name w:val="Body Text 2"/>
    <w:qFormat/>
    <w:uiPriority w:val="99"/>
    <w:pPr>
      <w:widowControl w:val="0"/>
      <w:spacing w:line="360" w:lineRule="auto"/>
      <w:ind w:firstLine="200" w:firstLineChars="200"/>
      <w:jc w:val="both"/>
    </w:pPr>
    <w:rPr>
      <w:rFonts w:ascii="Times New Roman" w:hAnsi="Times New Roman" w:eastAsia="楷体_GB2312" w:cs="Times New Roman"/>
      <w:kern w:val="2"/>
      <w:sz w:val="32"/>
      <w:szCs w:val="32"/>
      <w:lang w:val="en-US" w:eastAsia="zh-CN" w:bidi="ar-SA"/>
    </w:rPr>
  </w:style>
  <w:style w:type="paragraph" w:styleId="5">
    <w:name w:val="Title"/>
    <w:basedOn w:val="1"/>
    <w:qFormat/>
    <w:uiPriority w:val="0"/>
    <w:pPr>
      <w:spacing w:before="240" w:after="60"/>
      <w:jc w:val="center"/>
      <w:outlineLvl w:val="0"/>
    </w:pPr>
    <w:rPr>
      <w:rFonts w:ascii="Arial" w:hAnsi="Arial"/>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1397</Words>
  <Characters>1519</Characters>
  <Lines>0</Lines>
  <Paragraphs>0</Paragraphs>
  <TotalTime>0</TotalTime>
  <ScaleCrop>false</ScaleCrop>
  <LinksUpToDate>false</LinksUpToDate>
  <CharactersWithSpaces>1542</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2025-09-09T01:14:48Z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F5112F2958F74CB7B8A5E3D84BB9877C_12</vt:lpwstr>
  </property>
  <property fmtid="{D5CDD505-2E9C-101B-9397-08002B2CF9AE}" pid="4" name="KSOTemplateDocerSaveRecord">
    <vt:lpwstr>eyJoZGlkIjoiY2QzMzI3N2YxOWExNWU4YWZjM2JlZmFjMWI5YmU2OTkiLCJ1c2VySWQiOiI0ODM3ODM2MjkifQ==</vt:lpwstr>
  </property>
</Properties>
</file>