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通州区禁限采区地下水管控及地下水应急储备利用方案研究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38.5922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38.5922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3"/>
              <w:tblW w:w="892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0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</w:rPr>
                    <w:t>38.5922</w:t>
                  </w:r>
                </w:p>
              </w:tc>
            </w:tr>
          </w:tbl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3"/>
              <w:tblW w:w="892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0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</w:rPr>
                    <w:t>38.5922</w:t>
                  </w:r>
                </w:p>
              </w:tc>
            </w:tr>
          </w:tbl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tbl>
            <w:tblPr>
              <w:tblStyle w:val="3"/>
              <w:tblW w:w="892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0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</w:rPr>
                    <w:t>38.5922</w:t>
                  </w:r>
                </w:p>
              </w:tc>
            </w:tr>
          </w:tbl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完成通州区禁限采区地下水管控方案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更新通州区禁限区、严重超采区机井台账及点位分布图，完成禁采区、严重超采区机井处置方案和限采区地下水管控方案。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成果报告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1件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指标1：项目评审合格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通过专家验收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通过专家验收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指标1：项目完成日期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2024年12月底前完成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2024年12月底前完成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受长序列降雨及现场调研情况复杂多变等因素影响，造成工期紧张，应加强各阶段关键时节节点控制。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指标1：预算控制总额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color w:val="auto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38.5922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Arial" w:hAnsi="Arial" w:cs="Arial"/>
                <w:color w:val="auto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38.5922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社会效益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落实禁、限采区地下水管控。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落实禁、限采区地下水管控。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其他效益性体现不足，缺少量化指标。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指标1：区水务局满意度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D05657F"/>
    <w:rsid w:val="243D3706"/>
    <w:rsid w:val="3F40251D"/>
    <w:rsid w:val="50444FAB"/>
    <w:rsid w:val="5D78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1277</Words>
  <Characters>1450</Characters>
  <Lines>0</Lines>
  <Paragraphs>0</Paragraphs>
  <TotalTime>45</TotalTime>
  <ScaleCrop>false</ScaleCrop>
  <LinksUpToDate>false</LinksUpToDate>
  <CharactersWithSpaces>1476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2025-09-08T09:08:55Z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eyJoZGlkIjoiNzY5NWQyY2MwODNlYzQ1ZDlkM2Y1M2JlOGVlOWFiODQifQ==</vt:lpwstr>
  </property>
  <property fmtid="{D5CDD505-2E9C-101B-9397-08002B2CF9AE}" pid="4" name="ICV">
    <vt:lpwstr>FC828A8718B847298311979155381760_13</vt:lpwstr>
  </property>
</Properties>
</file>