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黑体" w:eastAsia="黑体"/>
          <w:sz w:val="32"/>
          <w:szCs w:val="32"/>
        </w:rPr>
      </w:pPr>
      <w:r>
        <w:rPr>
          <w:rFonts w:hint="eastAsia" w:ascii="黑体" w:eastAsia="黑体"/>
          <w:sz w:val="32"/>
          <w:szCs w:val="32"/>
        </w:rPr>
        <w:t xml:space="preserve">第四部分  </w:t>
      </w:r>
      <w:r>
        <w:rPr>
          <w:rFonts w:hint="eastAsia" w:ascii="黑体" w:eastAsia="黑体"/>
          <w:sz w:val="32"/>
          <w:szCs w:val="32"/>
          <w:lang w:eastAsia="zh-CN"/>
        </w:rPr>
        <w:t>202</w:t>
      </w:r>
      <w:r>
        <w:rPr>
          <w:rFonts w:hint="default" w:ascii="黑体" w:eastAsia="黑体"/>
          <w:sz w:val="32"/>
          <w:szCs w:val="32"/>
          <w:lang w:val="en" w:eastAsia="zh-CN"/>
        </w:rPr>
        <w:t>4</w:t>
      </w:r>
      <w:r>
        <w:rPr>
          <w:rFonts w:hint="eastAsia" w:ascii="黑体" w:eastAsia="黑体"/>
          <w:sz w:val="32"/>
          <w:szCs w:val="32"/>
          <w:lang w:eastAsia="zh-CN"/>
        </w:rPr>
        <w:t>年度</w:t>
      </w:r>
      <w:r>
        <w:rPr>
          <w:rFonts w:hint="eastAsia" w:ascii="黑体" w:eastAsia="黑体"/>
          <w:sz w:val="32"/>
          <w:szCs w:val="32"/>
        </w:rPr>
        <w:t>部门绩效评价情况</w:t>
      </w:r>
    </w:p>
    <w:p>
      <w:pPr>
        <w:ind w:firstLine="560" w:firstLineChars="200"/>
        <w:rPr>
          <w:rFonts w:hint="eastAsia" w:ascii="黑体" w:eastAsia="黑体"/>
          <w:sz w:val="28"/>
          <w:szCs w:val="28"/>
          <w:highlight w:val="yellow"/>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eastAsia="黑体"/>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黑体" w:eastAsia="黑体"/>
          <w:sz w:val="28"/>
          <w:szCs w:val="28"/>
          <w:highlight w:val="none"/>
        </w:rPr>
      </w:pPr>
      <w:r>
        <w:rPr>
          <w:rFonts w:hint="eastAsia" w:ascii="黑体" w:eastAsia="黑体"/>
          <w:sz w:val="28"/>
          <w:szCs w:val="28"/>
          <w:highlight w:val="none"/>
          <w:lang w:eastAsia="zh-CN"/>
        </w:rPr>
        <w:t>三</w:t>
      </w:r>
      <w:r>
        <w:rPr>
          <w:rFonts w:ascii="黑体" w:eastAsia="黑体"/>
          <w:sz w:val="28"/>
          <w:szCs w:val="28"/>
          <w:highlight w:val="none"/>
        </w:rPr>
        <w:t>、</w:t>
      </w:r>
      <w:r>
        <w:rPr>
          <w:rFonts w:hint="eastAsia" w:ascii="黑体" w:eastAsia="黑体"/>
          <w:sz w:val="28"/>
          <w:szCs w:val="28"/>
          <w:highlight w:val="none"/>
        </w:rPr>
        <w:t>项目</w:t>
      </w:r>
      <w:r>
        <w:rPr>
          <w:rFonts w:ascii="黑体" w:eastAsia="黑体"/>
          <w:sz w:val="28"/>
          <w:szCs w:val="28"/>
          <w:highlight w:val="none"/>
        </w:rPr>
        <w:t>支出绩效自评表</w:t>
      </w:r>
    </w:p>
    <w:tbl>
      <w:tblPr>
        <w:tblStyle w:val="10"/>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5"/>
        <w:gridCol w:w="945"/>
        <w:gridCol w:w="1515"/>
        <w:gridCol w:w="1290"/>
        <w:gridCol w:w="1290"/>
        <w:gridCol w:w="1290"/>
        <w:gridCol w:w="1290"/>
        <w:gridCol w:w="1290"/>
        <w:gridCol w:w="390"/>
        <w:gridCol w:w="390"/>
        <w:gridCol w:w="390"/>
        <w:gridCol w:w="390"/>
        <w:gridCol w:w="129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 xml:space="preserve">  （ 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项目名称</w:t>
            </w:r>
          </w:p>
        </w:tc>
        <w:tc>
          <w:tcPr>
            <w:tcW w:w="12105" w:type="dxa"/>
            <w:gridSpan w:val="1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2024年北京市通州区计量检测所电动汽车充电桩检定装置经费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主管部门</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北京市通州区市场监督管理局</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北京市通州区计量检测所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项目资金</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（万元）</w:t>
            </w: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执行率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年度资金总额</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64</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64</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64</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64</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64</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64</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随着我国新能源汽车数量的迅猛增长，通州区电动汽车数量逐年增加，电动车充电桩被广泛安装。市场监管总局发布了《实施强制管理的计量器具目录的公告》将用于贸易结算计量器具，列入国家强检目录。按照《中华人民共和国计量法》的要求进行法定检定，依法设置的法定计量检定机构，建立了包括长度、温度、电磁、无线电、时间频率了、声学等社会公用计量标准；为计量器具强制检定、委托计量分析、计量技术咨询、计量技术服务、计量技术开发、社会公正计量服务、计量人员技术培训等相关工作。为通州区的企业有序生产提供了计量检定保证，更大的保障企业产品质量的合格率，更好的服务于客户。</w:t>
            </w:r>
          </w:p>
        </w:tc>
        <w:tc>
          <w:tcPr>
            <w:tcW w:w="5430"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随着我国新能源汽车数量的迅猛增长，通州区电动汽车数量逐年增加，电动车充电桩被广泛安装。市场监管总局发布了《实施强制管理的计量器具目录的公告》将用于贸易结算计量器具，列入国家强检目录。按照《中华人民共和国计量法》的要求进行法定检定，依法设置的法定计量检定机构，建立了包括长度、温度、电磁、无线电、时间频率了、声学等社会公用计量标准；为计量器具强制检定、委托计量分析、计量技术咨询、计量技术服务、计量技术开发、社会公正计量服务、计量人员技术培训等相关工作。为通州区的企业有序生产提供了计量检定保证，更大的保障企业产品质量的合格率，更好的服务于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绩效指标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二级指标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三级指标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年度指标值</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数量指标</w:t>
            </w:r>
          </w:p>
        </w:tc>
        <w:tc>
          <w:tcPr>
            <w:tcW w:w="3870" w:type="dxa"/>
            <w:gridSpan w:val="3"/>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采购电动充电桩检定装置</w:t>
            </w:r>
          </w:p>
        </w:tc>
        <w:tc>
          <w:tcPr>
            <w:tcW w:w="12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购买两台电动充电桩检定装置</w:t>
            </w:r>
          </w:p>
        </w:tc>
        <w:tc>
          <w:tcPr>
            <w:tcW w:w="12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2台套</w:t>
            </w:r>
          </w:p>
        </w:tc>
        <w:tc>
          <w:tcPr>
            <w:tcW w:w="78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40</w:t>
            </w:r>
          </w:p>
        </w:tc>
        <w:tc>
          <w:tcPr>
            <w:tcW w:w="78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时效指标</w:t>
            </w:r>
          </w:p>
        </w:tc>
        <w:tc>
          <w:tcPr>
            <w:tcW w:w="3870" w:type="dxa"/>
            <w:gridSpan w:val="3"/>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2024年10月以前完成采购并验收</w:t>
            </w:r>
          </w:p>
        </w:tc>
        <w:tc>
          <w:tcPr>
            <w:tcW w:w="12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2024年10月31日前完成</w:t>
            </w:r>
          </w:p>
        </w:tc>
        <w:tc>
          <w:tcPr>
            <w:tcW w:w="12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78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78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质量指标</w:t>
            </w:r>
          </w:p>
        </w:tc>
        <w:tc>
          <w:tcPr>
            <w:tcW w:w="3870" w:type="dxa"/>
            <w:gridSpan w:val="3"/>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设备验收通过率</w:t>
            </w:r>
          </w:p>
        </w:tc>
        <w:tc>
          <w:tcPr>
            <w:tcW w:w="12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按计划全部执行</w:t>
            </w:r>
          </w:p>
        </w:tc>
        <w:tc>
          <w:tcPr>
            <w:tcW w:w="12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78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78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成本指标</w:t>
            </w:r>
          </w:p>
        </w:tc>
        <w:tc>
          <w:tcPr>
            <w:tcW w:w="3870" w:type="dxa"/>
            <w:gridSpan w:val="3"/>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项目预算控制数64万元</w:t>
            </w:r>
          </w:p>
        </w:tc>
        <w:tc>
          <w:tcPr>
            <w:tcW w:w="12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64万元</w:t>
            </w:r>
          </w:p>
        </w:tc>
        <w:tc>
          <w:tcPr>
            <w:tcW w:w="12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按计划全部执行</w:t>
            </w:r>
          </w:p>
        </w:tc>
        <w:tc>
          <w:tcPr>
            <w:tcW w:w="78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78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效益指标</w:t>
            </w:r>
          </w:p>
        </w:tc>
        <w:tc>
          <w:tcPr>
            <w:tcW w:w="151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社会效益指标</w:t>
            </w:r>
          </w:p>
        </w:tc>
        <w:tc>
          <w:tcPr>
            <w:tcW w:w="3870" w:type="dxa"/>
            <w:gridSpan w:val="3"/>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电动充电桩检定装置完成建标后预计按月完成数量约150台</w:t>
            </w:r>
          </w:p>
        </w:tc>
        <w:tc>
          <w:tcPr>
            <w:tcW w:w="12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电动充电桩检定装置完成建标后预计按月完成数量约150台</w:t>
            </w:r>
          </w:p>
        </w:tc>
        <w:tc>
          <w:tcPr>
            <w:tcW w:w="12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已完成计量标准的建标工作，等待授权</w:t>
            </w:r>
          </w:p>
        </w:tc>
        <w:tc>
          <w:tcPr>
            <w:tcW w:w="78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78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满意度指标</w:t>
            </w:r>
          </w:p>
        </w:tc>
        <w:tc>
          <w:tcPr>
            <w:tcW w:w="1515" w:type="dxa"/>
            <w:tcBorders>
              <w:top w:val="single" w:color="000000" w:sz="4" w:space="0"/>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服务对象满意度标</w:t>
            </w:r>
          </w:p>
        </w:tc>
        <w:tc>
          <w:tcPr>
            <w:tcW w:w="3870" w:type="dxa"/>
            <w:gridSpan w:val="3"/>
            <w:tcBorders>
              <w:top w:val="single" w:color="000000" w:sz="4" w:space="0"/>
              <w:left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我所按照《中华人民共和国计量法》的要求进行法定检定，通过对企业在用计量器具的周期检定，为通州区的企业有序生产，提供计量检定保证，更大的保障企业产品质量的合格率越来越优，更好的服务于客户。检定机构检定完成后10个工作日内完成检定证书的出具，使用户满意度达95%以上</w:t>
            </w:r>
          </w:p>
        </w:tc>
        <w:tc>
          <w:tcPr>
            <w:tcW w:w="1290" w:type="dxa"/>
            <w:tcBorders>
              <w:top w:val="single" w:color="000000" w:sz="4" w:space="0"/>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我所按照《中华人民共和国计量法》的要求进行法定检定，通过对企业在用计量器具的周期检定，为通州区的企业有序生产，提供计量检定保证，更大的保障企业产品质量的合格率越来越优，更好的服务于客户。检定机构检定完成后10个工作日内完成检定证书的出具，使用户满意度达95%以上</w:t>
            </w:r>
          </w:p>
        </w:tc>
        <w:tc>
          <w:tcPr>
            <w:tcW w:w="129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服务对象满意度进一步提升</w:t>
            </w:r>
          </w:p>
        </w:tc>
        <w:tc>
          <w:tcPr>
            <w:tcW w:w="780"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780"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总分</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bl>
    <w:p>
      <w:pPr>
        <w:pStyle w:val="3"/>
      </w:pPr>
    </w:p>
    <w:p>
      <w:pPr>
        <w:spacing w:line="480" w:lineRule="exact"/>
        <w:jc w:val="both"/>
        <w:rPr>
          <w:rFonts w:hint="eastAsia" w:ascii="黑体" w:eastAsia="黑体"/>
          <w:sz w:val="32"/>
          <w:szCs w:val="32"/>
          <w:highlight w:val="none"/>
        </w:rPr>
      </w:pPr>
      <w:r>
        <w:rPr>
          <w:rFonts w:hint="eastAsia" w:ascii="黑体" w:eastAsia="黑体"/>
          <w:sz w:val="28"/>
          <w:szCs w:val="28"/>
          <w:highlight w:val="none"/>
          <w:lang w:val="en-US" w:eastAsia="zh-CN"/>
        </w:rPr>
        <w:t xml:space="preserve"> （注：1.一级预算部门“一、二、三”均公开；二级预算单位仅公开“三”。2.各一级预算部门和二级预算单位应对上年所有填报预算绩效目标的财政支出项目开展绩效自评工作，绩效自评公开数量调整为原则上按照不低于项目总数60%的比例向社会公开，具体公开项目由各部门及单位自行决定。）</w:t>
      </w:r>
    </w:p>
    <w:p/>
    <w:p/>
    <w:p/>
    <w:p/>
    <w:tbl>
      <w:tblPr>
        <w:tblStyle w:val="10"/>
        <w:tblpPr w:leftFromText="180" w:rightFromText="180" w:vertAnchor="text" w:horzAnchor="page" w:tblpX="1219" w:tblpY="1127"/>
        <w:tblOverlap w:val="never"/>
        <w:tblW w:w="14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5"/>
        <w:gridCol w:w="1107"/>
        <w:gridCol w:w="1546"/>
        <w:gridCol w:w="1227"/>
        <w:gridCol w:w="1290"/>
        <w:gridCol w:w="391"/>
        <w:gridCol w:w="2354"/>
        <w:gridCol w:w="1515"/>
        <w:gridCol w:w="781"/>
        <w:gridCol w:w="312"/>
        <w:gridCol w:w="369"/>
        <w:gridCol w:w="773"/>
        <w:gridCol w:w="225"/>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 xml:space="preserve">  （ 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项目名称</w:t>
            </w:r>
          </w:p>
        </w:tc>
        <w:tc>
          <w:tcPr>
            <w:tcW w:w="12073" w:type="dxa"/>
            <w:gridSpan w:val="1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202</w:t>
            </w:r>
            <w:r>
              <w:rPr>
                <w:rFonts w:hint="eastAsia" w:ascii="仿宋_GB2312" w:hAnsi="宋体" w:eastAsia="仿宋_GB2312" w:cs="仿宋_GB2312"/>
                <w:i w:val="0"/>
                <w:color w:val="000000"/>
                <w:sz w:val="21"/>
                <w:szCs w:val="21"/>
                <w:u w:val="none"/>
                <w:lang w:val="en-US" w:eastAsia="zh-CN"/>
              </w:rPr>
              <w:t>4</w:t>
            </w:r>
            <w:r>
              <w:rPr>
                <w:rFonts w:hint="eastAsia" w:ascii="仿宋_GB2312" w:hAnsi="宋体" w:eastAsia="仿宋_GB2312" w:cs="仿宋_GB2312"/>
                <w:i w:val="0"/>
                <w:color w:val="000000"/>
                <w:sz w:val="21"/>
                <w:szCs w:val="21"/>
                <w:u w:val="none"/>
              </w:rPr>
              <w:t>年北京市通州区计量检测所大衡检定经费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主管部门</w:t>
            </w:r>
          </w:p>
        </w:tc>
        <w:tc>
          <w:tcPr>
            <w:tcW w:w="6808"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北京市通州区市场监督管理局</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实施单位</w:t>
            </w:r>
          </w:p>
        </w:tc>
        <w:tc>
          <w:tcPr>
            <w:tcW w:w="3750"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北京市通州区计量检测所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项目负责人</w:t>
            </w:r>
          </w:p>
        </w:tc>
        <w:tc>
          <w:tcPr>
            <w:tcW w:w="6808"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联系电话</w:t>
            </w:r>
          </w:p>
        </w:tc>
        <w:tc>
          <w:tcPr>
            <w:tcW w:w="3750"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3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项目资金</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（万元）</w:t>
            </w:r>
          </w:p>
        </w:tc>
        <w:tc>
          <w:tcPr>
            <w:tcW w:w="277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年初预算数</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全年预算数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全年执行数</w:t>
            </w:r>
          </w:p>
        </w:tc>
        <w:tc>
          <w:tcPr>
            <w:tcW w:w="10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13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执行率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7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年度资金总额</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iCs w:val="0"/>
                <w:snapToGrid w:val="0"/>
                <w:color w:val="000000"/>
                <w:kern w:val="0"/>
                <w:sz w:val="21"/>
                <w:szCs w:val="21"/>
                <w:u w:val="none"/>
                <w:lang w:val="en-US" w:eastAsia="zh-CN" w:bidi="ar"/>
              </w:rPr>
              <w:t>18.76</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18.76</w:t>
            </w:r>
          </w:p>
        </w:tc>
        <w:tc>
          <w:tcPr>
            <w:tcW w:w="10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36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7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18.76</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iCs w:val="0"/>
                <w:snapToGrid w:val="0"/>
                <w:color w:val="000000"/>
                <w:kern w:val="0"/>
                <w:sz w:val="21"/>
                <w:szCs w:val="21"/>
                <w:u w:val="none"/>
                <w:lang w:val="en-US" w:eastAsia="zh-CN" w:bidi="ar"/>
              </w:rPr>
              <w:t>18.76</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iCs w:val="0"/>
                <w:snapToGrid w:val="0"/>
                <w:color w:val="000000"/>
                <w:kern w:val="0"/>
                <w:sz w:val="21"/>
                <w:szCs w:val="21"/>
                <w:u w:val="none"/>
                <w:lang w:val="en-US" w:eastAsia="zh-CN" w:bidi="ar"/>
              </w:rPr>
              <w:t>18.76</w:t>
            </w:r>
          </w:p>
        </w:tc>
        <w:tc>
          <w:tcPr>
            <w:tcW w:w="10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36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7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p>
        </w:tc>
        <w:tc>
          <w:tcPr>
            <w:tcW w:w="10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36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lang w:val="en-US" w:eastAsia="zh-CN"/>
              </w:rPr>
              <w:t>100%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4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7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0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36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3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年度总体目标</w:t>
            </w:r>
          </w:p>
        </w:tc>
        <w:tc>
          <w:tcPr>
            <w:tcW w:w="791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预期目标</w:t>
            </w:r>
          </w:p>
        </w:tc>
        <w:tc>
          <w:tcPr>
            <w:tcW w:w="526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3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915"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5265"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3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绩效指标</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一级指标</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二级指标</w:t>
            </w:r>
          </w:p>
        </w:tc>
        <w:tc>
          <w:tcPr>
            <w:tcW w:w="290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三级指标</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年度指标值</w:t>
            </w:r>
          </w:p>
        </w:tc>
        <w:tc>
          <w:tcPr>
            <w:tcW w:w="22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实际完成值</w:t>
            </w:r>
          </w:p>
        </w:tc>
        <w:tc>
          <w:tcPr>
            <w:tcW w:w="6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3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1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产出指标</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snapToGrid w:val="0"/>
                <w:color w:val="000000"/>
                <w:kern w:val="0"/>
                <w:sz w:val="21"/>
                <w:szCs w:val="21"/>
                <w:u w:val="none"/>
                <w:lang w:val="en-US" w:eastAsia="zh-CN" w:bidi="ar"/>
              </w:rPr>
              <w:t>数量指标</w:t>
            </w:r>
          </w:p>
        </w:tc>
        <w:tc>
          <w:tcPr>
            <w:tcW w:w="2908"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一共有65台汽车衡，每台汽车衡的平均运距约为22.92km，每台汽车衡在检测时平均需拉砝码量为55t</w:t>
            </w:r>
          </w:p>
        </w:tc>
        <w:tc>
          <w:tcPr>
            <w:tcW w:w="235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预计2024年度计量汽车衡数量为65台件。</w:t>
            </w:r>
          </w:p>
        </w:tc>
        <w:tc>
          <w:tcPr>
            <w:tcW w:w="2296"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2024年度共完成计量汽车衡数量为75台件。</w:t>
            </w:r>
          </w:p>
        </w:tc>
        <w:tc>
          <w:tcPr>
            <w:tcW w:w="681"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40</w:t>
            </w:r>
          </w:p>
        </w:tc>
        <w:tc>
          <w:tcPr>
            <w:tcW w:w="7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40</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3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snapToGrid w:val="0"/>
                <w:color w:val="000000"/>
                <w:kern w:val="0"/>
                <w:sz w:val="21"/>
                <w:szCs w:val="21"/>
                <w:u w:val="none"/>
                <w:lang w:val="en-US" w:eastAsia="zh-CN" w:bidi="ar"/>
              </w:rPr>
              <w:t>数量指标</w:t>
            </w:r>
          </w:p>
        </w:tc>
        <w:tc>
          <w:tcPr>
            <w:tcW w:w="2908"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一共有65台汽车衡，每台汽车衡的平均运距约为22.92km，每台汽车衡在检测时平均需拉砝码量为55t</w:t>
            </w:r>
          </w:p>
        </w:tc>
        <w:tc>
          <w:tcPr>
            <w:tcW w:w="235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预计2024年度计量汽车衡数量为65台件，每台汽车衡的平均运距约为22.92km，需要总公里数约为1489.8公里</w:t>
            </w:r>
          </w:p>
        </w:tc>
        <w:tc>
          <w:tcPr>
            <w:tcW w:w="2296"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2024年度共完成计量汽车衡数量为75台件。完成总公里数约为1719公里。</w:t>
            </w:r>
          </w:p>
        </w:tc>
        <w:tc>
          <w:tcPr>
            <w:tcW w:w="681"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7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default" w:ascii="仿宋_GB2312" w:hAnsi="宋体" w:eastAsia="仿宋_GB2312" w:cs="仿宋_GB2312"/>
                <w:i w:val="0"/>
                <w:iCs w:val="0"/>
                <w:color w:val="000000"/>
                <w:kern w:val="0"/>
                <w:sz w:val="21"/>
                <w:szCs w:val="21"/>
                <w:u w:val="none"/>
                <w:lang w:val="en-US" w:eastAsia="zh-CN" w:bidi="ar"/>
              </w:rPr>
              <w:t>10</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3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snapToGrid w:val="0"/>
                <w:color w:val="000000"/>
                <w:kern w:val="0"/>
                <w:sz w:val="21"/>
                <w:szCs w:val="21"/>
                <w:u w:val="none"/>
                <w:lang w:val="en-US" w:eastAsia="zh-CN" w:bidi="ar"/>
              </w:rPr>
              <w:t>时效指标</w:t>
            </w:r>
          </w:p>
        </w:tc>
        <w:tc>
          <w:tcPr>
            <w:tcW w:w="2908"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按计量法和各类规程的各类计量器具检定周期由用户提出检定申请，检定机构检定完成后10个工作日内完成检定证书的出具.</w:t>
            </w:r>
          </w:p>
        </w:tc>
        <w:tc>
          <w:tcPr>
            <w:tcW w:w="235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2024年12月31日前完成</w:t>
            </w:r>
          </w:p>
        </w:tc>
        <w:tc>
          <w:tcPr>
            <w:tcW w:w="2296"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681"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77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3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4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snapToGrid w:val="0"/>
                <w:color w:val="000000"/>
                <w:kern w:val="0"/>
                <w:sz w:val="21"/>
                <w:szCs w:val="21"/>
                <w:u w:val="none"/>
                <w:lang w:val="en-US" w:eastAsia="zh-CN" w:bidi="ar"/>
              </w:rPr>
              <w:t>成本指标</w:t>
            </w:r>
          </w:p>
        </w:tc>
        <w:tc>
          <w:tcPr>
            <w:tcW w:w="290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项目预算控制数18.76万元</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18.76万元</w:t>
            </w: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按计划全部执行</w:t>
            </w:r>
          </w:p>
        </w:tc>
        <w:tc>
          <w:tcPr>
            <w:tcW w:w="6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w:t>
            </w:r>
          </w:p>
        </w:tc>
        <w:tc>
          <w:tcPr>
            <w:tcW w:w="1515"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3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效益指标</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经济效益指标</w:t>
            </w:r>
          </w:p>
        </w:tc>
        <w:tc>
          <w:tcPr>
            <w:tcW w:w="2908" w:type="dxa"/>
            <w:gridSpan w:val="3"/>
            <w:tcBorders>
              <w:top w:val="single" w:color="auto"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通州区计量所按照《中华人民共和国计量法》的规定检定，国家有计划发展计量事业，用现代计量技术装备各级计量检定机构，为工农业生产、国防建设、科学实验、国内外贸易以及人民健康、安全提供计量保证，维护国家和人民的利益。</w:t>
            </w:r>
          </w:p>
        </w:tc>
        <w:tc>
          <w:tcPr>
            <w:tcW w:w="2354" w:type="dxa"/>
            <w:tcBorders>
              <w:top w:val="single" w:color="auto"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通州区计量所按照《中华人民共和国计量法》的规定检定，国家有计划发展计量事业，用现代计量技术装备各级计量检定机构，为工农业生产、国防建设、科学实验、国内外贸易以及人民健康、安全提供计量保证，维护国家和人民的利益。</w:t>
            </w:r>
          </w:p>
        </w:tc>
        <w:tc>
          <w:tcPr>
            <w:tcW w:w="2296" w:type="dxa"/>
            <w:gridSpan w:val="2"/>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达到目标</w:t>
            </w:r>
          </w:p>
        </w:tc>
        <w:tc>
          <w:tcPr>
            <w:tcW w:w="681" w:type="dxa"/>
            <w:gridSpan w:val="2"/>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773" w:type="dxa"/>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3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满意度指标</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服务对象满意度标</w:t>
            </w:r>
          </w:p>
        </w:tc>
        <w:tc>
          <w:tcPr>
            <w:tcW w:w="290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我所按照《中华人民共和国计量法》的要求进行法定检定，通过对企业在用计量器具的周期检定，为通州区的企业有序生产，提供计量检定保证，更大的保障企业产品质量的合格率越来越优，更好的服务于客户。其次，按计量法和各类规程的各类计量器具检定周期由用户提出检定申请，检定机构检定完成后10个工作日内完成检定证书的出具，使用户满意度达85%以上</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我所按照《中华人民共和国计量法》的要求进行法定检定，通过对企业在用计量器具的周期检定，为通州区的企业有序生产，提供计量检定保证，更大的保障企业产品质量的合格率越来越优，更好的服务于客户。其次，按计量法和各类规程的各类计量器具检定周期由用户提出检定申请，检定机构检定完成后10个工作日内完成检定证书的出具，使用户满意度达85%以上</w:t>
            </w:r>
          </w:p>
        </w:tc>
        <w:tc>
          <w:tcPr>
            <w:tcW w:w="22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服务对象满意度进一步提升</w:t>
            </w:r>
          </w:p>
        </w:tc>
        <w:tc>
          <w:tcPr>
            <w:tcW w:w="6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153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总分</w:t>
            </w:r>
          </w:p>
        </w:tc>
        <w:tc>
          <w:tcPr>
            <w:tcW w:w="6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100</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92</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bl>
    <w:p/>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50E015C"/>
    <w:rsid w:val="06E71690"/>
    <w:rsid w:val="079004AC"/>
    <w:rsid w:val="0A8A693C"/>
    <w:rsid w:val="0BA148CA"/>
    <w:rsid w:val="0C1165C4"/>
    <w:rsid w:val="0D6D544B"/>
    <w:rsid w:val="0DD136FE"/>
    <w:rsid w:val="0E075CEB"/>
    <w:rsid w:val="0F8E2C57"/>
    <w:rsid w:val="1059665E"/>
    <w:rsid w:val="10AC13BA"/>
    <w:rsid w:val="145A6C1B"/>
    <w:rsid w:val="146B6E96"/>
    <w:rsid w:val="14B73493"/>
    <w:rsid w:val="159F6641"/>
    <w:rsid w:val="167A2FF9"/>
    <w:rsid w:val="18581C69"/>
    <w:rsid w:val="1AEC0734"/>
    <w:rsid w:val="1DEF20B0"/>
    <w:rsid w:val="1E010137"/>
    <w:rsid w:val="207208C1"/>
    <w:rsid w:val="214243FA"/>
    <w:rsid w:val="21AD613C"/>
    <w:rsid w:val="22467189"/>
    <w:rsid w:val="23F21382"/>
    <w:rsid w:val="257A14F5"/>
    <w:rsid w:val="27196C26"/>
    <w:rsid w:val="27844C98"/>
    <w:rsid w:val="29EF086F"/>
    <w:rsid w:val="2EFFE297"/>
    <w:rsid w:val="301437CA"/>
    <w:rsid w:val="336E5173"/>
    <w:rsid w:val="349D1F0A"/>
    <w:rsid w:val="34DD0473"/>
    <w:rsid w:val="3C684897"/>
    <w:rsid w:val="3F170A05"/>
    <w:rsid w:val="433E495C"/>
    <w:rsid w:val="489F2FD7"/>
    <w:rsid w:val="4AC27CB3"/>
    <w:rsid w:val="4BF72BEF"/>
    <w:rsid w:val="4FA90297"/>
    <w:rsid w:val="4FC41A43"/>
    <w:rsid w:val="51DB3C59"/>
    <w:rsid w:val="550C0952"/>
    <w:rsid w:val="55762E42"/>
    <w:rsid w:val="55AE4859"/>
    <w:rsid w:val="57A7B272"/>
    <w:rsid w:val="582B03E3"/>
    <w:rsid w:val="58470068"/>
    <w:rsid w:val="58747CAC"/>
    <w:rsid w:val="5A1720F9"/>
    <w:rsid w:val="5B9C37C2"/>
    <w:rsid w:val="5BA7C654"/>
    <w:rsid w:val="60A54109"/>
    <w:rsid w:val="610619ED"/>
    <w:rsid w:val="61D01CDF"/>
    <w:rsid w:val="62A0552A"/>
    <w:rsid w:val="63EB4ECB"/>
    <w:rsid w:val="64C0607C"/>
    <w:rsid w:val="65756C86"/>
    <w:rsid w:val="66B21CD0"/>
    <w:rsid w:val="674D385B"/>
    <w:rsid w:val="676F09E1"/>
    <w:rsid w:val="6AD4585A"/>
    <w:rsid w:val="6BF0394F"/>
    <w:rsid w:val="6FFE7D34"/>
    <w:rsid w:val="7088334B"/>
    <w:rsid w:val="71793A80"/>
    <w:rsid w:val="7357290B"/>
    <w:rsid w:val="738D5656"/>
    <w:rsid w:val="76302190"/>
    <w:rsid w:val="778E7BEF"/>
    <w:rsid w:val="798524E4"/>
    <w:rsid w:val="7A7F1C49"/>
    <w:rsid w:val="7B5B7AE6"/>
    <w:rsid w:val="7B7B6628"/>
    <w:rsid w:val="7BA7071E"/>
    <w:rsid w:val="7BDF6DA8"/>
    <w:rsid w:val="7C7EDC1A"/>
    <w:rsid w:val="7CCED98D"/>
    <w:rsid w:val="7D08410F"/>
    <w:rsid w:val="7DB96DED"/>
    <w:rsid w:val="7DD3AD81"/>
    <w:rsid w:val="7EF457A4"/>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1397</Words>
  <Characters>1468</Characters>
  <Lines>44</Lines>
  <Paragraphs>12</Paragraphs>
  <TotalTime>1</TotalTime>
  <ScaleCrop>false</ScaleCrop>
  <LinksUpToDate>false</LinksUpToDate>
  <CharactersWithSpaces>1485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Administrator</cp:lastModifiedBy>
  <cp:lastPrinted>2020-08-07T11:39:00Z</cp:lastPrinted>
  <dcterms:modified xsi:type="dcterms:W3CDTF">2025-11-18T02:21:06Z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98B6FF2A1E9A4B8B9EB7DC3AB6F02EDA_13</vt:lpwstr>
  </property>
  <property fmtid="{D5CDD505-2E9C-101B-9397-08002B2CF9AE}" pid="4" name="KSOTemplateDocerSaveRecord">
    <vt:lpwstr>eyJoZGlkIjoiNjYxMmZkMGY4ZGNjNDE3OWRkOTdhODRmNjYxOWVmMTgiLCJ1c2VySWQiOiI0NDg1NTY4MDcifQ==</vt:lpwstr>
  </property>
</Properties>
</file>