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仿宋_GB2312" w:eastAsia="黑体"/>
          <w:color w:val="auto"/>
          <w:sz w:val="32"/>
          <w:szCs w:val="32"/>
          <w:lang w:val="en-US" w:eastAsia="zh-CN"/>
        </w:rPr>
      </w:pPr>
      <w:r>
        <w:rPr>
          <w:rFonts w:hint="eastAsia" w:ascii="黑体" w:hAnsi="黑体" w:eastAsia="黑体"/>
          <w:color w:val="auto"/>
          <w:sz w:val="32"/>
          <w:szCs w:val="32"/>
        </w:rPr>
        <w:t>附件1</w:t>
      </w:r>
      <w:r>
        <w:rPr>
          <w:rFonts w:hint="eastAsia" w:ascii="黑体" w:hAnsi="黑体" w:eastAsia="黑体"/>
          <w:color w:val="auto"/>
          <w:sz w:val="32"/>
          <w:szCs w:val="32"/>
          <w:lang w:val="en-US" w:eastAsia="zh-CN"/>
        </w:rPr>
        <w:t>-1</w:t>
      </w:r>
    </w:p>
    <w:tbl>
      <w:tblPr>
        <w:tblStyle w:val="9"/>
        <w:tblW w:w="8928" w:type="dxa"/>
        <w:jc w:val="center"/>
        <w:tblLayout w:type="fixed"/>
        <w:tblCellMar>
          <w:top w:w="0" w:type="dxa"/>
          <w:left w:w="108" w:type="dxa"/>
          <w:bottom w:w="0" w:type="dxa"/>
          <w:right w:w="108" w:type="dxa"/>
        </w:tblCellMar>
      </w:tblPr>
      <w:tblGrid>
        <w:gridCol w:w="578"/>
        <w:gridCol w:w="969"/>
        <w:gridCol w:w="1086"/>
        <w:gridCol w:w="718"/>
        <w:gridCol w:w="1114"/>
        <w:gridCol w:w="169"/>
        <w:gridCol w:w="938"/>
        <w:gridCol w:w="848"/>
        <w:gridCol w:w="202"/>
        <w:gridCol w:w="355"/>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noWrap w:val="0"/>
            <w:vAlign w:val="center"/>
          </w:tcPr>
          <w:p>
            <w:pPr>
              <w:widowControl/>
              <w:spacing w:line="500" w:lineRule="exact"/>
              <w:jc w:val="center"/>
              <w:rPr>
                <w:rFonts w:ascii="宋体" w:hAnsi="宋体" w:cs="宋体"/>
                <w:b/>
                <w:bCs/>
                <w:color w:val="auto"/>
                <w:kern w:val="0"/>
                <w:sz w:val="32"/>
                <w:szCs w:val="32"/>
              </w:rPr>
            </w:pPr>
            <w:r>
              <w:rPr>
                <w:rFonts w:hint="eastAsia" w:ascii="宋体" w:hAnsi="宋体" w:cs="宋体"/>
                <w:b/>
                <w:bCs/>
                <w:color w:val="auto"/>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noWrap w:val="0"/>
            <w:vAlign w:val="top"/>
          </w:tcPr>
          <w:p>
            <w:pPr>
              <w:widowControl/>
              <w:jc w:val="center"/>
              <w:rPr>
                <w:rFonts w:ascii="宋体" w:hAnsi="宋体" w:cs="宋体"/>
                <w:color w:val="auto"/>
                <w:kern w:val="0"/>
                <w:sz w:val="22"/>
              </w:rPr>
            </w:pPr>
            <w:r>
              <w:rPr>
                <w:rFonts w:hint="eastAsia" w:ascii="宋体" w:hAnsi="宋体" w:cs="宋体"/>
                <w:color w:val="auto"/>
                <w:kern w:val="0"/>
                <w:sz w:val="22"/>
              </w:rPr>
              <w:t xml:space="preserve">（ </w:t>
            </w:r>
            <w:r>
              <w:rPr>
                <w:rFonts w:hint="eastAsia" w:ascii="宋体" w:hAnsi="宋体" w:cs="宋体"/>
                <w:color w:val="auto"/>
                <w:kern w:val="0"/>
                <w:sz w:val="22"/>
                <w:lang w:val="en-US" w:eastAsia="zh-CN"/>
              </w:rPr>
              <w:t>2024</w:t>
            </w:r>
            <w:r>
              <w:rPr>
                <w:rFonts w:hint="eastAsia" w:ascii="宋体" w:hAnsi="宋体" w:cs="宋体"/>
                <w:color w:val="auto"/>
                <w:kern w:val="0"/>
                <w:sz w:val="22"/>
              </w:rPr>
              <w:t>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项目名称</w:t>
            </w:r>
          </w:p>
        </w:tc>
        <w:tc>
          <w:tcPr>
            <w:tcW w:w="7381"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val="en-US" w:eastAsia="zh-CN"/>
              </w:rPr>
              <w:t>通州区个人违规电动三四轮车工作经费</w:t>
            </w:r>
          </w:p>
        </w:tc>
      </w:tr>
      <w:tr>
        <w:tblPrEx>
          <w:tblCellMar>
            <w:top w:w="0" w:type="dxa"/>
            <w:left w:w="108" w:type="dxa"/>
            <w:bottom w:w="0" w:type="dxa"/>
            <w:right w:w="108" w:type="dxa"/>
          </w:tblCellMar>
        </w:tblPrEx>
        <w:trPr>
          <w:trHeight w:val="62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主管部门</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通州区九棵树街道办事处</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实施单位</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通州区九棵树街道办事处城市管理办公室</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项目</w:t>
            </w:r>
            <w:r>
              <w:rPr>
                <w:rFonts w:ascii="宋体" w:hAnsi="宋体" w:cs="宋体"/>
                <w:color w:val="auto"/>
                <w:kern w:val="0"/>
                <w:sz w:val="18"/>
                <w:szCs w:val="18"/>
              </w:rPr>
              <w:t>负责人</w:t>
            </w:r>
          </w:p>
        </w:tc>
        <w:tc>
          <w:tcPr>
            <w:tcW w:w="4025"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ascii="宋体" w:hAnsi="宋体" w:cs="宋体"/>
                <w:color w:val="auto"/>
                <w:kern w:val="0"/>
                <w:sz w:val="18"/>
                <w:szCs w:val="18"/>
              </w:rPr>
              <w:t>联系电话</w:t>
            </w:r>
          </w:p>
        </w:tc>
        <w:tc>
          <w:tcPr>
            <w:tcW w:w="2306"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560" w:lineRule="exact"/>
              <w:jc w:val="left"/>
              <w:rPr>
                <w:rFonts w:ascii="宋体" w:hAnsi="宋体" w:cs="宋体"/>
                <w:color w:val="auto"/>
                <w:kern w:val="0"/>
                <w:sz w:val="18"/>
                <w:szCs w:val="18"/>
              </w:rPr>
            </w:pPr>
            <w:r>
              <w:rPr>
                <w:rFonts w:hint="eastAsia" w:ascii="宋体" w:hAnsi="宋体" w:cs="宋体"/>
                <w:color w:val="auto"/>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年初</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预算数</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全年</w:t>
            </w:r>
            <w:r>
              <w:rPr>
                <w:rFonts w:hint="eastAsia" w:ascii="宋体" w:hAnsi="宋体" w:cs="宋体"/>
                <w:color w:val="auto"/>
                <w:kern w:val="0"/>
                <w:sz w:val="18"/>
                <w:szCs w:val="18"/>
                <w:lang w:val="en-US" w:eastAsia="zh-CN"/>
              </w:rPr>
              <w:t xml:space="preserve">     </w:t>
            </w:r>
            <w:r>
              <w:rPr>
                <w:rFonts w:hint="eastAsia" w:ascii="宋体" w:hAnsi="宋体" w:cs="宋体"/>
                <w:color w:val="auto"/>
                <w:kern w:val="0"/>
                <w:sz w:val="18"/>
                <w:szCs w:val="18"/>
              </w:rPr>
              <w:t>执行数</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执行率</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color w:val="auto"/>
                <w:kern w:val="0"/>
                <w:sz w:val="18"/>
                <w:szCs w:val="18"/>
              </w:rPr>
            </w:pPr>
            <w:r>
              <w:rPr>
                <w:rFonts w:hint="eastAsia" w:ascii="宋体" w:hAnsi="宋体" w:cs="宋体"/>
                <w:color w:val="auto"/>
                <w:kern w:val="0"/>
                <w:sz w:val="18"/>
                <w:szCs w:val="18"/>
              </w:rPr>
              <w:t>年度资金总额</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20.48</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20.48</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20.48</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其中：当年财政拨款</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20.48</w:t>
            </w: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20.48</w:t>
            </w: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20.48</w:t>
            </w: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上年结转资金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 xml:space="preserve">  其他资金</w:t>
            </w:r>
          </w:p>
        </w:tc>
        <w:tc>
          <w:tcPr>
            <w:tcW w:w="111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10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50"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771"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83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69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预期目标</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实际完成情况</w:t>
            </w:r>
          </w:p>
        </w:tc>
      </w:tr>
      <w:tr>
        <w:tblPrEx>
          <w:tblCellMar>
            <w:top w:w="0" w:type="dxa"/>
            <w:left w:w="108" w:type="dxa"/>
            <w:bottom w:w="0" w:type="dxa"/>
            <w:right w:w="108" w:type="dxa"/>
          </w:tblCellMar>
        </w:tblPrEx>
        <w:trPr>
          <w:trHeight w:val="2305" w:hRule="exact"/>
          <w:jc w:val="center"/>
        </w:trPr>
        <w:tc>
          <w:tcPr>
            <w:tcW w:w="57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4994"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ascii="宋体" w:hAnsi="宋体" w:cs="宋体"/>
                <w:color w:val="auto"/>
                <w:kern w:val="0"/>
                <w:sz w:val="18"/>
                <w:szCs w:val="18"/>
              </w:rPr>
            </w:pPr>
            <w:r>
              <w:rPr>
                <w:rFonts w:hint="eastAsia" w:ascii="宋体" w:hAnsi="宋体" w:cs="宋体"/>
                <w:color w:val="auto"/>
                <w:kern w:val="0"/>
                <w:sz w:val="18"/>
                <w:szCs w:val="18"/>
                <w:highlight w:val="none"/>
              </w:rPr>
              <w:t>根据北京市通州区关于在过渡期内开展违规电动三四轮车整治的相关工作要求，在2023年</w:t>
            </w:r>
            <w:r>
              <w:rPr>
                <w:rFonts w:hint="eastAsia" w:ascii="宋体" w:hAnsi="宋体" w:cs="宋体"/>
                <w:color w:val="auto"/>
                <w:kern w:val="0"/>
                <w:sz w:val="18"/>
                <w:szCs w:val="18"/>
                <w:highlight w:val="none"/>
                <w:lang w:eastAsia="zh-CN"/>
              </w:rPr>
              <w:t>年底攻坚阶段</w:t>
            </w:r>
            <w:r>
              <w:rPr>
                <w:rFonts w:hint="eastAsia" w:ascii="宋体" w:hAnsi="宋体" w:cs="宋体"/>
                <w:color w:val="auto"/>
                <w:kern w:val="0"/>
                <w:sz w:val="18"/>
                <w:szCs w:val="18"/>
                <w:highlight w:val="none"/>
              </w:rPr>
              <w:t>，经车兄弟平台淘汰处置的违规电动三四轮车，按照淘汰车辆每辆800元的标准</w:t>
            </w:r>
            <w:r>
              <w:rPr>
                <w:rFonts w:hint="eastAsia" w:ascii="宋体" w:hAnsi="宋体" w:cs="宋体"/>
                <w:color w:val="auto"/>
                <w:kern w:val="0"/>
                <w:sz w:val="18"/>
                <w:szCs w:val="18"/>
                <w:highlight w:val="none"/>
                <w:lang w:eastAsia="zh-CN"/>
              </w:rPr>
              <w:t>进行奖励</w:t>
            </w:r>
            <w:r>
              <w:rPr>
                <w:rFonts w:hint="eastAsia" w:ascii="宋体" w:hAnsi="宋体" w:cs="宋体"/>
                <w:color w:val="auto"/>
                <w:kern w:val="0"/>
                <w:sz w:val="18"/>
                <w:szCs w:val="18"/>
                <w:highlight w:val="none"/>
              </w:rPr>
              <w:t>，九棵树街道上报</w:t>
            </w:r>
            <w:r>
              <w:rPr>
                <w:rFonts w:hint="eastAsia" w:ascii="宋体" w:hAnsi="宋体" w:cs="宋体"/>
                <w:color w:val="auto"/>
                <w:kern w:val="0"/>
                <w:sz w:val="18"/>
                <w:szCs w:val="18"/>
                <w:highlight w:val="none"/>
                <w:lang w:eastAsia="zh-CN"/>
              </w:rPr>
              <w:t>在年底攻坚阶段</w:t>
            </w:r>
            <w:r>
              <w:rPr>
                <w:rFonts w:hint="eastAsia" w:ascii="宋体" w:hAnsi="宋体" w:cs="宋体"/>
                <w:color w:val="auto"/>
                <w:kern w:val="0"/>
                <w:sz w:val="18"/>
                <w:szCs w:val="18"/>
                <w:highlight w:val="none"/>
              </w:rPr>
              <w:t>经车兄弟平台淘汰车辆符合奖励标准的为</w:t>
            </w:r>
            <w:r>
              <w:rPr>
                <w:rFonts w:hint="eastAsia" w:ascii="宋体" w:hAnsi="宋体" w:cs="宋体"/>
                <w:color w:val="auto"/>
                <w:kern w:val="0"/>
                <w:sz w:val="18"/>
                <w:szCs w:val="18"/>
                <w:highlight w:val="none"/>
                <w:lang w:val="en-US" w:eastAsia="zh-CN"/>
              </w:rPr>
              <w:t>256</w:t>
            </w:r>
            <w:r>
              <w:rPr>
                <w:rFonts w:hint="eastAsia" w:ascii="宋体" w:hAnsi="宋体" w:cs="宋体"/>
                <w:color w:val="auto"/>
                <w:kern w:val="0"/>
                <w:sz w:val="18"/>
                <w:szCs w:val="18"/>
                <w:highlight w:val="none"/>
              </w:rPr>
              <w:t>辆。共计</w:t>
            </w:r>
            <w:r>
              <w:rPr>
                <w:rFonts w:hint="eastAsia" w:ascii="宋体" w:hAnsi="宋体" w:cs="宋体"/>
                <w:color w:val="auto"/>
                <w:kern w:val="0"/>
                <w:sz w:val="18"/>
                <w:szCs w:val="18"/>
                <w:highlight w:val="none"/>
                <w:lang w:val="en-US" w:eastAsia="zh-CN"/>
              </w:rPr>
              <w:t>204800</w:t>
            </w:r>
            <w:r>
              <w:rPr>
                <w:rFonts w:hint="eastAsia" w:ascii="宋体" w:hAnsi="宋体" w:cs="宋体"/>
                <w:color w:val="auto"/>
                <w:kern w:val="0"/>
                <w:sz w:val="18"/>
                <w:szCs w:val="18"/>
                <w:highlight w:val="none"/>
              </w:rPr>
              <w:t>元。</w:t>
            </w:r>
          </w:p>
        </w:tc>
        <w:tc>
          <w:tcPr>
            <w:tcW w:w="3356" w:type="dxa"/>
            <w:gridSpan w:val="7"/>
            <w:tcBorders>
              <w:top w:val="single" w:color="auto" w:sz="4" w:space="0"/>
              <w:left w:val="nil"/>
              <w:bottom w:val="single" w:color="auto" w:sz="4" w:space="0"/>
              <w:right w:val="single" w:color="auto" w:sz="4" w:space="0"/>
            </w:tcBorders>
            <w:noWrap w:val="0"/>
            <w:vAlign w:val="center"/>
          </w:tcPr>
          <w:p>
            <w:pPr>
              <w:widowControl/>
              <w:numPr>
                <w:ilvl w:val="0"/>
                <w:numId w:val="0"/>
              </w:numPr>
              <w:spacing w:line="240" w:lineRule="exact"/>
              <w:jc w:val="both"/>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eastAsia="zh-CN"/>
              </w:rPr>
              <w:t>经通州区违规电动三四轮车整治专班核实，九棵树街道上报攻坚阶段经车兄弟平台淘汰车辆符合奖励标准的为256辆。</w:t>
            </w:r>
          </w:p>
          <w:p>
            <w:pPr>
              <w:widowControl/>
              <w:spacing w:line="240" w:lineRule="exact"/>
              <w:jc w:val="both"/>
              <w:rPr>
                <w:rFonts w:ascii="宋体" w:hAnsi="宋体" w:cs="宋体"/>
                <w:color w:val="auto"/>
                <w:kern w:val="0"/>
                <w:sz w:val="18"/>
                <w:szCs w:val="18"/>
              </w:rPr>
            </w:pP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绩</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效</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指</w:t>
            </w:r>
            <w:r>
              <w:rPr>
                <w:rFonts w:hint="eastAsia" w:ascii="宋体" w:hAnsi="宋体" w:cs="宋体"/>
                <w:color w:val="auto"/>
                <w:kern w:val="0"/>
                <w:sz w:val="18"/>
                <w:szCs w:val="18"/>
              </w:rPr>
              <w:br w:type="textWrapping"/>
            </w:r>
            <w:r>
              <w:rPr>
                <w:rFonts w:hint="eastAsia" w:ascii="宋体" w:hAnsi="宋体" w:cs="宋体"/>
                <w:color w:val="auto"/>
                <w:kern w:val="0"/>
                <w:sz w:val="18"/>
                <w:szCs w:val="18"/>
              </w:rPr>
              <w:t>标</w:t>
            </w:r>
          </w:p>
        </w:tc>
        <w:tc>
          <w:tcPr>
            <w:tcW w:w="9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一级指标</w:t>
            </w:r>
          </w:p>
        </w:tc>
        <w:tc>
          <w:tcPr>
            <w:tcW w:w="1086"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二级指标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三级指标</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年度</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指标值</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实际</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完成值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分值</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得分</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偏差原因分析及改进措施</w:t>
            </w:r>
          </w:p>
        </w:tc>
      </w:tr>
      <w:tr>
        <w:tblPrEx>
          <w:tblCellMar>
            <w:top w:w="0" w:type="dxa"/>
            <w:left w:w="108" w:type="dxa"/>
            <w:bottom w:w="0" w:type="dxa"/>
            <w:right w:w="108" w:type="dxa"/>
          </w:tblCellMar>
        </w:tblPrEx>
        <w:trPr>
          <w:trHeight w:val="77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cs="宋体"/>
                <w:color w:val="auto"/>
                <w:kern w:val="0"/>
                <w:sz w:val="18"/>
                <w:szCs w:val="18"/>
              </w:rPr>
            </w:pPr>
            <w:r>
              <w:rPr>
                <w:rFonts w:hint="eastAsia" w:ascii="宋体" w:hAnsi="宋体" w:cs="宋体"/>
                <w:color w:val="auto"/>
                <w:kern w:val="0"/>
                <w:sz w:val="18"/>
                <w:szCs w:val="18"/>
              </w:rPr>
              <w:t>区专班核实</w:t>
            </w:r>
            <w:r>
              <w:rPr>
                <w:rFonts w:hint="eastAsia" w:ascii="宋体" w:hAnsi="宋体" w:cs="宋体"/>
                <w:color w:val="auto"/>
                <w:kern w:val="0"/>
                <w:sz w:val="18"/>
                <w:szCs w:val="18"/>
                <w:lang w:val="en-US" w:eastAsia="zh-CN"/>
              </w:rPr>
              <w:t>;</w:t>
            </w:r>
            <w:r>
              <w:rPr>
                <w:rFonts w:hint="eastAsia" w:ascii="宋体" w:hAnsi="宋体" w:cs="宋体"/>
                <w:color w:val="auto"/>
                <w:kern w:val="0"/>
                <w:sz w:val="18"/>
                <w:szCs w:val="18"/>
              </w:rPr>
              <w:t>经车兄弟平台淘汰符合奖励标准车辆</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906"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确保经区专班核实的符合奖励标准的车辆都能够领取奖励资金</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256</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256</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77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时效指标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2024年底完成整治要求</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2024年</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2024年</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22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社会成本指标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highlight w:val="none"/>
              </w:rPr>
              <w:t>经区专班核实认证，淘汰符合奖励标准</w:t>
            </w:r>
            <w:r>
              <w:rPr>
                <w:rFonts w:hint="eastAsia" w:ascii="宋体" w:hAnsi="宋体" w:cs="宋体"/>
                <w:color w:val="auto"/>
                <w:kern w:val="0"/>
                <w:sz w:val="18"/>
                <w:szCs w:val="18"/>
                <w:highlight w:val="none"/>
                <w:lang w:val="en-US" w:eastAsia="zh-CN"/>
              </w:rPr>
              <w:t>256</w:t>
            </w:r>
            <w:r>
              <w:rPr>
                <w:rFonts w:hint="eastAsia" w:ascii="宋体" w:hAnsi="宋体" w:cs="宋体"/>
                <w:color w:val="auto"/>
                <w:kern w:val="0"/>
                <w:sz w:val="18"/>
                <w:szCs w:val="18"/>
                <w:highlight w:val="none"/>
              </w:rPr>
              <w:t>辆</w:t>
            </w:r>
            <w:bookmarkStart w:id="0" w:name="_GoBack"/>
            <w:bookmarkEnd w:id="0"/>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256</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256</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581" w:hRule="exact"/>
          <w:jc w:val="center"/>
        </w:trPr>
        <w:tc>
          <w:tcPr>
            <w:tcW w:w="57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社会效益</w:t>
            </w:r>
          </w:p>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提升政府公信度，满足居民群众心理预期</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优良中低差</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lang w:eastAsia="zh-CN"/>
              </w:rPr>
              <w:t>优</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w:t>
            </w:r>
            <w:r>
              <w:rPr>
                <w:rFonts w:hint="eastAsia" w:ascii="宋体" w:hAnsi="宋体" w:cs="宋体"/>
                <w:color w:val="auto"/>
                <w:kern w:val="0"/>
                <w:sz w:val="18"/>
                <w:szCs w:val="18"/>
              </w:rPr>
              <w:t>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lang w:val="en-US" w:eastAsia="zh-CN"/>
              </w:rPr>
              <w:t>1</w:t>
            </w:r>
            <w:r>
              <w:rPr>
                <w:rFonts w:hint="eastAsia" w:ascii="宋体" w:hAnsi="宋体" w:cs="宋体"/>
                <w:color w:val="auto"/>
                <w:kern w:val="0"/>
                <w:sz w:val="18"/>
                <w:szCs w:val="18"/>
              </w:rPr>
              <w:t>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581" w:hRule="exact"/>
          <w:jc w:val="center"/>
        </w:trPr>
        <w:tc>
          <w:tcPr>
            <w:tcW w:w="578" w:type="dxa"/>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可持续影响指标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引导居民群众配合落实好违规电动三四轮车整治政策，形成自觉抵制违规电动三四轮车的氛围</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优良中低差</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cs="宋体"/>
                <w:color w:val="auto"/>
                <w:kern w:val="0"/>
                <w:sz w:val="18"/>
                <w:szCs w:val="18"/>
                <w:lang w:eastAsia="zh-CN"/>
              </w:rPr>
              <w:t>优</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15</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1581" w:hRule="exact"/>
          <w:jc w:val="center"/>
        </w:trPr>
        <w:tc>
          <w:tcPr>
            <w:tcW w:w="578" w:type="dxa"/>
            <w:tcBorders>
              <w:left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969" w:type="dxa"/>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满意度指标</w:t>
            </w:r>
          </w:p>
        </w:tc>
        <w:tc>
          <w:tcPr>
            <w:tcW w:w="1086"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服务对象满意度指标</w:t>
            </w:r>
          </w:p>
        </w:tc>
        <w:tc>
          <w:tcPr>
            <w:tcW w:w="2001"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宋体" w:hAnsi="宋体" w:cs="宋体"/>
                <w:color w:val="auto"/>
                <w:kern w:val="0"/>
                <w:sz w:val="18"/>
                <w:szCs w:val="18"/>
              </w:rPr>
            </w:pPr>
            <w:r>
              <w:rPr>
                <w:rFonts w:hint="eastAsia" w:ascii="宋体" w:hAnsi="宋体" w:cs="宋体"/>
                <w:color w:val="auto"/>
                <w:kern w:val="0"/>
                <w:sz w:val="18"/>
                <w:szCs w:val="18"/>
              </w:rPr>
              <w:t>居民对电动三四轮车整治工作的情况评价</w:t>
            </w:r>
          </w:p>
        </w:tc>
        <w:tc>
          <w:tcPr>
            <w:tcW w:w="93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rPr>
            </w:pPr>
            <w:r>
              <w:rPr>
                <w:rFonts w:hint="eastAsia" w:ascii="宋体" w:hAnsi="宋体" w:cs="宋体"/>
                <w:color w:val="auto"/>
                <w:kern w:val="0"/>
                <w:sz w:val="18"/>
                <w:szCs w:val="18"/>
              </w:rPr>
              <w:t>优良中低差</w:t>
            </w:r>
          </w:p>
        </w:tc>
        <w:tc>
          <w:tcPr>
            <w:tcW w:w="84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auto"/>
                <w:kern w:val="0"/>
                <w:sz w:val="18"/>
                <w:szCs w:val="18"/>
                <w:lang w:eastAsia="zh-CN"/>
              </w:rPr>
            </w:pPr>
            <w:r>
              <w:rPr>
                <w:rFonts w:hint="eastAsia" w:ascii="宋体" w:hAnsi="宋体" w:cs="宋体"/>
                <w:color w:val="auto"/>
                <w:kern w:val="0"/>
                <w:sz w:val="18"/>
                <w:szCs w:val="18"/>
                <w:lang w:eastAsia="zh-CN"/>
              </w:rPr>
              <w:t>优</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color w:val="auto"/>
                <w:kern w:val="0"/>
                <w:sz w:val="18"/>
                <w:szCs w:val="18"/>
                <w:lang w:val="en-US" w:eastAsia="zh-CN"/>
              </w:rPr>
            </w:pPr>
            <w:r>
              <w:rPr>
                <w:rFonts w:hint="eastAsia" w:ascii="宋体" w:hAnsi="宋体" w:cs="宋体"/>
                <w:color w:val="auto"/>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总分</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r>
              <w:rPr>
                <w:rFonts w:hint="eastAsia" w:ascii="宋体" w:hAnsi="宋体" w:cs="宋体"/>
                <w:color w:val="auto"/>
                <w:kern w:val="0"/>
                <w:sz w:val="18"/>
                <w:szCs w:val="18"/>
              </w:rPr>
              <w:t>100</w:t>
            </w:r>
          </w:p>
        </w:tc>
        <w:tc>
          <w:tcPr>
            <w:tcW w:w="55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c>
          <w:tcPr>
            <w:tcW w:w="139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auto"/>
                <w:kern w:val="0"/>
                <w:sz w:val="18"/>
                <w:szCs w:val="18"/>
              </w:rPr>
            </w:pPr>
          </w:p>
        </w:tc>
      </w:tr>
    </w:tbl>
    <w:p>
      <w:pPr>
        <w:pStyle w:val="4"/>
        <w:rPr>
          <w:rFonts w:hint="eastAsia"/>
          <w:lang w:val="en-US" w:eastAsia="zh-CN"/>
        </w:rPr>
      </w:pPr>
    </w:p>
    <w:sectPr>
      <w:footerReference r:id="rId3" w:type="default"/>
      <w:pgSz w:w="11906" w:h="16838"/>
      <w:pgMar w:top="1440" w:right="1803" w:bottom="1440" w:left="1803" w:header="851" w:footer="992" w:gutter="0"/>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pPr>
                          <w:r>
                            <w:fldChar w:fldCharType="begin"/>
                          </w:r>
                          <w:r>
                            <w:instrText xml:space="preserve"> PAGE  \* MERGEFORMAT </w:instrText>
                          </w:r>
                          <w:r>
                            <w:fldChar w:fldCharType="separate"/>
                          </w:r>
                          <w:r>
                            <w:t>21</w:t>
                          </w:r>
                          <w:r>
                            <w:fldChar w:fldCharType="end"/>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NJWO7QAAAABQEAAA8AAAAAAAAAAQAgAAAAIgAAAGRycy9kb3ducmV2&#10;LnhtbFBLAQIUABQAAAAIAIdO4kCEXiZ/ywEAAHkDAAAOAAAAAAAAAAEAIAAAAB8BAABkcnMvZTJv&#10;RG9jLnhtbFBLBQYAAAAABgAGAFkBAAB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DB0B63"/>
    <w:rsid w:val="01534994"/>
    <w:rsid w:val="068B00FE"/>
    <w:rsid w:val="0C8165E0"/>
    <w:rsid w:val="11AB33C6"/>
    <w:rsid w:val="21496CF6"/>
    <w:rsid w:val="27E551E8"/>
    <w:rsid w:val="2CBF8107"/>
    <w:rsid w:val="2EB70209"/>
    <w:rsid w:val="30FF2B40"/>
    <w:rsid w:val="34D14D22"/>
    <w:rsid w:val="35D339CB"/>
    <w:rsid w:val="3E814D42"/>
    <w:rsid w:val="3FEB007D"/>
    <w:rsid w:val="3FF79B31"/>
    <w:rsid w:val="42C924A9"/>
    <w:rsid w:val="4BA31FDB"/>
    <w:rsid w:val="4BFF9656"/>
    <w:rsid w:val="537B9DA3"/>
    <w:rsid w:val="5A474F5C"/>
    <w:rsid w:val="5DDF52D1"/>
    <w:rsid w:val="5EDB0B63"/>
    <w:rsid w:val="5F9F33EB"/>
    <w:rsid w:val="5FDF9C37"/>
    <w:rsid w:val="61CE7477"/>
    <w:rsid w:val="6AC7B1A3"/>
    <w:rsid w:val="6B77FB6F"/>
    <w:rsid w:val="6C4367BB"/>
    <w:rsid w:val="6EE9A86C"/>
    <w:rsid w:val="6FD43E60"/>
    <w:rsid w:val="763E871D"/>
    <w:rsid w:val="765C3068"/>
    <w:rsid w:val="796B3F5A"/>
    <w:rsid w:val="79EBFCAD"/>
    <w:rsid w:val="7BBD97BD"/>
    <w:rsid w:val="7BFE4A5B"/>
    <w:rsid w:val="7BFFEC6B"/>
    <w:rsid w:val="7DBF4FBB"/>
    <w:rsid w:val="7DCD9330"/>
    <w:rsid w:val="7DD758A1"/>
    <w:rsid w:val="7E562264"/>
    <w:rsid w:val="7E5EB5A1"/>
    <w:rsid w:val="7F2773F9"/>
    <w:rsid w:val="7F3909BD"/>
    <w:rsid w:val="7F7C49BA"/>
    <w:rsid w:val="7FBF70D0"/>
    <w:rsid w:val="7FF719AD"/>
    <w:rsid w:val="9BFD2FEF"/>
    <w:rsid w:val="9F9FF635"/>
    <w:rsid w:val="AFDDEFDC"/>
    <w:rsid w:val="B2DFF942"/>
    <w:rsid w:val="B5FC34C6"/>
    <w:rsid w:val="BAEFCA12"/>
    <w:rsid w:val="BD5D8A02"/>
    <w:rsid w:val="D4CEDA1A"/>
    <w:rsid w:val="D5A31DC0"/>
    <w:rsid w:val="D7FF1616"/>
    <w:rsid w:val="DF7D853B"/>
    <w:rsid w:val="DFE41766"/>
    <w:rsid w:val="DFEAA56F"/>
    <w:rsid w:val="E6922BE3"/>
    <w:rsid w:val="EB5BB730"/>
    <w:rsid w:val="EDFF835A"/>
    <w:rsid w:val="EEBB59E1"/>
    <w:rsid w:val="EFCF022D"/>
    <w:rsid w:val="F37B3AB2"/>
    <w:rsid w:val="F6FF4047"/>
    <w:rsid w:val="F7E365DE"/>
    <w:rsid w:val="FA5A168B"/>
    <w:rsid w:val="FD3F40DC"/>
    <w:rsid w:val="FEF8056D"/>
    <w:rsid w:val="FEF82787"/>
    <w:rsid w:val="FEFD3F0E"/>
    <w:rsid w:val="FFBDEA55"/>
    <w:rsid w:val="FFFFCD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index 9"/>
    <w:basedOn w:val="1"/>
    <w:next w:val="1"/>
    <w:qFormat/>
    <w:uiPriority w:val="0"/>
    <w:pPr>
      <w:spacing w:line="560" w:lineRule="exact"/>
      <w:ind w:left="0" w:leftChars="0" w:firstLine="880" w:firstLineChars="200"/>
    </w:pPr>
    <w:rPr>
      <w:rFonts w:ascii="Times New Roman" w:hAnsi="Times New Roman" w:eastAsia="宋体" w:cs="Times New Roman"/>
      <w:sz w:val="32"/>
    </w:rPr>
  </w:style>
  <w:style w:type="paragraph" w:styleId="4">
    <w:name w:val="Normal Indent"/>
    <w:basedOn w:val="1"/>
    <w:next w:val="1"/>
    <w:qFormat/>
    <w:uiPriority w:val="0"/>
    <w:pPr>
      <w:ind w:firstLine="200" w:firstLineChars="200"/>
    </w:pPr>
  </w:style>
  <w:style w:type="paragraph" w:styleId="5">
    <w:name w:val="Body Text"/>
    <w:basedOn w:val="1"/>
    <w:next w:val="1"/>
    <w:qFormat/>
    <w:uiPriority w:val="0"/>
    <w:pPr>
      <w:spacing w:before="0" w:after="140" w:line="276" w:lineRule="auto"/>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Hyperlink"/>
    <w:basedOn w:val="10"/>
    <w:qFormat/>
    <w:uiPriority w:val="0"/>
    <w:rPr>
      <w:color w:val="0000FF"/>
      <w:u w:val="single"/>
    </w:rPr>
  </w:style>
  <w:style w:type="character" w:customStyle="1" w:styleId="12">
    <w:name w:val="font81"/>
    <w:basedOn w:val="10"/>
    <w:qFormat/>
    <w:uiPriority w:val="0"/>
    <w:rPr>
      <w:rFonts w:hint="eastAsia" w:ascii="宋体" w:hAnsi="宋体" w:eastAsia="宋体" w:cs="宋体"/>
      <w:color w:val="000000"/>
      <w:sz w:val="20"/>
      <w:szCs w:val="20"/>
      <w:u w:val="none"/>
    </w:rPr>
  </w:style>
  <w:style w:type="character" w:customStyle="1" w:styleId="13">
    <w:name w:val="font11"/>
    <w:basedOn w:val="10"/>
    <w:qFormat/>
    <w:uiPriority w:val="0"/>
    <w:rPr>
      <w:rFonts w:hint="eastAsia" w:ascii="仿宋_GB2312" w:eastAsia="仿宋_GB2312" w:cs="仿宋_GB2312"/>
      <w:color w:val="000000"/>
      <w:sz w:val="24"/>
      <w:szCs w:val="24"/>
      <w:u w:val="none"/>
    </w:rPr>
  </w:style>
  <w:style w:type="character" w:customStyle="1" w:styleId="14">
    <w:name w:val="font61"/>
    <w:basedOn w:val="10"/>
    <w:qFormat/>
    <w:uiPriority w:val="0"/>
    <w:rPr>
      <w:rFonts w:hint="eastAsia" w:ascii="仿宋_GB2312" w:eastAsia="仿宋_GB2312" w:cs="仿宋_GB2312"/>
      <w:color w:val="000000"/>
      <w:sz w:val="24"/>
      <w:szCs w:val="24"/>
      <w:u w:val="none"/>
    </w:rPr>
  </w:style>
  <w:style w:type="character" w:customStyle="1" w:styleId="15">
    <w:name w:val="font71"/>
    <w:basedOn w:val="10"/>
    <w:qFormat/>
    <w:uiPriority w:val="0"/>
    <w:rPr>
      <w:rFonts w:hint="eastAsia" w:ascii="宋体" w:hAnsi="宋体" w:eastAsia="宋体" w:cs="宋体"/>
      <w:color w:val="FF0000"/>
      <w:sz w:val="20"/>
      <w:szCs w:val="20"/>
      <w:u w:val="none"/>
    </w:rPr>
  </w:style>
  <w:style w:type="paragraph" w:customStyle="1" w:styleId="16">
    <w:name w:val="表格"/>
    <w:basedOn w:val="1"/>
    <w:qFormat/>
    <w:uiPriority w:val="0"/>
    <w:pPr>
      <w:autoSpaceDN w:val="0"/>
      <w:jc w:val="center"/>
    </w:pPr>
    <w:rPr>
      <w:rFonts w:ascii="Verdana" w:hAnsi="Verdana" w:eastAsia="仿宋_GB2312" w:cs="Times New Roman"/>
      <w:bCs/>
      <w:sz w:val="24"/>
      <w:szCs w:val="21"/>
      <w:lang w:eastAsia="en-US"/>
    </w:rPr>
  </w:style>
  <w:style w:type="paragraph" w:customStyle="1" w:styleId="17">
    <w:name w:val="首行缩进"/>
    <w:basedOn w:val="1"/>
    <w:qFormat/>
    <w:uiPriority w:val="0"/>
    <w:pPr>
      <w:ind w:firstLine="480"/>
    </w:pPr>
    <w:rPr>
      <w:szCs w:val="2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3322</Words>
  <Characters>3646</Characters>
  <Lines>0</Lines>
  <Paragraphs>0</Paragraphs>
  <TotalTime>2</TotalTime>
  <ScaleCrop>false</ScaleCrop>
  <LinksUpToDate>false</LinksUpToDate>
  <CharactersWithSpaces>3678</CharactersWithSpaces>
  <Application>WPS Office_11.8.2.8950_F1E327BC-269C-435d-A152-05C5408002CA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2024-03-14T03:08:00Z</dcterms:created>
  <dc:creator>user</dc:creator>
  <cp:lastModifiedBy>TZJKS2020-01</cp:lastModifiedBy>
  <cp:lastPrinted>2024-03-31T09:59:00Z</cp:lastPrinted>
  <dcterms:modified xsi:type="dcterms:W3CDTF">2025-09-17T01:09:29Z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2052-11.8.2.8950</vt:lpwstr>
  </property>
  <property fmtid="{D5CDD505-2E9C-101B-9397-08002B2CF9AE}" pid="3" name="ICV">
    <vt:lpwstr>9A1FB32D3A5042479FBF795F7BF886EC_12</vt:lpwstr>
  </property>
  <property fmtid="{D5CDD505-2E9C-101B-9397-08002B2CF9AE}" pid="4" name="KSOTemplateDocerSaveRecord">
    <vt:lpwstr>eyJoZGlkIjoiMzE2MTJhODI4YmFjMTEzMWQ5NzM5OTE0Y2I0M2I1ODAiLCJ1c2VySWQiOiIxMDAzMDU3NjQ3In0=</vt:lpwstr>
  </property>
</Properties>
</file>