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仿宋_GB2312" w:eastAsia="黑体"/>
          <w:color w:val="auto"/>
          <w:sz w:val="32"/>
          <w:szCs w:val="32"/>
          <w:lang w:val="en-US" w:eastAsia="zh-CN"/>
        </w:rPr>
      </w:pPr>
      <w:r>
        <w:rPr>
          <w:rFonts w:hint="eastAsia" w:ascii="黑体" w:hAnsi="黑体" w:eastAsia="黑体"/>
          <w:color w:val="auto"/>
          <w:sz w:val="32"/>
          <w:szCs w:val="32"/>
        </w:rPr>
        <w:t>附件1</w:t>
      </w:r>
      <w:r>
        <w:rPr>
          <w:rFonts w:hint="eastAsia" w:ascii="黑体" w:hAnsi="黑体" w:eastAsia="黑体"/>
          <w:color w:val="auto"/>
          <w:sz w:val="32"/>
          <w:szCs w:val="32"/>
          <w:lang w:val="en-US" w:eastAsia="zh-CN"/>
        </w:rPr>
        <w:t>-1</w:t>
      </w:r>
    </w:p>
    <w:tbl>
      <w:tblPr>
        <w:tblStyle w:val="9"/>
        <w:tblW w:w="8928" w:type="dxa"/>
        <w:jc w:val="center"/>
        <w:tblLayout w:type="fixed"/>
        <w:tblCellMar>
          <w:top w:w="0" w:type="dxa"/>
          <w:left w:w="108" w:type="dxa"/>
          <w:bottom w:w="0" w:type="dxa"/>
          <w:right w:w="108" w:type="dxa"/>
        </w:tblCellMar>
      </w:tblPr>
      <w:tblGrid>
        <w:gridCol w:w="578"/>
        <w:gridCol w:w="969"/>
        <w:gridCol w:w="1086"/>
        <w:gridCol w:w="718"/>
        <w:gridCol w:w="1114"/>
        <w:gridCol w:w="169"/>
        <w:gridCol w:w="938"/>
        <w:gridCol w:w="848"/>
        <w:gridCol w:w="202"/>
        <w:gridCol w:w="355"/>
        <w:gridCol w:w="416"/>
        <w:gridCol w:w="141"/>
        <w:gridCol w:w="695"/>
        <w:gridCol w:w="699"/>
      </w:tblGrid>
      <w:tr>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noWrap w:val="0"/>
            <w:vAlign w:val="center"/>
          </w:tcPr>
          <w:p>
            <w:pPr>
              <w:widowControl/>
              <w:spacing w:line="500" w:lineRule="exact"/>
              <w:jc w:val="center"/>
              <w:rPr>
                <w:rFonts w:ascii="宋体" w:hAnsi="宋体" w:cs="宋体"/>
                <w:b/>
                <w:bCs/>
                <w:color w:val="auto"/>
                <w:kern w:val="0"/>
                <w:sz w:val="32"/>
                <w:szCs w:val="32"/>
              </w:rPr>
            </w:pPr>
            <w:r>
              <w:rPr>
                <w:rFonts w:hint="eastAsia" w:ascii="宋体" w:hAnsi="宋体" w:cs="宋体"/>
                <w:b/>
                <w:bCs/>
                <w:color w:val="auto"/>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noWrap w:val="0"/>
            <w:vAlign w:val="top"/>
          </w:tcPr>
          <w:p>
            <w:pPr>
              <w:widowControl/>
              <w:jc w:val="center"/>
              <w:rPr>
                <w:rFonts w:ascii="宋体" w:hAnsi="宋体" w:cs="宋体"/>
                <w:color w:val="auto"/>
                <w:kern w:val="0"/>
                <w:sz w:val="22"/>
              </w:rPr>
            </w:pPr>
            <w:r>
              <w:rPr>
                <w:rFonts w:hint="eastAsia" w:ascii="宋体" w:hAnsi="宋体" w:cs="宋体"/>
                <w:color w:val="auto"/>
                <w:kern w:val="0"/>
                <w:sz w:val="22"/>
              </w:rPr>
              <w:t xml:space="preserve">（ </w:t>
            </w:r>
            <w:r>
              <w:rPr>
                <w:rFonts w:hint="eastAsia" w:ascii="宋体" w:hAnsi="宋体" w:cs="宋体"/>
                <w:color w:val="auto"/>
                <w:kern w:val="0"/>
                <w:sz w:val="22"/>
                <w:lang w:val="en-US" w:eastAsia="zh-CN"/>
              </w:rPr>
              <w:t>2024</w:t>
            </w:r>
            <w:r>
              <w:rPr>
                <w:rFonts w:hint="eastAsia" w:ascii="宋体" w:hAnsi="宋体" w:cs="宋体"/>
                <w:color w:val="auto"/>
                <w:kern w:val="0"/>
                <w:sz w:val="22"/>
              </w:rPr>
              <w:t>年度）</w:t>
            </w:r>
          </w:p>
        </w:tc>
      </w:tr>
      <w:tr>
        <w:tblPrEx>
          <w:tblCellMar>
            <w:top w:w="0" w:type="dxa"/>
            <w:left w:w="108" w:type="dxa"/>
            <w:bottom w:w="0" w:type="dxa"/>
            <w:right w:w="108" w:type="dxa"/>
          </w:tblCellMar>
        </w:tblPrEx>
        <w:trPr>
          <w:trHeight w:val="291" w:hRule="exact"/>
          <w:jc w:val="center"/>
        </w:trPr>
        <w:tc>
          <w:tcPr>
            <w:tcW w:w="154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项目名称</w:t>
            </w:r>
          </w:p>
        </w:tc>
        <w:tc>
          <w:tcPr>
            <w:tcW w:w="7381"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val="en-US" w:eastAsia="zh-CN"/>
              </w:rPr>
              <w:t>九棵树</w:t>
            </w:r>
            <w:r>
              <w:rPr>
                <w:rFonts w:hint="eastAsia" w:ascii="宋体" w:hAnsi="宋体" w:eastAsia="宋体" w:cs="宋体"/>
                <w:color w:val="auto"/>
                <w:kern w:val="0"/>
                <w:sz w:val="18"/>
                <w:szCs w:val="18"/>
                <w:lang w:val="en-US" w:eastAsia="zh-CN"/>
              </w:rPr>
              <w:t>街道违规电动三四轮车综合治理工作违规电动三四轮车回收</w:t>
            </w:r>
            <w:r>
              <w:rPr>
                <w:rFonts w:hint="eastAsia" w:ascii="宋体" w:hAnsi="宋体" w:cs="宋体"/>
                <w:color w:val="auto"/>
                <w:kern w:val="0"/>
                <w:sz w:val="18"/>
                <w:szCs w:val="18"/>
                <w:lang w:val="en-US" w:eastAsia="zh-CN"/>
              </w:rPr>
              <w:t>补贴</w:t>
            </w:r>
            <w:r>
              <w:rPr>
                <w:rFonts w:hint="eastAsia" w:ascii="宋体" w:hAnsi="宋体" w:eastAsia="宋体" w:cs="宋体"/>
                <w:color w:val="auto"/>
                <w:kern w:val="0"/>
                <w:sz w:val="18"/>
                <w:szCs w:val="18"/>
                <w:lang w:val="en-US" w:eastAsia="zh-CN"/>
              </w:rPr>
              <w:t>奖励资金</w:t>
            </w:r>
          </w:p>
          <w:p>
            <w:pPr>
              <w:widowControl/>
              <w:spacing w:line="240" w:lineRule="exact"/>
              <w:jc w:val="center"/>
              <w:rPr>
                <w:rFonts w:hint="eastAsia" w:ascii="宋体" w:hAnsi="宋体" w:eastAsia="宋体" w:cs="宋体"/>
                <w:color w:val="auto"/>
                <w:kern w:val="0"/>
                <w:sz w:val="18"/>
                <w:szCs w:val="18"/>
                <w:lang w:eastAsia="zh-CN"/>
              </w:rPr>
            </w:pPr>
          </w:p>
        </w:tc>
      </w:tr>
      <w:tr>
        <w:tblPrEx>
          <w:tblCellMar>
            <w:top w:w="0" w:type="dxa"/>
            <w:left w:w="108" w:type="dxa"/>
            <w:bottom w:w="0" w:type="dxa"/>
            <w:right w:w="108" w:type="dxa"/>
          </w:tblCellMar>
        </w:tblPrEx>
        <w:trPr>
          <w:trHeight w:val="621" w:hRule="exact"/>
          <w:jc w:val="center"/>
        </w:trPr>
        <w:tc>
          <w:tcPr>
            <w:tcW w:w="154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主管部门</w:t>
            </w:r>
          </w:p>
        </w:tc>
        <w:tc>
          <w:tcPr>
            <w:tcW w:w="4025"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eastAsia="zh-CN"/>
              </w:rPr>
              <w:t>通州区九棵树街道办事处</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实施单位</w:t>
            </w:r>
          </w:p>
        </w:tc>
        <w:tc>
          <w:tcPr>
            <w:tcW w:w="2306"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eastAsia="zh-CN"/>
              </w:rPr>
              <w:t>通州区九棵树街道办事处城市管理办公室</w:t>
            </w:r>
          </w:p>
        </w:tc>
      </w:tr>
      <w:tr>
        <w:tblPrEx>
          <w:tblCellMar>
            <w:top w:w="0" w:type="dxa"/>
            <w:left w:w="108" w:type="dxa"/>
            <w:bottom w:w="0" w:type="dxa"/>
            <w:right w:w="108" w:type="dxa"/>
          </w:tblCellMar>
        </w:tblPrEx>
        <w:trPr>
          <w:trHeight w:val="291" w:hRule="exact"/>
          <w:jc w:val="center"/>
        </w:trPr>
        <w:tc>
          <w:tcPr>
            <w:tcW w:w="154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项目</w:t>
            </w:r>
            <w:r>
              <w:rPr>
                <w:rFonts w:ascii="宋体" w:hAnsi="宋体" w:cs="宋体"/>
                <w:color w:val="auto"/>
                <w:kern w:val="0"/>
                <w:sz w:val="18"/>
                <w:szCs w:val="18"/>
              </w:rPr>
              <w:t>负责人</w:t>
            </w:r>
          </w:p>
        </w:tc>
        <w:tc>
          <w:tcPr>
            <w:tcW w:w="4025"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eastAsia="zh-CN"/>
              </w:rPr>
            </w:pP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ascii="宋体" w:hAnsi="宋体" w:cs="宋体"/>
                <w:color w:val="auto"/>
                <w:kern w:val="0"/>
                <w:sz w:val="18"/>
                <w:szCs w:val="18"/>
              </w:rPr>
              <w:t>联系电话</w:t>
            </w:r>
          </w:p>
        </w:tc>
        <w:tc>
          <w:tcPr>
            <w:tcW w:w="2306"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bookmarkStart w:id="1" w:name="_GoBack"/>
            <w:bookmarkEnd w:id="1"/>
          </w:p>
        </w:tc>
      </w:tr>
      <w:tr>
        <w:tblPrEx>
          <w:tblCellMar>
            <w:top w:w="0" w:type="dxa"/>
            <w:left w:w="108" w:type="dxa"/>
            <w:bottom w:w="0" w:type="dxa"/>
            <w:right w:w="108" w:type="dxa"/>
          </w:tblCellMar>
        </w:tblPrEx>
        <w:trPr>
          <w:trHeight w:val="559" w:hRule="exact"/>
          <w:jc w:val="center"/>
        </w:trPr>
        <w:tc>
          <w:tcPr>
            <w:tcW w:w="1547"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left"/>
              <w:rPr>
                <w:rFonts w:ascii="宋体" w:hAnsi="宋体" w:cs="宋体"/>
                <w:color w:val="auto"/>
                <w:kern w:val="0"/>
                <w:sz w:val="18"/>
                <w:szCs w:val="18"/>
              </w:rPr>
            </w:pPr>
            <w:r>
              <w:rPr>
                <w:rFonts w:hint="eastAsia" w:ascii="宋体" w:hAnsi="宋体" w:cs="宋体"/>
                <w:color w:val="auto"/>
                <w:kern w:val="0"/>
                <w:sz w:val="18"/>
                <w:szCs w:val="18"/>
              </w:rPr>
              <w:t>项目资金（万元）</w:t>
            </w: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年初</w:t>
            </w:r>
            <w:r>
              <w:rPr>
                <w:rFonts w:hint="eastAsia" w:ascii="宋体" w:hAnsi="宋体" w:cs="宋体"/>
                <w:color w:val="auto"/>
                <w:kern w:val="0"/>
                <w:sz w:val="18"/>
                <w:szCs w:val="18"/>
                <w:lang w:val="en-US" w:eastAsia="zh-CN"/>
              </w:rPr>
              <w:t xml:space="preserve">     </w:t>
            </w:r>
            <w:r>
              <w:rPr>
                <w:rFonts w:hint="eastAsia" w:ascii="宋体" w:hAnsi="宋体" w:cs="宋体"/>
                <w:color w:val="auto"/>
                <w:kern w:val="0"/>
                <w:sz w:val="18"/>
                <w:szCs w:val="18"/>
              </w:rPr>
              <w:t>预算数</w:t>
            </w: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全年</w:t>
            </w:r>
            <w:r>
              <w:rPr>
                <w:rFonts w:hint="eastAsia" w:ascii="宋体" w:hAnsi="宋体" w:cs="宋体"/>
                <w:color w:val="auto"/>
                <w:kern w:val="0"/>
                <w:sz w:val="18"/>
                <w:szCs w:val="18"/>
                <w:lang w:val="en-US" w:eastAsia="zh-CN"/>
              </w:rPr>
              <w:t xml:space="preserve">     </w:t>
            </w:r>
            <w:r>
              <w:rPr>
                <w:rFonts w:hint="eastAsia" w:ascii="宋体" w:hAnsi="宋体" w:cs="宋体"/>
                <w:color w:val="auto"/>
                <w:kern w:val="0"/>
                <w:sz w:val="18"/>
                <w:szCs w:val="18"/>
              </w:rPr>
              <w:t>预算数</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全年</w:t>
            </w:r>
            <w:r>
              <w:rPr>
                <w:rFonts w:hint="eastAsia" w:ascii="宋体" w:hAnsi="宋体" w:cs="宋体"/>
                <w:color w:val="auto"/>
                <w:kern w:val="0"/>
                <w:sz w:val="18"/>
                <w:szCs w:val="18"/>
                <w:lang w:val="en-US" w:eastAsia="zh-CN"/>
              </w:rPr>
              <w:t xml:space="preserve">     </w:t>
            </w:r>
            <w:r>
              <w:rPr>
                <w:rFonts w:hint="eastAsia" w:ascii="宋体" w:hAnsi="宋体" w:cs="宋体"/>
                <w:color w:val="auto"/>
                <w:kern w:val="0"/>
                <w:sz w:val="18"/>
                <w:szCs w:val="18"/>
              </w:rPr>
              <w:t>执行数</w:t>
            </w: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分值</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执行率</w:t>
            </w: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得分</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ascii="宋体" w:hAnsi="宋体" w:cs="宋体"/>
                <w:color w:val="auto"/>
                <w:kern w:val="0"/>
                <w:sz w:val="18"/>
                <w:szCs w:val="18"/>
              </w:rPr>
            </w:pPr>
            <w:r>
              <w:rPr>
                <w:rFonts w:hint="eastAsia" w:ascii="宋体" w:hAnsi="宋体" w:cs="宋体"/>
                <w:color w:val="auto"/>
                <w:kern w:val="0"/>
                <w:sz w:val="18"/>
                <w:szCs w:val="18"/>
              </w:rPr>
              <w:t>年度资金总额</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bookmarkStart w:id="0" w:name="OLE_LINK1"/>
            <w:r>
              <w:rPr>
                <w:rFonts w:hint="eastAsia" w:ascii="宋体" w:hAnsi="宋体" w:cs="宋体"/>
                <w:color w:val="auto"/>
                <w:kern w:val="0"/>
                <w:sz w:val="18"/>
                <w:szCs w:val="18"/>
                <w:lang w:val="en-US" w:eastAsia="zh-CN"/>
              </w:rPr>
              <w:t>2.79</w:t>
            </w:r>
            <w:bookmarkEnd w:id="0"/>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2.79</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2.79</w:t>
            </w: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100%</w:t>
            </w: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其中：当年财政拨款</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2.79</w:t>
            </w: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2.79</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2.79</w:t>
            </w: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xml:space="preserve">      上年结转资金</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xml:space="preserve">  其他资金</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年度总体目标</w:t>
            </w:r>
          </w:p>
        </w:tc>
        <w:tc>
          <w:tcPr>
            <w:tcW w:w="4994"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预期目标</w:t>
            </w:r>
          </w:p>
        </w:tc>
        <w:tc>
          <w:tcPr>
            <w:tcW w:w="3356"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实际完成情况</w:t>
            </w:r>
          </w:p>
        </w:tc>
      </w:tr>
      <w:tr>
        <w:tblPrEx>
          <w:tblCellMar>
            <w:top w:w="0" w:type="dxa"/>
            <w:left w:w="108" w:type="dxa"/>
            <w:bottom w:w="0" w:type="dxa"/>
            <w:right w:w="108" w:type="dxa"/>
          </w:tblCellMar>
        </w:tblPrEx>
        <w:trPr>
          <w:trHeight w:val="5065" w:hRule="exact"/>
          <w:jc w:val="center"/>
        </w:trPr>
        <w:tc>
          <w:tcPr>
            <w:tcW w:w="57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994" w:type="dxa"/>
            <w:gridSpan w:val="6"/>
            <w:tcBorders>
              <w:top w:val="single" w:color="auto" w:sz="4" w:space="0"/>
              <w:left w:val="nil"/>
              <w:bottom w:val="single" w:color="auto" w:sz="4" w:space="0"/>
              <w:right w:val="single" w:color="auto" w:sz="4" w:space="0"/>
            </w:tcBorders>
            <w:noWrap w:val="0"/>
            <w:vAlign w:val="center"/>
          </w:tcPr>
          <w:p>
            <w:pPr>
              <w:widowControl/>
              <w:numPr>
                <w:ilvl w:val="0"/>
                <w:numId w:val="0"/>
              </w:numPr>
              <w:spacing w:line="240" w:lineRule="exact"/>
              <w:jc w:val="both"/>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w:t>
            </w:r>
            <w:r>
              <w:rPr>
                <w:rFonts w:hint="eastAsia" w:ascii="宋体" w:hAnsi="宋体" w:cs="宋体"/>
                <w:color w:val="auto"/>
                <w:kern w:val="0"/>
                <w:sz w:val="18"/>
                <w:szCs w:val="18"/>
                <w:highlight w:val="none"/>
              </w:rPr>
              <w:t>在2023年9月份内经官方渠道淘汰且区专班审核符合发放补贴标准的车辆中，有12辆未打款成功，按照每辆800元再次发放；在2023年10月份内经官方渠道淘汰且区专班审核符合发放补贴标准的车辆中，有3辆未打款成功，按照每辆500元再次发放；在2023年11月份经官方渠道淘汰且区专班审核符合发放补贴标准的车辆中，有3辆未发放补贴，按照每辆300元发放。以上总计金额12000元。</w:t>
            </w:r>
          </w:p>
          <w:p>
            <w:pPr>
              <w:widowControl/>
              <w:numPr>
                <w:ilvl w:val="0"/>
                <w:numId w:val="0"/>
              </w:numPr>
              <w:spacing w:line="240" w:lineRule="exact"/>
              <w:jc w:val="both"/>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w:t>
            </w:r>
            <w:r>
              <w:rPr>
                <w:rFonts w:hint="eastAsia" w:ascii="宋体" w:hAnsi="宋体" w:cs="宋体"/>
                <w:color w:val="auto"/>
                <w:kern w:val="0"/>
                <w:sz w:val="18"/>
                <w:szCs w:val="18"/>
                <w:highlight w:val="none"/>
              </w:rPr>
              <w:t>2023年10月份内经官方渠道淘汰且区专班审核符合发放补贴标准的车辆中，已发放500元补贴的29辆，10月内经官方渠道淘汰处置申请补贴车辆因银行卡信息错误未发放成功再补发500元有3辆，按照我区要求，2023年10月、11月经官方渠道淘汰且区专班审核符合发放补贴标准的车辆，统一按照800元标准补正，以上32辆需要补正300元。11月内经官方渠道淘汰处置申请补贴车辆未发补贴再发放300元的有3辆，按照我区要求，2023年10月、11月经官方渠道淘汰且区专班审核符合发放补贴标准的车辆，统一按照800元标准补正，以上3辆需要补正500元。总计发放金额为32x300+3x500=11100元。</w:t>
            </w:r>
          </w:p>
          <w:p>
            <w:pPr>
              <w:widowControl/>
              <w:numPr>
                <w:ilvl w:val="0"/>
                <w:numId w:val="0"/>
              </w:numPr>
              <w:spacing w:line="240" w:lineRule="exact"/>
              <w:jc w:val="both"/>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highlight w:val="none"/>
                <w:lang w:val="en-US" w:eastAsia="zh-CN"/>
              </w:rPr>
              <w:t>3.2023年年底攻坚阶段违规电动三四轮车淘汰未发放奖励6辆，按照每辆800元奖励。总计发放金额为4800元。</w:t>
            </w:r>
          </w:p>
        </w:tc>
        <w:tc>
          <w:tcPr>
            <w:tcW w:w="3356" w:type="dxa"/>
            <w:gridSpan w:val="7"/>
            <w:tcBorders>
              <w:top w:val="single" w:color="auto" w:sz="4" w:space="0"/>
              <w:left w:val="nil"/>
              <w:bottom w:val="single" w:color="auto" w:sz="4" w:space="0"/>
              <w:right w:val="single" w:color="auto" w:sz="4" w:space="0"/>
            </w:tcBorders>
            <w:noWrap w:val="0"/>
            <w:vAlign w:val="center"/>
          </w:tcPr>
          <w:p>
            <w:pPr>
              <w:widowControl/>
              <w:numPr>
                <w:ilvl w:val="0"/>
                <w:numId w:val="0"/>
              </w:numPr>
              <w:spacing w:line="240" w:lineRule="exact"/>
              <w:jc w:val="both"/>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val="en-US" w:eastAsia="zh-CN"/>
              </w:rPr>
              <w:t>1.</w:t>
            </w:r>
            <w:r>
              <w:rPr>
                <w:rFonts w:hint="eastAsia" w:ascii="宋体" w:hAnsi="宋体" w:eastAsia="宋体" w:cs="宋体"/>
                <w:color w:val="auto"/>
                <w:kern w:val="0"/>
                <w:sz w:val="18"/>
                <w:szCs w:val="18"/>
                <w:lang w:eastAsia="zh-CN"/>
              </w:rPr>
              <w:t>经通州区违规电动三四轮车整治专班核实，</w:t>
            </w:r>
            <w:r>
              <w:rPr>
                <w:rFonts w:hint="eastAsia" w:ascii="宋体" w:hAnsi="宋体" w:cs="宋体"/>
                <w:color w:val="auto"/>
                <w:kern w:val="0"/>
                <w:sz w:val="18"/>
                <w:szCs w:val="18"/>
                <w:highlight w:val="none"/>
              </w:rPr>
              <w:t>2023年9月份内经官方渠道淘汰且区专班审核符合发放补贴标准的车辆中，有12辆未打款成功</w:t>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rPr>
              <w:t>2023年10月份内经官方渠道淘汰且区专班审核符合发放补贴标准的车辆中，有3辆未打款成功</w:t>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rPr>
              <w:t>2023年11月份经官方渠道淘汰且区专班审核符合发放补贴标准的车辆中，有3辆未发放补贴</w:t>
            </w:r>
            <w:r>
              <w:rPr>
                <w:rFonts w:hint="eastAsia" w:ascii="宋体" w:hAnsi="宋体" w:eastAsia="宋体" w:cs="宋体"/>
                <w:color w:val="auto"/>
                <w:kern w:val="0"/>
                <w:sz w:val="18"/>
                <w:szCs w:val="18"/>
                <w:lang w:eastAsia="zh-CN"/>
              </w:rPr>
              <w:t>。</w:t>
            </w:r>
          </w:p>
          <w:p>
            <w:pPr>
              <w:widowControl/>
              <w:numPr>
                <w:ilvl w:val="0"/>
                <w:numId w:val="0"/>
              </w:numPr>
              <w:spacing w:line="240" w:lineRule="exact"/>
              <w:jc w:val="both"/>
              <w:rPr>
                <w:rFonts w:hint="eastAsia" w:ascii="宋体" w:hAnsi="宋体" w:cs="宋体"/>
                <w:color w:val="auto"/>
                <w:kern w:val="0"/>
                <w:sz w:val="18"/>
                <w:szCs w:val="18"/>
                <w:highlight w:val="none"/>
                <w:lang w:eastAsia="zh-CN"/>
              </w:rPr>
            </w:pPr>
            <w:r>
              <w:rPr>
                <w:rFonts w:hint="eastAsia" w:ascii="宋体" w:hAnsi="宋体" w:cs="宋体"/>
                <w:color w:val="auto"/>
                <w:kern w:val="0"/>
                <w:sz w:val="18"/>
                <w:szCs w:val="18"/>
                <w:lang w:val="en-US" w:eastAsia="zh-CN"/>
              </w:rPr>
              <w:t>2.</w:t>
            </w:r>
            <w:r>
              <w:rPr>
                <w:rFonts w:hint="eastAsia" w:ascii="宋体" w:hAnsi="宋体" w:eastAsia="宋体" w:cs="宋体"/>
                <w:color w:val="auto"/>
                <w:kern w:val="0"/>
                <w:sz w:val="18"/>
                <w:szCs w:val="18"/>
                <w:lang w:eastAsia="zh-CN"/>
              </w:rPr>
              <w:t>经通州区违规电动三四轮车整治专班核实，</w:t>
            </w:r>
            <w:r>
              <w:rPr>
                <w:rFonts w:hint="eastAsia" w:ascii="宋体" w:hAnsi="宋体" w:cs="宋体"/>
                <w:color w:val="auto"/>
                <w:kern w:val="0"/>
                <w:sz w:val="18"/>
                <w:szCs w:val="18"/>
                <w:highlight w:val="none"/>
              </w:rPr>
              <w:t>2023年10月份内经官方渠道淘汰且区专班审核符合发放补贴标准的车辆中，已发放500元补贴的29辆，10月内经官方渠道淘汰处置申请补贴车辆因银行卡信息错误未发放成功再补发500元有3辆</w:t>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rPr>
              <w:t>11月内经官方渠道淘汰处置申请补贴车辆未发补贴再发放300元的有3辆</w:t>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rPr>
              <w:t>统一按照800元标准补正</w:t>
            </w:r>
            <w:r>
              <w:rPr>
                <w:rFonts w:hint="eastAsia" w:ascii="宋体" w:hAnsi="宋体" w:cs="宋体"/>
                <w:color w:val="auto"/>
                <w:kern w:val="0"/>
                <w:sz w:val="18"/>
                <w:szCs w:val="18"/>
                <w:highlight w:val="none"/>
                <w:lang w:eastAsia="zh-CN"/>
              </w:rPr>
              <w:t>。</w:t>
            </w:r>
          </w:p>
          <w:p>
            <w:pPr>
              <w:widowControl/>
              <w:numPr>
                <w:ilvl w:val="0"/>
                <w:numId w:val="0"/>
              </w:numPr>
              <w:spacing w:line="240" w:lineRule="exact"/>
              <w:jc w:val="both"/>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highlight w:val="none"/>
                <w:lang w:val="en-US" w:eastAsia="zh-CN"/>
              </w:rPr>
              <w:t>3.</w:t>
            </w:r>
            <w:r>
              <w:rPr>
                <w:rFonts w:hint="eastAsia" w:ascii="宋体" w:hAnsi="宋体" w:eastAsia="宋体" w:cs="宋体"/>
                <w:color w:val="auto"/>
                <w:kern w:val="0"/>
                <w:sz w:val="18"/>
                <w:szCs w:val="18"/>
                <w:lang w:eastAsia="zh-CN"/>
              </w:rPr>
              <w:t>经通州区违规电动三四轮车整治专班核实</w:t>
            </w:r>
            <w:r>
              <w:rPr>
                <w:rFonts w:hint="eastAsia" w:ascii="宋体" w:hAnsi="宋体" w:cs="宋体"/>
                <w:color w:val="auto"/>
                <w:kern w:val="0"/>
                <w:sz w:val="18"/>
                <w:szCs w:val="18"/>
                <w:lang w:eastAsia="zh-CN"/>
              </w:rPr>
              <w:t>，</w:t>
            </w:r>
            <w:r>
              <w:rPr>
                <w:rFonts w:hint="eastAsia" w:ascii="宋体" w:hAnsi="宋体" w:cs="宋体"/>
                <w:color w:val="auto"/>
                <w:kern w:val="0"/>
                <w:sz w:val="18"/>
                <w:szCs w:val="18"/>
                <w:highlight w:val="none"/>
                <w:lang w:val="en-US" w:eastAsia="zh-CN"/>
              </w:rPr>
              <w:t>2023年年底攻坚阶段违规电动三四轮车淘汰未发放奖励6辆。</w:t>
            </w:r>
          </w:p>
          <w:p>
            <w:pPr>
              <w:widowControl/>
              <w:spacing w:line="240" w:lineRule="exact"/>
              <w:jc w:val="both"/>
              <w:rPr>
                <w:rFonts w:ascii="宋体" w:hAnsi="宋体" w:cs="宋体"/>
                <w:color w:val="auto"/>
                <w:kern w:val="0"/>
                <w:sz w:val="18"/>
                <w:szCs w:val="18"/>
              </w:rPr>
            </w:pP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绩</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效</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指</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标</w:t>
            </w:r>
          </w:p>
        </w:tc>
        <w:tc>
          <w:tcPr>
            <w:tcW w:w="9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一级指标</w:t>
            </w:r>
          </w:p>
        </w:tc>
        <w:tc>
          <w:tcPr>
            <w:tcW w:w="108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二级指标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三级指标</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年度</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指标值</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实际</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完成值</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分值</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得分</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偏差原因分析及改进措施</w:t>
            </w:r>
          </w:p>
        </w:tc>
      </w:tr>
      <w:tr>
        <w:tblPrEx>
          <w:tblCellMar>
            <w:top w:w="0" w:type="dxa"/>
            <w:left w:w="108" w:type="dxa"/>
            <w:bottom w:w="0" w:type="dxa"/>
            <w:right w:w="108" w:type="dxa"/>
          </w:tblCellMar>
        </w:tblPrEx>
        <w:trPr>
          <w:trHeight w:val="77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restart"/>
            <w:tcBorders>
              <w:top w:val="nil"/>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产出指标</w:t>
            </w: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区专班核实</w:t>
            </w:r>
            <w:r>
              <w:rPr>
                <w:rFonts w:hint="eastAsia" w:ascii="宋体" w:hAnsi="宋体" w:cs="宋体"/>
                <w:color w:val="auto"/>
                <w:kern w:val="0"/>
                <w:sz w:val="18"/>
                <w:szCs w:val="18"/>
                <w:lang w:val="en-US" w:eastAsia="zh-CN"/>
              </w:rPr>
              <w:t>;</w:t>
            </w:r>
            <w:r>
              <w:rPr>
                <w:rFonts w:hint="eastAsia" w:ascii="宋体" w:hAnsi="宋体" w:cs="宋体"/>
                <w:color w:val="auto"/>
                <w:kern w:val="0"/>
                <w:sz w:val="18"/>
                <w:szCs w:val="18"/>
              </w:rPr>
              <w:t>经车兄弟平台淘汰符合奖励标准车辆</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100%</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20</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526"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质量指标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rPr>
              <w:t>确保经区专班核实的</w:t>
            </w:r>
            <w:r>
              <w:rPr>
                <w:rFonts w:hint="eastAsia" w:ascii="宋体" w:hAnsi="宋体" w:cs="宋体"/>
                <w:color w:val="auto"/>
                <w:kern w:val="0"/>
                <w:sz w:val="18"/>
                <w:szCs w:val="18"/>
                <w:highlight w:val="none"/>
              </w:rPr>
              <w:t>2023年9月份经官方渠道淘汰</w:t>
            </w:r>
            <w:r>
              <w:rPr>
                <w:rFonts w:hint="eastAsia" w:ascii="宋体" w:hAnsi="宋体" w:cs="宋体"/>
                <w:color w:val="auto"/>
                <w:kern w:val="0"/>
                <w:sz w:val="18"/>
                <w:szCs w:val="18"/>
                <w:highlight w:val="none"/>
                <w:lang w:eastAsia="zh-CN"/>
              </w:rPr>
              <w:t>未打款成功的</w:t>
            </w:r>
            <w:r>
              <w:rPr>
                <w:rFonts w:hint="eastAsia" w:ascii="宋体" w:hAnsi="宋体" w:cs="宋体"/>
                <w:color w:val="auto"/>
                <w:kern w:val="0"/>
                <w:sz w:val="18"/>
                <w:szCs w:val="18"/>
                <w:highlight w:val="none"/>
              </w:rPr>
              <w:t>12辆</w:t>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rPr>
              <w:t>2023年10月份内经官方渠道淘汰未打款成功</w:t>
            </w:r>
            <w:r>
              <w:rPr>
                <w:rFonts w:hint="eastAsia" w:ascii="宋体" w:hAnsi="宋体" w:cs="宋体"/>
                <w:color w:val="auto"/>
                <w:kern w:val="0"/>
                <w:sz w:val="18"/>
                <w:szCs w:val="18"/>
                <w:highlight w:val="none"/>
                <w:lang w:eastAsia="zh-CN"/>
              </w:rPr>
              <w:t>的</w:t>
            </w:r>
            <w:r>
              <w:rPr>
                <w:rFonts w:hint="eastAsia" w:ascii="宋体" w:hAnsi="宋体" w:cs="宋体"/>
                <w:color w:val="auto"/>
                <w:kern w:val="0"/>
                <w:sz w:val="18"/>
                <w:szCs w:val="18"/>
                <w:highlight w:val="none"/>
              </w:rPr>
              <w:t>3辆</w:t>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rPr>
              <w:t>2023年11月份经官方渠道淘汰未发放补贴</w:t>
            </w:r>
            <w:r>
              <w:rPr>
                <w:rFonts w:hint="eastAsia" w:ascii="宋体" w:hAnsi="宋体" w:cs="宋体"/>
                <w:color w:val="auto"/>
                <w:kern w:val="0"/>
                <w:sz w:val="18"/>
                <w:szCs w:val="18"/>
                <w:highlight w:val="none"/>
                <w:lang w:eastAsia="zh-CN"/>
              </w:rPr>
              <w:t>的</w:t>
            </w:r>
            <w:r>
              <w:rPr>
                <w:rFonts w:hint="eastAsia" w:ascii="宋体" w:hAnsi="宋体" w:cs="宋体"/>
                <w:color w:val="auto"/>
                <w:kern w:val="0"/>
                <w:sz w:val="18"/>
                <w:szCs w:val="18"/>
                <w:highlight w:val="none"/>
              </w:rPr>
              <w:t>3辆</w:t>
            </w:r>
            <w:r>
              <w:rPr>
                <w:rFonts w:hint="eastAsia" w:ascii="宋体" w:hAnsi="宋体" w:cs="宋体"/>
                <w:color w:val="auto"/>
                <w:kern w:val="0"/>
                <w:sz w:val="18"/>
                <w:szCs w:val="18"/>
                <w:highlight w:val="none"/>
                <w:lang w:eastAsia="zh-CN"/>
              </w:rPr>
              <w:t>，成功发放补贴。</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18</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18</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3</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3</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3816"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确保经区专班核实的</w:t>
            </w:r>
            <w:r>
              <w:rPr>
                <w:rFonts w:hint="eastAsia" w:ascii="宋体" w:hAnsi="宋体" w:cs="宋体"/>
                <w:color w:val="auto"/>
                <w:kern w:val="0"/>
                <w:sz w:val="18"/>
                <w:szCs w:val="18"/>
                <w:highlight w:val="none"/>
              </w:rPr>
              <w:t>2023年10月份内经官方渠道淘汰且区专班审核符合发放补贴标准的车辆中，已发放500元补贴的29辆，10月内经官方渠道淘汰处置申请补贴车辆因银行卡信息错误未发放成功再补发500元有3辆</w:t>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rPr>
              <w:t>11月内经官方渠道淘汰处置申请补贴车辆未发补贴再发放300元的有3辆</w:t>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rPr>
              <w:t>统一按照800元标准补正</w:t>
            </w:r>
            <w:r>
              <w:rPr>
                <w:rFonts w:hint="eastAsia" w:ascii="宋体" w:hAnsi="宋体" w:cs="宋体"/>
                <w:color w:val="auto"/>
                <w:kern w:val="0"/>
                <w:sz w:val="18"/>
                <w:szCs w:val="18"/>
                <w:highlight w:val="none"/>
                <w:lang w:eastAsia="zh-CN"/>
              </w:rPr>
              <w:t>。</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35</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35</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3</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3</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1296"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确保经区专班核实的</w:t>
            </w:r>
            <w:r>
              <w:rPr>
                <w:rFonts w:hint="eastAsia" w:ascii="宋体" w:hAnsi="宋体" w:cs="宋体"/>
                <w:color w:val="auto"/>
                <w:kern w:val="0"/>
                <w:sz w:val="18"/>
                <w:szCs w:val="18"/>
                <w:highlight w:val="none"/>
                <w:lang w:val="en-US" w:eastAsia="zh-CN"/>
              </w:rPr>
              <w:t>2023年年底攻坚阶段违规电动三四轮车淘汰未发放奖励6辆，</w:t>
            </w:r>
            <w:r>
              <w:rPr>
                <w:rFonts w:hint="eastAsia" w:ascii="宋体" w:hAnsi="宋体" w:cs="宋体"/>
                <w:color w:val="auto"/>
                <w:kern w:val="0"/>
                <w:sz w:val="18"/>
                <w:szCs w:val="18"/>
                <w:highlight w:val="none"/>
                <w:lang w:eastAsia="zh-CN"/>
              </w:rPr>
              <w:t>成功发放补贴。</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6</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6</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3</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3</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77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2024年底完成整治要求</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2024年</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2024年</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27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restart"/>
            <w:tcBorders>
              <w:top w:val="nil"/>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效益指标</w:t>
            </w: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社会成本指标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highlight w:val="none"/>
              </w:rPr>
              <w:t>经区专班核实认证，2023年9月份经官方渠道淘汰</w:t>
            </w:r>
            <w:r>
              <w:rPr>
                <w:rFonts w:hint="eastAsia" w:ascii="宋体" w:hAnsi="宋体" w:cs="宋体"/>
                <w:color w:val="auto"/>
                <w:kern w:val="0"/>
                <w:sz w:val="18"/>
                <w:szCs w:val="18"/>
                <w:highlight w:val="none"/>
                <w:lang w:eastAsia="zh-CN"/>
              </w:rPr>
              <w:t>未打款成功的</w:t>
            </w:r>
            <w:r>
              <w:rPr>
                <w:rFonts w:hint="eastAsia" w:ascii="宋体" w:hAnsi="宋体" w:cs="宋体"/>
                <w:color w:val="auto"/>
                <w:kern w:val="0"/>
                <w:sz w:val="18"/>
                <w:szCs w:val="18"/>
                <w:highlight w:val="none"/>
              </w:rPr>
              <w:t>12辆</w:t>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rPr>
              <w:t>2023年10月份内经官方渠道淘汰未打款成功</w:t>
            </w:r>
            <w:r>
              <w:rPr>
                <w:rFonts w:hint="eastAsia" w:ascii="宋体" w:hAnsi="宋体" w:cs="宋体"/>
                <w:color w:val="auto"/>
                <w:kern w:val="0"/>
                <w:sz w:val="18"/>
                <w:szCs w:val="18"/>
                <w:highlight w:val="none"/>
                <w:lang w:eastAsia="zh-CN"/>
              </w:rPr>
              <w:t>的</w:t>
            </w:r>
            <w:r>
              <w:rPr>
                <w:rFonts w:hint="eastAsia" w:ascii="宋体" w:hAnsi="宋体" w:cs="宋体"/>
                <w:color w:val="auto"/>
                <w:kern w:val="0"/>
                <w:sz w:val="18"/>
                <w:szCs w:val="18"/>
                <w:highlight w:val="none"/>
              </w:rPr>
              <w:t>3辆</w:t>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rPr>
              <w:t>2023年11月份经官方渠道淘汰未发放补贴</w:t>
            </w:r>
            <w:r>
              <w:rPr>
                <w:rFonts w:hint="eastAsia" w:ascii="宋体" w:hAnsi="宋体" w:cs="宋体"/>
                <w:color w:val="auto"/>
                <w:kern w:val="0"/>
                <w:sz w:val="18"/>
                <w:szCs w:val="18"/>
                <w:highlight w:val="none"/>
                <w:lang w:eastAsia="zh-CN"/>
              </w:rPr>
              <w:t>的</w:t>
            </w:r>
            <w:r>
              <w:rPr>
                <w:rFonts w:hint="eastAsia" w:ascii="宋体" w:hAnsi="宋体" w:cs="宋体"/>
                <w:color w:val="auto"/>
                <w:kern w:val="0"/>
                <w:sz w:val="18"/>
                <w:szCs w:val="18"/>
                <w:highlight w:val="none"/>
              </w:rPr>
              <w:t>3辆</w:t>
            </w:r>
            <w:r>
              <w:rPr>
                <w:rFonts w:hint="eastAsia" w:ascii="宋体" w:hAnsi="宋体" w:cs="宋体"/>
                <w:color w:val="auto"/>
                <w:kern w:val="0"/>
                <w:sz w:val="18"/>
                <w:szCs w:val="18"/>
                <w:highlight w:val="none"/>
                <w:lang w:eastAsia="zh-CN"/>
              </w:rPr>
              <w:t>。</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18</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18</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3</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3</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344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left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社会成本指标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rPr>
              <w:t>经区专班核实认证，2023年10月份内经官方渠道淘汰且区专班审核符合发放补贴标准的车辆中，已发放500元补贴的29辆，10月内经官方渠道淘汰处置申请补贴车辆因银行卡信息错误未发放成功再补发500元有3辆</w:t>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rPr>
              <w:t>11月内经官方渠道淘汰处置申请补贴车辆未发补贴再发放300元的有3辆</w:t>
            </w:r>
            <w:r>
              <w:rPr>
                <w:rFonts w:hint="eastAsia" w:ascii="宋体" w:hAnsi="宋体" w:cs="宋体"/>
                <w:color w:val="auto"/>
                <w:kern w:val="0"/>
                <w:sz w:val="18"/>
                <w:szCs w:val="18"/>
                <w:highlight w:val="none"/>
                <w:lang w:eastAsia="zh-CN"/>
              </w:rPr>
              <w:t>。</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35</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35</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3</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3</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11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left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社会成本指标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经区专班核实认证，</w:t>
            </w:r>
            <w:r>
              <w:rPr>
                <w:rFonts w:hint="eastAsia" w:ascii="宋体" w:hAnsi="宋体" w:cs="宋体"/>
                <w:color w:val="auto"/>
                <w:kern w:val="0"/>
                <w:sz w:val="18"/>
                <w:szCs w:val="18"/>
                <w:highlight w:val="none"/>
                <w:lang w:val="en-US" w:eastAsia="zh-CN"/>
              </w:rPr>
              <w:t>2023年年底攻坚阶段违规电动三四轮车淘汰未发放奖励6辆。</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6</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6</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3</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3</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158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社会效益</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rPr>
              <w:t>提升政府公信度，满足居民群众心理预期</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优良中低差</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eastAsia="zh-CN"/>
              </w:rPr>
              <w:t>优</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w:t>
            </w:r>
            <w:r>
              <w:rPr>
                <w:rFonts w:hint="eastAsia" w:ascii="宋体" w:hAnsi="宋体" w:cs="宋体"/>
                <w:color w:val="auto"/>
                <w:kern w:val="0"/>
                <w:sz w:val="18"/>
                <w:szCs w:val="18"/>
              </w:rPr>
              <w:t>5</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w:t>
            </w:r>
            <w:r>
              <w:rPr>
                <w:rFonts w:hint="eastAsia" w:ascii="宋体" w:hAnsi="宋体" w:cs="宋体"/>
                <w:color w:val="auto"/>
                <w:kern w:val="0"/>
                <w:sz w:val="18"/>
                <w:szCs w:val="18"/>
              </w:rPr>
              <w:t>5</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1581" w:hRule="exact"/>
          <w:jc w:val="center"/>
        </w:trPr>
        <w:tc>
          <w:tcPr>
            <w:tcW w:w="578" w:type="dxa"/>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可持续影响指标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引导居民群众配合落实好违规电动三四轮车整治政策，形成自觉抵制违规电动三四轮车的氛围</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优良中低差</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eastAsia="zh-CN"/>
              </w:rPr>
            </w:pPr>
            <w:r>
              <w:rPr>
                <w:rFonts w:hint="eastAsia" w:ascii="宋体" w:hAnsi="宋体" w:cs="宋体"/>
                <w:color w:val="auto"/>
                <w:kern w:val="0"/>
                <w:sz w:val="18"/>
                <w:szCs w:val="18"/>
                <w:lang w:eastAsia="zh-CN"/>
              </w:rPr>
              <w:t>优</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15</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15</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1581" w:hRule="exact"/>
          <w:jc w:val="center"/>
        </w:trPr>
        <w:tc>
          <w:tcPr>
            <w:tcW w:w="578" w:type="dxa"/>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tcBorders>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服务对象满意度指标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居民对电动三四轮车整治工作的情况评价</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优良中低差</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eastAsia="zh-CN"/>
              </w:rPr>
            </w:pPr>
            <w:r>
              <w:rPr>
                <w:rFonts w:hint="eastAsia" w:ascii="宋体" w:hAnsi="宋体" w:cs="宋体"/>
                <w:color w:val="auto"/>
                <w:kern w:val="0"/>
                <w:sz w:val="18"/>
                <w:szCs w:val="18"/>
                <w:lang w:eastAsia="zh-CN"/>
              </w:rPr>
              <w:t>优</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12</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12</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6420"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总分</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bl>
    <w:p>
      <w:pPr>
        <w:pStyle w:val="4"/>
        <w:ind w:left="0" w:leftChars="0" w:firstLine="0" w:firstLineChars="0"/>
        <w:rPr>
          <w:rFonts w:hint="eastAsia"/>
          <w:lang w:val="en-US" w:eastAsia="zh-CN"/>
        </w:rPr>
      </w:pPr>
    </w:p>
    <w:sectPr>
      <w:footerReference r:id="rId3" w:type="default"/>
      <w:pgSz w:w="11906" w:h="16838"/>
      <w:pgMar w:top="1440" w:right="1803" w:bottom="1440" w:left="1803" w:header="851" w:footer="992" w:gutter="0"/>
      <w:pgNumType w:fmt="decimal"/>
      <w:cols w:space="72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6"/>
                          </w:pPr>
                          <w:r>
                            <w:fldChar w:fldCharType="begin"/>
                          </w:r>
                          <w:r>
                            <w:instrText xml:space="preserve"> PAGE  \* MERGEFORMAT </w:instrText>
                          </w:r>
                          <w:r>
                            <w:fldChar w:fldCharType="separate"/>
                          </w:r>
                          <w:r>
                            <w:t>21</w:t>
                          </w:r>
                          <w:r>
                            <w:fldChar w:fldCharType="end"/>
                          </w:r>
                        </w:p>
                      </w:txbxContent>
                    </wps:txbx>
                    <wps:bodyPr vert="horz" wrap="none" lIns="0" tIns="0" rIns="0" bIns="0" anchor="t" anchorCtr="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LNJWO7QAAAABQEAAA8AAAAAAAAAAQAgAAAAIgAAAGRycy9kb3ducmV2&#10;LnhtbFBLAQIUABQAAAAIAIdO4kCEXiZ/ywEAAHkDAAAOAAAAAAAAAAEAIAAAAB8BAABkcnMvZTJv&#10;RG9jLnhtbFBLBQYAAAAABgAGAFkBAAB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DB0B63"/>
    <w:rsid w:val="01534994"/>
    <w:rsid w:val="092F2FC5"/>
    <w:rsid w:val="0C8165E0"/>
    <w:rsid w:val="0DD349FA"/>
    <w:rsid w:val="21496CF6"/>
    <w:rsid w:val="2CBF8107"/>
    <w:rsid w:val="2EB70209"/>
    <w:rsid w:val="30FF2B40"/>
    <w:rsid w:val="35D339CB"/>
    <w:rsid w:val="3B3C5884"/>
    <w:rsid w:val="3FEB007D"/>
    <w:rsid w:val="3FF79B31"/>
    <w:rsid w:val="4BA31FDB"/>
    <w:rsid w:val="4BFF9656"/>
    <w:rsid w:val="537B9DA3"/>
    <w:rsid w:val="5A474F5C"/>
    <w:rsid w:val="5DDF52D1"/>
    <w:rsid w:val="5EDB0B63"/>
    <w:rsid w:val="5F9F33EB"/>
    <w:rsid w:val="5FDF9C37"/>
    <w:rsid w:val="6AC7B1A3"/>
    <w:rsid w:val="6B77FB6F"/>
    <w:rsid w:val="6C4367BB"/>
    <w:rsid w:val="6EE9A86C"/>
    <w:rsid w:val="6FD43E60"/>
    <w:rsid w:val="763E871D"/>
    <w:rsid w:val="79EBFCAD"/>
    <w:rsid w:val="7BBD97BD"/>
    <w:rsid w:val="7BFE4A5B"/>
    <w:rsid w:val="7BFFEC6B"/>
    <w:rsid w:val="7DBF4FBB"/>
    <w:rsid w:val="7DCD9330"/>
    <w:rsid w:val="7DD758A1"/>
    <w:rsid w:val="7E562264"/>
    <w:rsid w:val="7E5EB5A1"/>
    <w:rsid w:val="7F2773F9"/>
    <w:rsid w:val="7F3909BD"/>
    <w:rsid w:val="7F7C49BA"/>
    <w:rsid w:val="7FBF70D0"/>
    <w:rsid w:val="7FF719AD"/>
    <w:rsid w:val="9BFD2FEF"/>
    <w:rsid w:val="9F9FF635"/>
    <w:rsid w:val="AFDDEFDC"/>
    <w:rsid w:val="B2DFF942"/>
    <w:rsid w:val="B5FC34C6"/>
    <w:rsid w:val="BAEFCA12"/>
    <w:rsid w:val="BD5D8A02"/>
    <w:rsid w:val="D4CEDA1A"/>
    <w:rsid w:val="D5A31DC0"/>
    <w:rsid w:val="D7FF1616"/>
    <w:rsid w:val="DF7D853B"/>
    <w:rsid w:val="DFE41766"/>
    <w:rsid w:val="DFEAA56F"/>
    <w:rsid w:val="E6922BE3"/>
    <w:rsid w:val="EB5BB730"/>
    <w:rsid w:val="EDFF835A"/>
    <w:rsid w:val="EEBB59E1"/>
    <w:rsid w:val="EFCF022D"/>
    <w:rsid w:val="F37B3AB2"/>
    <w:rsid w:val="F6FF4047"/>
    <w:rsid w:val="F7E365DE"/>
    <w:rsid w:val="FA5A168B"/>
    <w:rsid w:val="FD3F40DC"/>
    <w:rsid w:val="FEF8056D"/>
    <w:rsid w:val="FEF82787"/>
    <w:rsid w:val="FEFD3F0E"/>
    <w:rsid w:val="FF3F7A2C"/>
    <w:rsid w:val="FFBDEA55"/>
    <w:rsid w:val="FFFFCD5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index 9"/>
    <w:basedOn w:val="1"/>
    <w:next w:val="1"/>
    <w:qFormat/>
    <w:uiPriority w:val="0"/>
    <w:pPr>
      <w:spacing w:line="560" w:lineRule="exact"/>
      <w:ind w:left="0" w:leftChars="0" w:firstLine="880" w:firstLineChars="200"/>
    </w:pPr>
    <w:rPr>
      <w:rFonts w:ascii="Times New Roman" w:hAnsi="Times New Roman" w:eastAsia="宋体" w:cs="Times New Roman"/>
      <w:sz w:val="32"/>
    </w:rPr>
  </w:style>
  <w:style w:type="paragraph" w:styleId="4">
    <w:name w:val="Normal Indent"/>
    <w:basedOn w:val="1"/>
    <w:next w:val="1"/>
    <w:qFormat/>
    <w:uiPriority w:val="0"/>
    <w:pPr>
      <w:ind w:firstLine="200" w:firstLineChars="200"/>
    </w:pPr>
  </w:style>
  <w:style w:type="paragraph" w:styleId="5">
    <w:name w:val="Body Text"/>
    <w:basedOn w:val="1"/>
    <w:next w:val="1"/>
    <w:qFormat/>
    <w:uiPriority w:val="0"/>
    <w:pPr>
      <w:spacing w:before="0" w:after="140" w:line="276" w:lineRule="auto"/>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Hyperlink"/>
    <w:basedOn w:val="10"/>
    <w:qFormat/>
    <w:uiPriority w:val="0"/>
    <w:rPr>
      <w:color w:val="0000FF"/>
      <w:u w:val="single"/>
    </w:rPr>
  </w:style>
  <w:style w:type="character" w:customStyle="1" w:styleId="12">
    <w:name w:val="font81"/>
    <w:basedOn w:val="10"/>
    <w:qFormat/>
    <w:uiPriority w:val="0"/>
    <w:rPr>
      <w:rFonts w:hint="eastAsia" w:ascii="宋体" w:hAnsi="宋体" w:eastAsia="宋体" w:cs="宋体"/>
      <w:color w:val="000000"/>
      <w:sz w:val="20"/>
      <w:szCs w:val="20"/>
      <w:u w:val="none"/>
    </w:rPr>
  </w:style>
  <w:style w:type="character" w:customStyle="1" w:styleId="13">
    <w:name w:val="font11"/>
    <w:basedOn w:val="10"/>
    <w:qFormat/>
    <w:uiPriority w:val="0"/>
    <w:rPr>
      <w:rFonts w:hint="eastAsia" w:ascii="仿宋_GB2312" w:eastAsia="仿宋_GB2312" w:cs="仿宋_GB2312"/>
      <w:color w:val="000000"/>
      <w:sz w:val="24"/>
      <w:szCs w:val="24"/>
      <w:u w:val="none"/>
    </w:rPr>
  </w:style>
  <w:style w:type="character" w:customStyle="1" w:styleId="14">
    <w:name w:val="font61"/>
    <w:basedOn w:val="10"/>
    <w:qFormat/>
    <w:uiPriority w:val="0"/>
    <w:rPr>
      <w:rFonts w:hint="eastAsia" w:ascii="仿宋_GB2312" w:eastAsia="仿宋_GB2312" w:cs="仿宋_GB2312"/>
      <w:color w:val="000000"/>
      <w:sz w:val="24"/>
      <w:szCs w:val="24"/>
      <w:u w:val="none"/>
    </w:rPr>
  </w:style>
  <w:style w:type="character" w:customStyle="1" w:styleId="15">
    <w:name w:val="font71"/>
    <w:basedOn w:val="10"/>
    <w:qFormat/>
    <w:uiPriority w:val="0"/>
    <w:rPr>
      <w:rFonts w:hint="eastAsia" w:ascii="宋体" w:hAnsi="宋体" w:eastAsia="宋体" w:cs="宋体"/>
      <w:color w:val="FF0000"/>
      <w:sz w:val="20"/>
      <w:szCs w:val="20"/>
      <w:u w:val="none"/>
    </w:rPr>
  </w:style>
  <w:style w:type="paragraph" w:customStyle="1" w:styleId="16">
    <w:name w:val="表格"/>
    <w:basedOn w:val="1"/>
    <w:qFormat/>
    <w:uiPriority w:val="0"/>
    <w:pPr>
      <w:autoSpaceDN w:val="0"/>
      <w:jc w:val="center"/>
    </w:pPr>
    <w:rPr>
      <w:rFonts w:ascii="Verdana" w:hAnsi="Verdana" w:eastAsia="仿宋_GB2312" w:cs="Times New Roman"/>
      <w:bCs/>
      <w:sz w:val="24"/>
      <w:szCs w:val="21"/>
      <w:lang w:eastAsia="en-US"/>
    </w:rPr>
  </w:style>
  <w:style w:type="paragraph" w:customStyle="1" w:styleId="17">
    <w:name w:val="首行缩进"/>
    <w:basedOn w:val="1"/>
    <w:qFormat/>
    <w:uiPriority w:val="0"/>
    <w:pPr>
      <w:ind w:firstLine="480"/>
    </w:pPr>
    <w:rPr>
      <w:szCs w:val="20"/>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1565</Words>
  <Characters>1772</Characters>
  <Lines>0</Lines>
  <Paragraphs>0</Paragraphs>
  <TotalTime>1</TotalTime>
  <ScaleCrop>false</ScaleCrop>
  <LinksUpToDate>false</LinksUpToDate>
  <CharactersWithSpaces>1796</CharactersWithSpaces>
  <Application>WPS Office_11.8.2.8950_F1E327BC-269C-435d-A152-05C5408002CA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2024-03-14T11:08:00Z</dcterms:created>
  <dc:creator>user</dc:creator>
  <cp:lastModifiedBy>TZJKS2020-01</cp:lastModifiedBy>
  <cp:lastPrinted>2024-03-31T17:59:00Z</cp:lastPrinted>
  <dcterms:modified xsi:type="dcterms:W3CDTF">2025-09-10T08:52:32Z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2052-11.8.2.8950</vt:lpwstr>
  </property>
  <property fmtid="{D5CDD505-2E9C-101B-9397-08002B2CF9AE}" pid="3" name="ICV">
    <vt:lpwstr>9A1FB32D3A5042479FBF795F7BF886EC_12</vt:lpwstr>
  </property>
  <property fmtid="{D5CDD505-2E9C-101B-9397-08002B2CF9AE}" pid="4" name="KSOTemplateDocerSaveRecord">
    <vt:lpwstr>eyJoZGlkIjoiN2ZkN2NlMDJlM2JmOTgwMTU4MTUxMjAzZmNlY2Q2ZTAiLCJ1c2VySWQiOiIyOTkxOTY2MjQifQ==</vt:lpwstr>
  </property>
</Properties>
</file>