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2-2</w:t>
      </w:r>
    </w:p>
    <w:tbl>
      <w:tblPr>
        <w:tblStyle w:val="14"/>
        <w:tblW w:w="8928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55"/>
        <w:gridCol w:w="1051"/>
        <w:gridCol w:w="967"/>
        <w:gridCol w:w="958"/>
        <w:gridCol w:w="156"/>
        <w:gridCol w:w="1107"/>
        <w:gridCol w:w="848"/>
        <w:gridCol w:w="202"/>
        <w:gridCol w:w="355"/>
        <w:gridCol w:w="416"/>
        <w:gridCol w:w="141"/>
        <w:gridCol w:w="695"/>
        <w:gridCol w:w="699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5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bookmarkStart w:id="0" w:name="OLE_LINK9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通州区中小微企业智慧服务平台运营服务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北京市通州区经济和信息化局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北京市通州区经济和信息化局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项目负责人</w:t>
            </w: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3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年初     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174.83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174.83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174.83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174.83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174.83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174.83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平台为1000家以上的中小微企业提供政策信息服务和咨询服务，为200家次以上的中小微企业提供政策宣贯、培训等服务，为400家次以上的中小微企业提供精准的财税、法律、数字化赋能、招聘、融资对接等服务。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平台为1000家以上的中小微企业提供政策信息服务和咨询服务，为200家次以上的中小微企业提供政策宣贯、培训等服务，为400家次以上的中小微企业提供精准的财税、法律、数字化赋能、招聘、融资对接等服务。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标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指标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指标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线上服务覆盖企业数量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≥1000家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7338家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线下服务企业家（次）数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≥600家（次）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666家次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指标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"/>
              </w:rPr>
              <w:t>控制在预算内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≤174.83万元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174.83万元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指标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服务对象满意度指标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企业满意度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≥90%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93.75%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tbl>
      <w:tblPr>
        <w:tblStyle w:val="14"/>
        <w:tblW w:w="10960" w:type="dxa"/>
        <w:jc w:val="center"/>
        <w:tblInd w:w="-121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578"/>
        <w:gridCol w:w="969"/>
        <w:gridCol w:w="1086"/>
        <w:gridCol w:w="718"/>
        <w:gridCol w:w="760"/>
        <w:gridCol w:w="142"/>
        <w:gridCol w:w="212"/>
        <w:gridCol w:w="169"/>
        <w:gridCol w:w="4"/>
        <w:gridCol w:w="465"/>
        <w:gridCol w:w="469"/>
        <w:gridCol w:w="524"/>
        <w:gridCol w:w="324"/>
        <w:gridCol w:w="202"/>
        <w:gridCol w:w="355"/>
        <w:gridCol w:w="416"/>
        <w:gridCol w:w="141"/>
        <w:gridCol w:w="695"/>
        <w:gridCol w:w="699"/>
        <w:gridCol w:w="813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440" w:hRule="atLeast"/>
          <w:jc w:val="center"/>
        </w:trPr>
        <w:tc>
          <w:tcPr>
            <w:tcW w:w="8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194" w:hRule="atLeast"/>
          <w:jc w:val="center"/>
        </w:trPr>
        <w:tc>
          <w:tcPr>
            <w:tcW w:w="8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38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2024年度</w:t>
            </w:r>
            <w:bookmarkStart w:id="1" w:name="OLE_LINK8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通州信用体系建设项</w:t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北京市通州区经济和信息化局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8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北京市通州区经济和信息化局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项目负责人</w:t>
            </w: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8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559" w:hRule="atLeast"/>
          <w:jc w:val="center"/>
        </w:trPr>
        <w:tc>
          <w:tcPr>
            <w:tcW w:w="15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年初     预算数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     预算数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     执行数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年度资金总额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8.85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其中：当年财政拨款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8.85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8.85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上年结转资金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其他资金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年度总体目标</w:t>
            </w:r>
          </w:p>
        </w:tc>
        <w:tc>
          <w:tcPr>
            <w:tcW w:w="45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预期目标</w:t>
            </w:r>
          </w:p>
        </w:tc>
        <w:tc>
          <w:tcPr>
            <w:tcW w:w="38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68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完成政府门户网站信用通州栏目安全稳定运行，印刷6千册信用宣传手册。</w:t>
            </w:r>
          </w:p>
        </w:tc>
        <w:tc>
          <w:tcPr>
            <w:tcW w:w="38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完成政府门户网站信用通州栏目安全稳定运行，印刷6千册信用宣传手册。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517" w:hRule="atLeas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指标值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530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信用通州网站专栏内容维护技术支持。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不低于1千条信息，栏目设计调整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4.05万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29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印刷宣传材料6千册。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4.8万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进度指标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质量数量合格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符合制度规定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纸质质量合格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履行相关程序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启动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4年6月前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时效指标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完成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4年1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月前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验收结算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2024年1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月30日前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效益指标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信用通州网站专栏内容维护技术支持。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印刷宣传材料6千册。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部门绩效管理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有所增强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绩效评价结果应用程度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得到提升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服务对象满意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满意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社会效益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信用通州网站专栏内容维护技术支持。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受众3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万人，不低于3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万条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印刷宣传材料6千册。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1万册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质量数量合格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符合制度规定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进度指标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纸质质量合格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履行相关程序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启动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年6月前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完成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2024年1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月前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可持续影响指标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验收结算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2024年1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月30日前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信用通州网站专栏内容维护技术支持。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万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印刷宣传材料6千册。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万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服务对象满意度指标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效益指标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材料6千册。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3万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部门绩效管理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有所增强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绩效评价结果应用程度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得到提升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64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440" w:hRule="atLeast"/>
          <w:jc w:val="center"/>
        </w:trPr>
        <w:tc>
          <w:tcPr>
            <w:tcW w:w="8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440" w:hRule="atLeast"/>
          <w:jc w:val="center"/>
        </w:trPr>
        <w:tc>
          <w:tcPr>
            <w:tcW w:w="8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194" w:hRule="atLeast"/>
          <w:jc w:val="center"/>
        </w:trPr>
        <w:tc>
          <w:tcPr>
            <w:tcW w:w="8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38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产业疏解提质认定、评审服务（疏解提质）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4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北京市通州区经济和信息化局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项目负责人</w:t>
            </w:r>
          </w:p>
        </w:tc>
        <w:tc>
          <w:tcPr>
            <w:tcW w:w="4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559" w:hRule="atLeast"/>
          <w:jc w:val="center"/>
        </w:trPr>
        <w:tc>
          <w:tcPr>
            <w:tcW w:w="15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年初     预算数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     预算数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年度资金总额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其中：当年财政拨款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15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其他资金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年度总体目标</w:t>
            </w:r>
          </w:p>
        </w:tc>
        <w:tc>
          <w:tcPr>
            <w:tcW w:w="49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预期目标</w:t>
            </w:r>
          </w:p>
        </w:tc>
        <w:tc>
          <w:tcPr>
            <w:tcW w:w="33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915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517" w:hRule="atLeas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指标值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696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指标1：一般制造业疏解提质项目审核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1236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指标2：绿色智能化改造提升项目申报资金材料进行评审和实地核验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通过政策引导和绿色化培训引导了更多企业参与绿色低碳发展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95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指标3：对往年疏解的企业进行“回头看”工作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95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指标4：开展CCUS（碳捕获利用和存储）新能源等未来产业的相关研究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95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指标5：举办3场企业绿色化节能培训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74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指标1：通过验收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65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时效指标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指标1:11月底前完成全部任务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11月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606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指标1：不超过预算金额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11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社会效益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指标1：引导不符合城市副中心功能定位的制造业企业疏解外迁，支持现有企业改造提升。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122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可持续影响指标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指标1：持续引导不符合城市副中心功能定位的制造业企业疏解外迁，支持现有企业改造提升。</w:t>
            </w:r>
          </w:p>
        </w:tc>
        <w:tc>
          <w:tcPr>
            <w:tcW w:w="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486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服务对象满意度指标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指标1：服务对象满意度</w:t>
            </w:r>
          </w:p>
        </w:tc>
        <w:tc>
          <w:tcPr>
            <w:tcW w:w="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atLeast"/>
          <w:jc w:val="center"/>
        </w:trPr>
        <w:tc>
          <w:tcPr>
            <w:tcW w:w="64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09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tbl>
            <w:tblPr>
              <w:tblStyle w:val="14"/>
              <w:tblW w:w="8933" w:type="dxa"/>
              <w:jc w:val="center"/>
              <w:tblInd w:w="0" w:type="dxa"/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578"/>
              <w:gridCol w:w="969"/>
              <w:gridCol w:w="1086"/>
              <w:gridCol w:w="718"/>
              <w:gridCol w:w="1114"/>
              <w:gridCol w:w="169"/>
              <w:gridCol w:w="938"/>
              <w:gridCol w:w="848"/>
              <w:gridCol w:w="202"/>
              <w:gridCol w:w="355"/>
              <w:gridCol w:w="416"/>
              <w:gridCol w:w="141"/>
              <w:gridCol w:w="695"/>
              <w:gridCol w:w="694"/>
              <w:gridCol w:w="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40" w:hRule="atLeast"/>
                <w:jc w:val="center"/>
              </w:trPr>
              <w:tc>
                <w:tcPr>
                  <w:tcW w:w="8928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32"/>
                      <w:szCs w:val="32"/>
                      <w:lang w:val="en-US" w:eastAsia="zh-CN" w:bidi="ar"/>
                    </w:rPr>
                    <w:t>项目支出绩效自评表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94" w:hRule="atLeast"/>
                <w:jc w:val="center"/>
              </w:trPr>
              <w:tc>
                <w:tcPr>
                  <w:tcW w:w="8928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（ 2024年度）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7381" w:type="dxa"/>
                  <w:gridSpan w:val="1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产业疏解提质认定、评审服务（</w: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评审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主管部门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通州区经济和信息化局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实施单位</w:t>
                  </w:r>
                </w:p>
              </w:tc>
              <w:tc>
                <w:tcPr>
                  <w:tcW w:w="2306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通州区经济和信息化局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306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59" w:hRule="atLeast"/>
                <w:jc w:val="center"/>
              </w:trPr>
              <w:tc>
                <w:tcPr>
                  <w:tcW w:w="1547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项目资金（万元）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年初     预算数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全年     预算数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全年     执行数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分值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执行率</w:t>
                  </w: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得分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both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年度资金总额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80%</w:t>
                  </w: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其中：当年财政拨款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   上年结转资金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其他资金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年度总体目标</w:t>
                  </w:r>
                </w:p>
              </w:tc>
              <w:tc>
                <w:tcPr>
                  <w:tcW w:w="4994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预期目标</w:t>
                  </w:r>
                </w:p>
              </w:tc>
              <w:tc>
                <w:tcPr>
                  <w:tcW w:w="3356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实际完成情况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1418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对“关于北京城市副中心先进制造业产业高质量发展的实施细则”政策进行兑现，加快推进北京城市副中心先进制造业高端化、集群化、融合化、低碳化发展。</w:t>
                  </w:r>
                </w:p>
              </w:tc>
              <w:tc>
                <w:tcPr>
                  <w:tcW w:w="3356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完成“关于北京城市副中心先进制造业产业高质量发展的实施细则”政策的发布，推进北京城市副中心先进制造业高端化、集群化、融合化、低碳化发展。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17" w:hRule="atLeast"/>
                <w:jc w:val="center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绩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标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一级指标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年度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指标值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实际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完成值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分值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得分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偏差原因分析及改进措施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929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产出指标</w:t>
                  </w:r>
                </w:p>
              </w:tc>
              <w:tc>
                <w:tcPr>
                  <w:tcW w:w="108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指标1：征集项目数量</w:t>
                  </w: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100个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116个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指标1：评审结论准确性</w:t>
                  </w: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95%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100%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904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指标1：完成专业服务机构遴选、立项和兑现，及时完成项目评审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365天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365天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16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指标1：项目预算控制数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30万元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30万元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1041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效益指标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经济效益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指标1：推进北京城市副中心先进制造业产业更新和高质量发展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项目未能全部兑现，后续加强政策研究，确保政策合规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1016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社会效益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指标1：推进北京城市副中心先进制造业高端化、集群化、融合化、低碳化发展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项目未能全部兑现，后续加强政策研究，确保政策合规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828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满意度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108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服务对象满意度指标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指标1：企业对专业服务机构的满意度</w:t>
                  </w: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90%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资金未兑现，无满意度调查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6420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tbl>
            <w:tblPr>
              <w:tblStyle w:val="14"/>
              <w:tblW w:w="8933" w:type="dxa"/>
              <w:jc w:val="center"/>
              <w:tblInd w:w="0" w:type="dxa"/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578"/>
              <w:gridCol w:w="969"/>
              <w:gridCol w:w="1086"/>
              <w:gridCol w:w="718"/>
              <w:gridCol w:w="1114"/>
              <w:gridCol w:w="169"/>
              <w:gridCol w:w="938"/>
              <w:gridCol w:w="848"/>
              <w:gridCol w:w="202"/>
              <w:gridCol w:w="355"/>
              <w:gridCol w:w="416"/>
              <w:gridCol w:w="141"/>
              <w:gridCol w:w="695"/>
              <w:gridCol w:w="694"/>
              <w:gridCol w:w="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40" w:hRule="atLeast"/>
                <w:jc w:val="center"/>
              </w:trPr>
              <w:tc>
                <w:tcPr>
                  <w:tcW w:w="8928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32"/>
                      <w:szCs w:val="32"/>
                      <w:lang w:val="en-US" w:eastAsia="zh-CN" w:bidi="ar"/>
                    </w:rPr>
                    <w:t>项目支出绩效自评表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94" w:hRule="atLeast"/>
                <w:jc w:val="center"/>
              </w:trPr>
              <w:tc>
                <w:tcPr>
                  <w:tcW w:w="8928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（ 2023年度）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7381" w:type="dxa"/>
                  <w:gridSpan w:val="1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高精尖产业发展项目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主管部门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通州区经济和信息化局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实施单位</w:t>
                  </w:r>
                </w:p>
              </w:tc>
              <w:tc>
                <w:tcPr>
                  <w:tcW w:w="2306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通州区经济和信息化局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306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59" w:hRule="atLeast"/>
                <w:jc w:val="center"/>
              </w:trPr>
              <w:tc>
                <w:tcPr>
                  <w:tcW w:w="1547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项目资金（万元）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年初     预算数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全年     预算数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全年     执行数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分值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执行率</w:t>
                  </w: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得分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both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年度资金总额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3030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3030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3030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100%</w:t>
                  </w: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其中：当年财政拨款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3030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3030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3030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   上年结转资金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其他资金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年度总体目标</w:t>
                  </w:r>
                </w:p>
              </w:tc>
              <w:tc>
                <w:tcPr>
                  <w:tcW w:w="4994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预期目标</w:t>
                  </w:r>
                </w:p>
              </w:tc>
              <w:tc>
                <w:tcPr>
                  <w:tcW w:w="3356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实际完成情况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1966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对《通州区高精尖产业发展资金管理办法（试行）实施细则（</w:t>
                  </w:r>
                  <w:r>
                    <w:rPr>
                      <w:rFonts w:hint="default" w:ascii="仿宋_GB2312" w:hAnsi="Times New Roman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2023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版）》、《关于进一步促进北京城市副中心“专精特新”企业高质量发展的若干措施》政策进行兑现，加快推进北京城市副中心高精尖产业高质量发展。</w:t>
                  </w:r>
                </w:p>
              </w:tc>
              <w:tc>
                <w:tcPr>
                  <w:tcW w:w="3356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完成“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"/>
                    </w:rPr>
                    <w:t>《通州区高精尖产业发展资金管理办法（试行）实施细则（</w:t>
                  </w:r>
                  <w:r>
                    <w:rPr>
                      <w:rFonts w:hint="default" w:ascii="仿宋_GB2312" w:hAnsi="Times New Roman" w:eastAsia="仿宋_GB2312" w:cs="仿宋_GB2312"/>
                      <w:color w:val="000000"/>
                      <w:kern w:val="2"/>
                      <w:sz w:val="21"/>
                      <w:szCs w:val="21"/>
                      <w:lang w:val="en-US" w:eastAsia="zh-CN" w:bidi="ar"/>
                    </w:rPr>
                    <w:t>2023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"/>
                    </w:rPr>
                    <w:t>版）》、《关于进一步促进北京城市副中心“专精特新”企业高质量发展的若干措施》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政策的发布和兑现，推进北京城市副中心高精尖产业高质量发展。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17" w:hRule="atLeast"/>
                <w:jc w:val="center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绩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标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一级指标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年度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指标值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实际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完成值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分值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得分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偏差原因分析及改进措施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929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产出指标</w:t>
                  </w:r>
                </w:p>
              </w:tc>
              <w:tc>
                <w:tcPr>
                  <w:tcW w:w="108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指标1：征集项目数量</w:t>
                  </w: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150个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184个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指标1：评审结论准确性</w:t>
                  </w: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95%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100%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904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指标1：完成专业服务机构遴选、立项和兑现，及时完成项目评审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365天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365天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16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指标1：项目预算控制数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3030万元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3030万元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1041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效益指标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经济效益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指标1：推进北京城市副中心高精尖产业产业更新和高质量发展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经济效益推动效果需要后续持续观察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1016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社会效益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指标1：推进北京城市副中心高精尖产业高端化、集群化、融合化、低碳化发展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高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社会效益推动效果需要后续持续观察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828" w:hRule="atLeas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满意度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108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服务对象满意度指标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指标1：企业对专业服务机构的满意度</w:t>
                  </w: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90%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100%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1" w:hRule="atLeast"/>
                <w:jc w:val="center"/>
              </w:trPr>
              <w:tc>
                <w:tcPr>
                  <w:tcW w:w="6420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tbl>
            <w:tblPr>
              <w:tblStyle w:val="14"/>
              <w:tblW w:w="8928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8"/>
              <w:gridCol w:w="969"/>
              <w:gridCol w:w="1086"/>
              <w:gridCol w:w="718"/>
              <w:gridCol w:w="1114"/>
              <w:gridCol w:w="169"/>
              <w:gridCol w:w="938"/>
              <w:gridCol w:w="848"/>
              <w:gridCol w:w="202"/>
              <w:gridCol w:w="355"/>
              <w:gridCol w:w="416"/>
              <w:gridCol w:w="141"/>
              <w:gridCol w:w="695"/>
              <w:gridCol w:w="699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exact"/>
                <w:jc w:val="center"/>
              </w:trPr>
              <w:tc>
                <w:tcPr>
                  <w:tcW w:w="892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exact"/>
                    <w:ind w:left="0" w:right="0"/>
                    <w:jc w:val="center"/>
                    <w:rPr>
                      <w:rFonts w:hint="default" w:ascii="宋体" w:hAnsi="宋体" w:cs="宋体"/>
                      <w:b/>
                      <w:bCs/>
                      <w:color w:val="auto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kern w:val="0"/>
                      <w:sz w:val="32"/>
                      <w:szCs w:val="32"/>
                    </w:rPr>
                    <w:t>项目支出绩效自评表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  <w:jc w:val="center"/>
              </w:trPr>
              <w:tc>
                <w:tcPr>
                  <w:tcW w:w="892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2"/>
                      <w:lang w:val="en-US" w:eastAsia="zh-CN"/>
                    </w:rPr>
                    <w:t>2024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2"/>
                    </w:rPr>
                    <w:t>年度）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7381" w:type="dxa"/>
                  <w:gridSpan w:val="1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副中心智慧交通管理平台项目服务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exac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主管部门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eastAsia="zh-CN"/>
                    </w:rPr>
                    <w:t>北京市通州区经济和信息化局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实施单位</w:t>
                  </w:r>
                </w:p>
              </w:tc>
              <w:tc>
                <w:tcPr>
                  <w:tcW w:w="2306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eastAsia="zh-CN"/>
                    </w:rPr>
                    <w:t>北京市通州区经济和信息化局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54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项目</w:t>
                  </w:r>
                  <w:r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  <w:t>负责人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2306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559" w:hRule="exact"/>
                <w:jc w:val="center"/>
              </w:trPr>
              <w:tc>
                <w:tcPr>
                  <w:tcW w:w="1547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left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项目资金（万元）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年初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预算数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全年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预算数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全年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执行数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分值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执行率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得分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年度资金总额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其中：当年财政拨款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 xml:space="preserve">      上年结转资金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547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 xml:space="preserve">  其他资金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—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年度总体目标</w:t>
                  </w:r>
                </w:p>
              </w:tc>
              <w:tc>
                <w:tcPr>
                  <w:tcW w:w="4994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预期目标</w:t>
                  </w:r>
                </w:p>
              </w:tc>
              <w:tc>
                <w:tcPr>
                  <w:tcW w:w="3356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实际完成情况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5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994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完成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副中心智慧交通管理平台一条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10G数据电路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和一条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eastAsia="zh-CN"/>
                    </w:rPr>
                    <w:t>6芯互联光缆；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2.完成副中心智慧交通管理平台等保测评；3.完成副中心智慧交通管理平台密码测评。</w:t>
                  </w:r>
                </w:p>
              </w:tc>
              <w:tc>
                <w:tcPr>
                  <w:tcW w:w="3356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副中心智慧交通管理平台完成一条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10G数据电路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和一条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eastAsia="zh-CN"/>
                    </w:rPr>
                    <w:t>6芯互联光缆，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运行状况良好；完成等保测评并出具测评报告；完成密码测评并出具测评报告。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exact"/>
                <w:jc w:val="center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绩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效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指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标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一级指标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二级指标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三级指标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年度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指标值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实际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完成值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分值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得分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偏差原因分析及改进措施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产出指标</w:t>
                  </w:r>
                </w:p>
              </w:tc>
              <w:tc>
                <w:tcPr>
                  <w:tcW w:w="108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数量指标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等保测评报告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291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密码测评报告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291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质量指标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链路正常运行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" w:eastAsia="zh-CN"/>
                    </w:rPr>
                    <w:t>≥99%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" w:eastAsia="zh-CN"/>
                    </w:rPr>
                    <w:t>99%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291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故障响应率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" w:eastAsia="zh-CN"/>
                    </w:rPr>
                    <w:t>≥99%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" w:eastAsia="zh-CN"/>
                    </w:rPr>
                    <w:t>99%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291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成本指标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控制在预算内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531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效益指标</w:t>
                  </w:r>
                </w:p>
              </w:tc>
              <w:tc>
                <w:tcPr>
                  <w:tcW w:w="108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可持续影响指标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服务开展情况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保持链路畅通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达成预期指标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8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567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服务开展情况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保障平台安全运行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达成预期指标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18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819" w:hRule="exact"/>
                <w:jc w:val="center"/>
              </w:trPr>
              <w:tc>
                <w:tcPr>
                  <w:tcW w:w="57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满意度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指标</w:t>
                  </w:r>
                </w:p>
              </w:tc>
              <w:tc>
                <w:tcPr>
                  <w:tcW w:w="10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服务对象满意度指标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left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</w:rPr>
                    <w:t>服务对象满意度</w:t>
                  </w: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90%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90%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291" w:hRule="exact"/>
                <w:jc w:val="center"/>
              </w:trPr>
              <w:tc>
                <w:tcPr>
                  <w:tcW w:w="6420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总分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96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ascii="宋体" w:hAnsi="宋体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440" w:hRule="exact"/>
          <w:jc w:val="center"/>
        </w:trPr>
        <w:tc>
          <w:tcPr>
            <w:tcW w:w="8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194" w:hRule="atLeast"/>
          <w:jc w:val="center"/>
        </w:trPr>
        <w:tc>
          <w:tcPr>
            <w:tcW w:w="8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信息化项目专家费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626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北京市通州区经济和信息化局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北京市通州区经济和信息化局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102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按照《关于印发通州区政府投资信息化项目管理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办法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的通知》（通政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〔20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号），由我局负责通州区信息化项目的前置评审，主要对项目申报书（可行性研究报告、设计方案）进行技术评审。</w:t>
            </w:r>
          </w:p>
        </w:tc>
        <w:tc>
          <w:tcPr>
            <w:tcW w:w="33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组织召开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4次专家评审会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专家评审会次数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4次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信息化项目的评审工作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63个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4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评审完成时间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2024.12.31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2024.3.8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50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年度专家评审费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2.0万元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6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避免信息化项目重复建设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有所增强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达成预期指标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6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资源整合与利用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得到提升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达成预期指标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90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相关单位对评审会满意度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19" w:type="dxa"/>
          <w:wAfter w:w="813" w:type="dxa"/>
          <w:trHeight w:val="291" w:hRule="exact"/>
          <w:jc w:val="center"/>
        </w:trPr>
        <w:tc>
          <w:tcPr>
            <w:tcW w:w="64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</w:p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</w:p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</w:p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</w:p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</w:p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</w:p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</w:p>
    <w:tbl>
      <w:tblPr>
        <w:tblStyle w:val="14"/>
        <w:tblW w:w="89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14"/>
        <w:gridCol w:w="855"/>
        <w:gridCol w:w="1204"/>
        <w:gridCol w:w="941"/>
        <w:gridCol w:w="1215"/>
        <w:gridCol w:w="885"/>
        <w:gridCol w:w="230"/>
        <w:gridCol w:w="355"/>
        <w:gridCol w:w="416"/>
        <w:gridCol w:w="141"/>
        <w:gridCol w:w="695"/>
        <w:gridCol w:w="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4"/>
              <w:tblW w:w="7349" w:type="dxa"/>
              <w:tblCellSpacing w:w="0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255" w:type="dxa"/>
              </w:tblCellMar>
            </w:tblPr>
            <w:tblGrid>
              <w:gridCol w:w="657"/>
              <w:gridCol w:w="6692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255" w:type="dxa"/>
                </w:tblCellMar>
              </w:tblPrEx>
              <w:trPr>
                <w:tblCellSpacing w:w="0" w:type="dxa"/>
              </w:trPr>
              <w:tc>
                <w:tcPr>
                  <w:tcW w:w="65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/>
                      <w:sz w:val="24"/>
                      <w:szCs w:val="24"/>
                    </w:rPr>
                  </w:pPr>
                  <w:bookmarkStart w:id="3" w:name="OLE_LINK11" w:colFirst="0" w:colLast="1"/>
                </w:p>
              </w:tc>
              <w:tc>
                <w:tcPr>
                  <w:tcW w:w="669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数字经济产业招商服务</w:t>
                  </w:r>
                </w:p>
              </w:tc>
            </w:tr>
            <w:bookmarkEnd w:id="3"/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经信局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2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25.86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1.53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25.86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1.53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全年完成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外出招商引资工作，吸引企业落地投资。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两次活动均按计划完成。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调研企业数量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高精尖领域占比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大于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活动按时完成率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预算执行率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小于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未超预算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引资规模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大于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2亿元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5亿元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企业落地数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大于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1家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活动参与满意度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大于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85%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填报注意事项：</w:t>
      </w:r>
    </w:p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评价方法说明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采取打分的形式，满分为100分。单位自评指标的权重由各单位根据项目实际情况确定。原则上预算执行率和一级指标权重统一设置为：预算执行率10%、产出指标50%、效益指标30%、服务对象满意度指标10%。如有特殊情况，一级指标权重可做适当调整。二、三级指标应当根据指标重要程度、项目实施阶段等因素综合确定，准确反映项目的产出和效益。</w:t>
      </w:r>
    </w:p>
    <w:p>
      <w:pPr>
        <w:widowControl/>
        <w:numPr>
          <w:ilvl w:val="0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评价的得分评定方法分为两类：一是定量指标。与年初指标值相比，完成指标值的，记该指标所赋全部分值；如果是由于年初指标值设定明显偏低造成的，要按照偏离度适度调减分值；未完成指标值的，按照完成值在指标值中所占比例记分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得分一档最高不能超过该指标分值上限。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二是定性指标。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highlight w:val="none"/>
        </w:rPr>
        <w:t>定性指标得分按照以下方法评定：根据指标完成情况分为达成年度指标、部分达成年度指标且有一定效果、未达成年度指标且效果较差3档，分别按照该指标对应分值区间100%-80%（含80%）、80-60%（含60%）、60%-0%合理确定分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highlight w:val="none"/>
        </w:rPr>
        <w:t>各项绩效指标得分汇总成该项目自评的总分。</w:t>
      </w:r>
    </w:p>
    <w:p>
      <w:pPr>
        <w:widowControl/>
        <w:numPr>
          <w:ilvl w:val="0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各部门在收集、分析上述绩效执行信息的基础上，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针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对未完成绩效目标及指标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在“偏差原因分析及改进措施”中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逐条分析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说明偏离目标、不能完成目标的原因及拟采取的措施。</w:t>
      </w:r>
    </w:p>
    <w:p>
      <w:pPr>
        <w:widowControl/>
        <w:numPr>
          <w:ilvl w:val="0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4.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val="en-US" w:eastAsia="zh-CN"/>
        </w:rPr>
        <w:t>等级划分：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90（含）-100分为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优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、80（含）-90分为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良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、60（含）-80分为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、60分以下为差。</w:t>
      </w:r>
    </w:p>
    <w:p>
      <w:pPr>
        <w:spacing w:line="600" w:lineRule="exac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(正文 CS 字体)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ongti SC Regular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bel">
    <w:altName w:val="PMingLiU-ExtB"/>
    <w:panose1 w:val="02000506030000020004"/>
    <w:charset w:val="00"/>
    <w:family w:val="auto"/>
    <w:pitch w:val="default"/>
    <w:sig w:usb0="00000000" w:usb1="00000000" w:usb2="00000000" w:usb3="00000000" w:csb0="0000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CEXiZ/ywEAAHk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7A294A"/>
    <w:rsid w:val="00AB32DA"/>
    <w:rsid w:val="01534994"/>
    <w:rsid w:val="0C8165E0"/>
    <w:rsid w:val="11645AF7"/>
    <w:rsid w:val="116B3F66"/>
    <w:rsid w:val="12EB73EA"/>
    <w:rsid w:val="1B301327"/>
    <w:rsid w:val="1BB1462F"/>
    <w:rsid w:val="1C952932"/>
    <w:rsid w:val="1D8F6583"/>
    <w:rsid w:val="200E587D"/>
    <w:rsid w:val="2CBF8107"/>
    <w:rsid w:val="2EB70209"/>
    <w:rsid w:val="30FF2B40"/>
    <w:rsid w:val="35D339CB"/>
    <w:rsid w:val="366659EC"/>
    <w:rsid w:val="3A10692D"/>
    <w:rsid w:val="3BF346A4"/>
    <w:rsid w:val="3FAF7125"/>
    <w:rsid w:val="3FF79B31"/>
    <w:rsid w:val="41621322"/>
    <w:rsid w:val="43850612"/>
    <w:rsid w:val="47404C40"/>
    <w:rsid w:val="47B9764A"/>
    <w:rsid w:val="47F256E4"/>
    <w:rsid w:val="49D82ADA"/>
    <w:rsid w:val="4BA31FDB"/>
    <w:rsid w:val="4BFF9656"/>
    <w:rsid w:val="4E043E5C"/>
    <w:rsid w:val="537A1457"/>
    <w:rsid w:val="537B9DA3"/>
    <w:rsid w:val="55BC49AF"/>
    <w:rsid w:val="577FC547"/>
    <w:rsid w:val="5A474F5C"/>
    <w:rsid w:val="5DDF52D1"/>
    <w:rsid w:val="5E2E61BF"/>
    <w:rsid w:val="5EDB0B63"/>
    <w:rsid w:val="5F9F33EB"/>
    <w:rsid w:val="62763BC3"/>
    <w:rsid w:val="6AC7B1A3"/>
    <w:rsid w:val="6B77FB6F"/>
    <w:rsid w:val="6EE9A86C"/>
    <w:rsid w:val="6FD43E60"/>
    <w:rsid w:val="71DB912D"/>
    <w:rsid w:val="751224E6"/>
    <w:rsid w:val="763E871D"/>
    <w:rsid w:val="79EBFCAD"/>
    <w:rsid w:val="7AF53BFB"/>
    <w:rsid w:val="7BBD97BD"/>
    <w:rsid w:val="7BED256C"/>
    <w:rsid w:val="7BFE4A5B"/>
    <w:rsid w:val="7BFFEC6B"/>
    <w:rsid w:val="7C1072FC"/>
    <w:rsid w:val="7DBF4FBB"/>
    <w:rsid w:val="7DCD9330"/>
    <w:rsid w:val="7DD758A1"/>
    <w:rsid w:val="7E562264"/>
    <w:rsid w:val="7E5EB5A1"/>
    <w:rsid w:val="7EFE795A"/>
    <w:rsid w:val="7F2773F9"/>
    <w:rsid w:val="7F3909BD"/>
    <w:rsid w:val="7F7C49BA"/>
    <w:rsid w:val="7FBF70D0"/>
    <w:rsid w:val="7FC169B4"/>
    <w:rsid w:val="7FF719AD"/>
    <w:rsid w:val="9BFD2FEF"/>
    <w:rsid w:val="AA5E3CAD"/>
    <w:rsid w:val="AFDDEFDC"/>
    <w:rsid w:val="B2DFF942"/>
    <w:rsid w:val="B5FC34C6"/>
    <w:rsid w:val="BAEFCA12"/>
    <w:rsid w:val="BD5D8A02"/>
    <w:rsid w:val="D4CEDA1A"/>
    <w:rsid w:val="D5A31DC0"/>
    <w:rsid w:val="D7FF1616"/>
    <w:rsid w:val="DFEAA56F"/>
    <w:rsid w:val="E6922BE3"/>
    <w:rsid w:val="EB5BB730"/>
    <w:rsid w:val="EDFF835A"/>
    <w:rsid w:val="EEBB59E1"/>
    <w:rsid w:val="EFCF022D"/>
    <w:rsid w:val="F37B3AB2"/>
    <w:rsid w:val="F6FF4047"/>
    <w:rsid w:val="F7E365DE"/>
    <w:rsid w:val="FA5A168B"/>
    <w:rsid w:val="FD3F40DC"/>
    <w:rsid w:val="FD8E962E"/>
    <w:rsid w:val="FEF8056D"/>
    <w:rsid w:val="FEF82787"/>
    <w:rsid w:val="FEFD3F0E"/>
    <w:rsid w:val="FFBDEA5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heading"/>
    <w:next w:val="10"/>
    <w:qFormat/>
    <w:uiPriority w:val="0"/>
    <w:pPr>
      <w:widowControl w:val="0"/>
      <w:suppressAutoHyphens/>
      <w:jc w:val="both"/>
    </w:pPr>
    <w:rPr>
      <w:rFonts w:ascii="Arial" w:hAnsi="Arial" w:eastAsia="仿宋_GB2312" w:cs="Times New Roman"/>
      <w:b/>
      <w:kern w:val="2"/>
      <w:sz w:val="32"/>
      <w:szCs w:val="24"/>
      <w:lang w:val="en-US" w:eastAsia="zh-CN" w:bidi="ar-SA"/>
    </w:rPr>
  </w:style>
  <w:style w:type="paragraph" w:styleId="10">
    <w:name w:val="index 1"/>
    <w:next w:val="1"/>
    <w:qFormat/>
    <w:uiPriority w:val="0"/>
    <w:pPr>
      <w:widowControl w:val="0"/>
      <w:suppressAutoHyphens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9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0">
    <w:name w:val="首行缩进"/>
    <w:basedOn w:val="1"/>
    <w:qFormat/>
    <w:uiPriority w:val="0"/>
    <w:pPr>
      <w:ind w:firstLine="480"/>
    </w:pPr>
    <w:rPr>
      <w:szCs w:val="20"/>
      <w:lang w:val="zh-CN"/>
    </w:rPr>
  </w:style>
  <w:style w:type="paragraph" w:customStyle="1" w:styleId="21">
    <w:name w:val="样式1"/>
    <w:basedOn w:val="3"/>
    <w:qFormat/>
    <w:uiPriority w:val="0"/>
    <w:rPr>
      <w:rFonts w:ascii="黑体" w:hAnsi="黑体"/>
      <w:sz w:val="32"/>
      <w:szCs w:val="32"/>
    </w:rPr>
  </w:style>
  <w:style w:type="paragraph" w:customStyle="1" w:styleId="22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2024-03-13T19:08:00Z</dcterms:created>
  <dc:creator>user</dc:creator>
  <cp:lastModifiedBy>user</cp:lastModifiedBy>
  <cp:lastPrinted>2025-01-08T17:22:00Z</cp:lastPrinted>
  <dcterms:modified xsi:type="dcterms:W3CDTF">2025-09-17T07:36:24Z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