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楷体" w:hAnsi="楷体" w:eastAsia="楷体" w:cs="Times New Roman"/>
          <w:b/>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楷体" w:hAnsi="楷体" w:eastAsia="楷体" w:cs="Times New Roman"/>
          <w:b/>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楷体" w:hAnsi="楷体" w:eastAsia="楷体" w:cs="Times New Roman"/>
          <w:b/>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楷体" w:hAnsi="楷体" w:eastAsia="楷体" w:cs="Times New Roman"/>
          <w:b/>
          <w:sz w:val="44"/>
          <w:szCs w:val="44"/>
          <w:highlight w:val="none"/>
          <w:lang w:val="en-US" w:eastAsia="zh-CN"/>
        </w:rPr>
      </w:pPr>
      <w:r>
        <w:rPr>
          <w:rFonts w:hint="eastAsia" w:ascii="楷体" w:hAnsi="楷体" w:eastAsia="楷体" w:cs="Times New Roman"/>
          <w:b/>
          <w:sz w:val="44"/>
          <w:szCs w:val="44"/>
          <w:highlight w:val="none"/>
        </w:rPr>
        <w:t>北京市</w:t>
      </w:r>
      <w:r>
        <w:rPr>
          <w:rFonts w:hint="eastAsia" w:ascii="楷体" w:hAnsi="楷体" w:eastAsia="楷体" w:cs="Times New Roman"/>
          <w:b/>
          <w:sz w:val="44"/>
          <w:szCs w:val="44"/>
          <w:highlight w:val="none"/>
          <w:lang w:val="en-US" w:eastAsia="zh-CN"/>
        </w:rPr>
        <w:t>通州区农业农村局</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hAnsi="黑体" w:eastAsia="黑体" w:cs="Times New Roman"/>
          <w:sz w:val="32"/>
          <w:szCs w:val="32"/>
          <w:highlight w:val="none"/>
          <w:lang w:val="zh-CN"/>
        </w:rPr>
      </w:pPr>
      <w:r>
        <w:rPr>
          <w:rFonts w:hint="eastAsia" w:ascii="楷体" w:hAnsi="楷体" w:eastAsia="楷体" w:cs="Times New Roman"/>
          <w:b/>
          <w:sz w:val="44"/>
          <w:szCs w:val="44"/>
          <w:highlight w:val="none"/>
        </w:rPr>
        <w:t>202</w:t>
      </w:r>
      <w:r>
        <w:rPr>
          <w:rFonts w:hint="eastAsia" w:ascii="楷体" w:hAnsi="楷体" w:eastAsia="楷体" w:cs="Times New Roman"/>
          <w:b/>
          <w:sz w:val="44"/>
          <w:szCs w:val="44"/>
          <w:highlight w:val="none"/>
          <w:lang w:val="en-US" w:eastAsia="zh-CN"/>
        </w:rPr>
        <w:t>4</w:t>
      </w:r>
      <w:r>
        <w:rPr>
          <w:rFonts w:hint="eastAsia" w:ascii="楷体" w:hAnsi="楷体" w:eastAsia="楷体" w:cs="Times New Roman"/>
          <w:b/>
          <w:sz w:val="44"/>
          <w:szCs w:val="44"/>
          <w:highlight w:val="none"/>
        </w:rPr>
        <w:t>年度部门整体绩效评价报告</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黑体" w:hAnsi="黑体" w:eastAsia="黑体" w:cs="Times New Roman"/>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黑体" w:hAnsi="黑体" w:eastAsia="黑体" w:cs="Times New Roman"/>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黑体" w:hAnsi="黑体" w:eastAsia="黑体" w:cs="Times New Roman"/>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黑体" w:hAnsi="黑体" w:eastAsia="黑体" w:cs="Times New Roman"/>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黑体" w:hAnsi="黑体" w:eastAsia="黑体" w:cs="Times New Roman"/>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黑体" w:hAnsi="黑体" w:eastAsia="黑体" w:cs="Times New Roman"/>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黑体" w:hAnsi="黑体" w:eastAsia="黑体" w:cs="Times New Roman"/>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黑体" w:hAnsi="黑体" w:eastAsia="黑体" w:cs="Times New Roman"/>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黑体" w:hAnsi="黑体" w:eastAsia="黑体" w:cs="Times New Roman"/>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楷体" w:hAnsi="楷体" w:eastAsia="楷体" w:cs="Times New Roman"/>
          <w:b/>
          <w:sz w:val="44"/>
          <w:szCs w:val="44"/>
          <w:highlight w:val="none"/>
          <w:lang w:val="en-US" w:eastAsia="zh-CN"/>
        </w:rPr>
      </w:pPr>
      <w:bookmarkStart w:id="0" w:name="_Toc4997"/>
      <w:r>
        <w:rPr>
          <w:rFonts w:hint="eastAsia" w:ascii="楷体" w:hAnsi="楷体" w:eastAsia="楷体" w:cs="Times New Roman"/>
          <w:b/>
          <w:sz w:val="44"/>
          <w:szCs w:val="44"/>
          <w:highlight w:val="none"/>
        </w:rPr>
        <w:t>北京</w:t>
      </w:r>
      <w:bookmarkEnd w:id="0"/>
      <w:r>
        <w:rPr>
          <w:rFonts w:hint="eastAsia" w:ascii="楷体" w:hAnsi="楷体" w:eastAsia="楷体" w:cs="Times New Roman"/>
          <w:b/>
          <w:sz w:val="44"/>
          <w:szCs w:val="44"/>
          <w:highlight w:val="none"/>
          <w:lang w:val="en-US" w:eastAsia="zh-CN"/>
        </w:rPr>
        <w:t>市通州区农业农村局</w:t>
      </w:r>
    </w:p>
    <w:p>
      <w:pPr>
        <w:keepNext w:val="0"/>
        <w:keepLines w:val="0"/>
        <w:pageBreakBefore w:val="0"/>
        <w:widowControl w:val="0"/>
        <w:kinsoku/>
        <w:wordWrap/>
        <w:overflowPunct/>
        <w:topLinePunct w:val="0"/>
        <w:autoSpaceDE/>
        <w:autoSpaceDN/>
        <w:bidi w:val="0"/>
        <w:jc w:val="center"/>
        <w:textAlignment w:val="auto"/>
        <w:outlineLvl w:val="9"/>
        <w:rPr>
          <w:rFonts w:hint="eastAsia" w:ascii="方正小标宋简体" w:hAnsi="黑体" w:eastAsia="方正小标宋简体" w:cs="Arial"/>
          <w:b w:val="0"/>
          <w:bCs w:val="0"/>
          <w:sz w:val="36"/>
          <w:szCs w:val="36"/>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 w:cs="Times New Roman"/>
          <w:b/>
          <w:sz w:val="32"/>
          <w:szCs w:val="32"/>
          <w:highlight w:val="none"/>
          <w:lang w:val="zh-CN"/>
        </w:rPr>
        <w:t>20</w:t>
      </w:r>
      <w:r>
        <w:rPr>
          <w:rFonts w:hint="eastAsia" w:ascii="仿宋_GB2312" w:hAnsi="仿宋" w:cs="Times New Roman"/>
          <w:b/>
          <w:sz w:val="32"/>
          <w:szCs w:val="32"/>
          <w:highlight w:val="none"/>
        </w:rPr>
        <w:t>2</w:t>
      </w:r>
      <w:r>
        <w:rPr>
          <w:rFonts w:hint="eastAsia" w:ascii="仿宋_GB2312" w:hAnsi="仿宋" w:cs="Times New Roman"/>
          <w:b/>
          <w:sz w:val="32"/>
          <w:szCs w:val="32"/>
          <w:highlight w:val="none"/>
          <w:lang w:val="en-US" w:eastAsia="zh-CN"/>
        </w:rPr>
        <w:t>5</w:t>
      </w:r>
      <w:r>
        <w:rPr>
          <w:rFonts w:hint="eastAsia" w:ascii="仿宋_GB2312" w:hAnsi="仿宋" w:cs="Times New Roman"/>
          <w:b/>
          <w:sz w:val="32"/>
          <w:szCs w:val="32"/>
          <w:highlight w:val="none"/>
          <w:lang w:val="zh-CN"/>
        </w:rPr>
        <w:t>年</w:t>
      </w:r>
      <w:r>
        <w:rPr>
          <w:rFonts w:hint="eastAsia" w:ascii="仿宋_GB2312" w:hAnsi="仿宋" w:cs="Times New Roman"/>
          <w:b/>
          <w:sz w:val="32"/>
          <w:szCs w:val="32"/>
          <w:highlight w:val="none"/>
          <w:lang w:val="en-US" w:eastAsia="zh-CN"/>
        </w:rPr>
        <w:t>2</w:t>
      </w:r>
      <w:r>
        <w:rPr>
          <w:rFonts w:hint="eastAsia" w:ascii="仿宋_GB2312" w:hAnsi="仿宋" w:cs="Times New Roman"/>
          <w:b/>
          <w:sz w:val="32"/>
          <w:szCs w:val="32"/>
          <w:highlight w:val="none"/>
          <w:lang w:val="zh-CN"/>
        </w:rPr>
        <w:t>月</w:t>
      </w:r>
    </w:p>
    <w:sdt>
      <w:sdtPr>
        <w:rPr>
          <w:rFonts w:ascii="宋体" w:hAnsi="宋体" w:eastAsia="宋体" w:cstheme="minorBidi"/>
          <w:kern w:val="2"/>
          <w:sz w:val="21"/>
          <w:szCs w:val="24"/>
          <w:highlight w:val="none"/>
          <w:lang w:val="en-US" w:eastAsia="zh-CN" w:bidi="ar-SA"/>
        </w:rPr>
        <w:id w:val="147478622"/>
        <w15:color w:val="DBDBDB"/>
        <w:docPartObj>
          <w:docPartGallery w:val="Table of Contents"/>
          <w:docPartUnique/>
        </w:docPartObj>
      </w:sdtPr>
      <w:sdtEndPr>
        <w:rPr>
          <w:rFonts w:hint="eastAsia" w:ascii="Calibri" w:hAnsi="Calibri" w:eastAsia="宋体" w:cs="Times New Roman"/>
          <w:b/>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w:t>
          </w: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录</w:t>
          </w:r>
        </w:p>
        <w:p>
          <w:pPr>
            <w:pStyle w:val="4"/>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"1-2"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_Toc21439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kern w:val="0"/>
              <w:sz w:val="32"/>
              <w:szCs w:val="32"/>
              <w:highlight w:val="none"/>
            </w:rPr>
            <w:t>一、部门概况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_Toc21439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_Toc5178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rPr>
            <w:t>（一）机构设置及职责工作任务情况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_Toc5178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_Toc15040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二）部门整体绩效目标设立情况。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_Toc15040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_Toc7739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kern w:val="0"/>
              <w:sz w:val="32"/>
              <w:szCs w:val="32"/>
              <w:highlight w:val="none"/>
            </w:rPr>
            <w:t>二、当年预算执行情况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_Toc7739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_Toc472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kern w:val="0"/>
              <w:sz w:val="32"/>
              <w:szCs w:val="32"/>
              <w:highlight w:val="none"/>
            </w:rPr>
            <w:t>三、整体绩效目标实现情况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_Toc472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_Toc13123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rPr>
            <w:t>（一）产出完成情况分析</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_Toc13123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_Toc14056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rPr>
            <w:t>（二）效果实现情况分析</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_Toc14056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_Toc7736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kern w:val="0"/>
              <w:sz w:val="32"/>
              <w:szCs w:val="32"/>
              <w:highlight w:val="none"/>
            </w:rPr>
            <w:t>四、预算管理情况分析</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_Toc7736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_Toc9149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rPr>
            <w:t>（一）财务管理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_Toc9149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_Toc27204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lang w:val="en-US" w:eastAsia="zh-CN"/>
            </w:rPr>
            <w:t>二</w:t>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资产管理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_Toc27204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15</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_Toc13598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rPr>
            <w:t>（三）绩效管理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_Toc13598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15</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_Toc20015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rPr>
            <w:t>（四）结转结余率</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_Toc20015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16</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_Toc22352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rPr>
            <w:t>（五）部门预决算差异率</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_Toc22352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16</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_Toc15199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rPr>
            <w:t>五、总体评价结论</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_Toc15199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17</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_Toc23435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rPr>
            <w:t>（一）评价得分情况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_Toc23435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17</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_Toc30193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kern w:val="2"/>
              <w:sz w:val="32"/>
              <w:szCs w:val="32"/>
              <w:highlight w:val="none"/>
              <w:lang w:val="en-US" w:eastAsia="zh-CN" w:bidi="ar-SA"/>
            </w:rPr>
            <w:t>（二）</w:t>
          </w:r>
          <w:r>
            <w:rPr>
              <w:rFonts w:hint="eastAsia" w:ascii="仿宋_GB2312" w:hAnsi="仿宋_GB2312" w:eastAsia="仿宋_GB2312" w:cs="仿宋_GB2312"/>
              <w:bCs w:val="0"/>
              <w:sz w:val="32"/>
              <w:szCs w:val="32"/>
              <w:highlight w:val="none"/>
            </w:rPr>
            <w:t>存在的问题及原因分析</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_Toc30193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_Toc22065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kern w:val="0"/>
              <w:sz w:val="32"/>
              <w:szCs w:val="32"/>
              <w:highlight w:val="none"/>
            </w:rPr>
            <w:t>六、措施建议</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_Toc22065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_Toc1676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sz w:val="32"/>
              <w:szCs w:val="32"/>
              <w:highlight w:val="none"/>
            </w:rPr>
            <w:t>（一）合理编制绩效目标及指标</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_Toc1676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_Toc9172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sz w:val="32"/>
              <w:szCs w:val="32"/>
              <w:highlight w:val="none"/>
            </w:rPr>
            <w:t>（二）加强</w:t>
          </w:r>
          <w:r>
            <w:rPr>
              <w:rFonts w:hint="eastAsia" w:ascii="仿宋_GB2312" w:hAnsi="仿宋_GB2312" w:eastAsia="仿宋_GB2312" w:cs="仿宋_GB2312"/>
              <w:bCs/>
              <w:sz w:val="32"/>
              <w:szCs w:val="32"/>
              <w:highlight w:val="none"/>
              <w:lang w:val="en-US" w:eastAsia="zh-CN"/>
            </w:rPr>
            <w:t>资产</w:t>
          </w:r>
          <w:r>
            <w:rPr>
              <w:rFonts w:hint="eastAsia" w:ascii="仿宋_GB2312" w:hAnsi="仿宋_GB2312" w:eastAsia="仿宋_GB2312" w:cs="仿宋_GB2312"/>
              <w:bCs/>
              <w:sz w:val="32"/>
              <w:szCs w:val="32"/>
              <w:highlight w:val="none"/>
            </w:rPr>
            <w:t>管理，提高</w:t>
          </w:r>
          <w:r>
            <w:rPr>
              <w:rFonts w:hint="eastAsia" w:ascii="仿宋_GB2312" w:hAnsi="仿宋_GB2312" w:eastAsia="仿宋_GB2312" w:cs="仿宋_GB2312"/>
              <w:bCs/>
              <w:sz w:val="32"/>
              <w:szCs w:val="32"/>
              <w:highlight w:val="none"/>
              <w:lang w:val="en-US" w:eastAsia="zh-CN"/>
            </w:rPr>
            <w:t>管理</w:t>
          </w:r>
          <w:r>
            <w:rPr>
              <w:rFonts w:hint="eastAsia" w:ascii="仿宋_GB2312" w:hAnsi="仿宋_GB2312" w:eastAsia="仿宋_GB2312" w:cs="仿宋_GB2312"/>
              <w:bCs/>
              <w:sz w:val="32"/>
              <w:szCs w:val="32"/>
              <w:highlight w:val="none"/>
            </w:rPr>
            <w:t>质量</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_Toc9172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_Toc7135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sz w:val="32"/>
              <w:szCs w:val="32"/>
              <w:highlight w:val="none"/>
            </w:rPr>
            <w:t>（三）强化绩效管理意识，丰富效益支撑材料</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_Toc7135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_Toc29511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i w:val="0"/>
              <w:iCs w:val="0"/>
              <w:kern w:val="0"/>
              <w:sz w:val="32"/>
              <w:szCs w:val="32"/>
              <w:highlight w:val="none"/>
              <w:lang w:val="en-US" w:eastAsia="zh-CN" w:bidi="ar"/>
            </w:rPr>
            <w:t>附件：</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_Toc29511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textAlignment w:val="auto"/>
            <w:rPr>
              <w:rFonts w:hint="eastAsia"/>
              <w:highlight w:val="none"/>
            </w:rPr>
          </w:pPr>
          <w:r>
            <w:rPr>
              <w:rFonts w:hint="eastAsia" w:ascii="仿宋_GB2312" w:hAnsi="仿宋_GB2312" w:eastAsia="仿宋_GB2312" w:cs="仿宋_GB2312"/>
              <w:sz w:val="32"/>
              <w:szCs w:val="32"/>
              <w:highlight w:val="none"/>
            </w:rPr>
            <w:fldChar w:fldCharType="end"/>
          </w:r>
        </w:p>
      </w:sdtContent>
    </w:sdt>
    <w:p>
      <w:pPr>
        <w:pStyle w:val="2"/>
        <w:rPr>
          <w:rFonts w:hint="eastAsia"/>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pPr>
        <w:jc w:val="center"/>
        <w:rPr>
          <w:rFonts w:hint="eastAsia" w:ascii="方正小标宋简体" w:hAnsi="黑体" w:eastAsia="方正小标宋简体" w:cs="Arial"/>
          <w:b w:val="0"/>
          <w:bCs w:val="0"/>
          <w:sz w:val="36"/>
          <w:szCs w:val="36"/>
          <w:highlight w:val="none"/>
        </w:rPr>
      </w:pPr>
      <w:r>
        <w:rPr>
          <w:rFonts w:hint="eastAsia" w:ascii="方正小标宋简体" w:hAnsi="黑体" w:eastAsia="方正小标宋简体" w:cs="Arial"/>
          <w:b w:val="0"/>
          <w:bCs w:val="0"/>
          <w:sz w:val="36"/>
          <w:szCs w:val="36"/>
          <w:highlight w:val="none"/>
        </w:rPr>
        <w:t>202</w:t>
      </w:r>
      <w:r>
        <w:rPr>
          <w:rFonts w:hint="eastAsia" w:ascii="方正小标宋简体" w:hAnsi="黑体" w:eastAsia="方正小标宋简体" w:cs="Arial"/>
          <w:b w:val="0"/>
          <w:bCs w:val="0"/>
          <w:sz w:val="36"/>
          <w:szCs w:val="36"/>
          <w:highlight w:val="none"/>
          <w:lang w:val="en-US" w:eastAsia="zh-CN"/>
        </w:rPr>
        <w:t>4</w:t>
      </w:r>
      <w:r>
        <w:rPr>
          <w:rFonts w:hint="eastAsia" w:ascii="方正小标宋简体" w:hAnsi="黑体" w:eastAsia="方正小标宋简体" w:cs="Arial"/>
          <w:b w:val="0"/>
          <w:bCs w:val="0"/>
          <w:sz w:val="36"/>
          <w:szCs w:val="36"/>
          <w:highlight w:val="none"/>
        </w:rPr>
        <w:t>年</w:t>
      </w:r>
      <w:r>
        <w:rPr>
          <w:rFonts w:hint="eastAsia" w:ascii="方正小标宋简体" w:hAnsi="黑体" w:eastAsia="方正小标宋简体" w:cs="Arial"/>
          <w:b w:val="0"/>
          <w:bCs w:val="0"/>
          <w:sz w:val="36"/>
          <w:szCs w:val="36"/>
          <w:highlight w:val="none"/>
          <w:lang w:eastAsia="zh-CN"/>
        </w:rPr>
        <w:t>通州区农业农村局</w:t>
      </w:r>
      <w:r>
        <w:rPr>
          <w:rFonts w:hint="eastAsia" w:ascii="方正小标宋简体" w:hAnsi="黑体" w:eastAsia="方正小标宋简体" w:cs="Arial"/>
          <w:b w:val="0"/>
          <w:bCs w:val="0"/>
          <w:sz w:val="36"/>
          <w:szCs w:val="36"/>
          <w:highlight w:val="none"/>
        </w:rPr>
        <w:t>部门整体绩效</w:t>
      </w:r>
      <w:r>
        <w:rPr>
          <w:rFonts w:hint="eastAsia" w:ascii="方正小标宋简体" w:hAnsi="黑体" w:eastAsia="方正小标宋简体" w:cs="Arial"/>
          <w:b w:val="0"/>
          <w:bCs w:val="0"/>
          <w:sz w:val="36"/>
          <w:szCs w:val="36"/>
          <w:highlight w:val="none"/>
          <w:lang w:val="en-US" w:eastAsia="zh-CN"/>
        </w:rPr>
        <w:t>评价</w:t>
      </w:r>
      <w:r>
        <w:rPr>
          <w:rFonts w:hint="eastAsia" w:ascii="方正小标宋简体" w:hAnsi="黑体" w:eastAsia="方正小标宋简体" w:cs="Arial"/>
          <w:b w:val="0"/>
          <w:bCs w:val="0"/>
          <w:sz w:val="36"/>
          <w:szCs w:val="36"/>
          <w:highlight w:val="none"/>
        </w:rPr>
        <w:t>报告</w:t>
      </w:r>
    </w:p>
    <w:p>
      <w:pPr>
        <w:jc w:val="center"/>
        <w:rPr>
          <w:rFonts w:ascii="仿宋_GB2312" w:hAnsi="Calibri" w:eastAsia="宋体" w:cs="Times New Roman"/>
          <w:b w:val="0"/>
          <w:bCs w:val="0"/>
          <w:sz w:val="21"/>
          <w:szCs w:val="30"/>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宋体"/>
          <w:b w:val="0"/>
          <w:bCs w:val="0"/>
          <w:color w:val="000000"/>
          <w:kern w:val="0"/>
          <w:sz w:val="32"/>
          <w:szCs w:val="32"/>
          <w:highlight w:val="none"/>
        </w:rPr>
      </w:pPr>
      <w:bookmarkStart w:id="1" w:name="_Toc21439"/>
      <w:r>
        <w:rPr>
          <w:rFonts w:hint="eastAsia" w:ascii="黑体" w:hAnsi="黑体" w:eastAsia="黑体" w:cs="宋体"/>
          <w:b w:val="0"/>
          <w:bCs w:val="0"/>
          <w:color w:val="000000"/>
          <w:kern w:val="0"/>
          <w:sz w:val="32"/>
          <w:szCs w:val="32"/>
          <w:highlight w:val="none"/>
        </w:rPr>
        <w:t>一、部门概况</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Calibri" w:eastAsia="楷体_GB2312" w:cs="Times New Roman"/>
          <w:b w:val="0"/>
          <w:bCs w:val="0"/>
          <w:sz w:val="32"/>
          <w:szCs w:val="32"/>
          <w:highlight w:val="none"/>
        </w:rPr>
      </w:pPr>
      <w:bookmarkStart w:id="2" w:name="_Toc5178"/>
      <w:r>
        <w:rPr>
          <w:rFonts w:hint="eastAsia" w:ascii="楷体_GB2312" w:hAnsi="Calibri" w:eastAsia="楷体_GB2312" w:cs="Times New Roman"/>
          <w:b w:val="0"/>
          <w:bCs w:val="0"/>
          <w:sz w:val="32"/>
          <w:szCs w:val="32"/>
          <w:highlight w:val="none"/>
        </w:rPr>
        <w:t>（一）机构设置及职责工作任务情况</w:t>
      </w:r>
      <w:bookmarkEnd w:id="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1.机构设置</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北</w:t>
      </w:r>
      <w:r>
        <w:rPr>
          <w:rFonts w:hint="eastAsia" w:ascii="仿宋_GB2312" w:hAnsi="仿宋_GB2312" w:eastAsia="仿宋_GB2312" w:cs="仿宋_GB2312"/>
          <w:b w:val="0"/>
          <w:bCs w:val="0"/>
          <w:sz w:val="32"/>
          <w:szCs w:val="32"/>
          <w:highlight w:val="none"/>
          <w:lang w:val="en-US" w:eastAsia="zh-CN"/>
        </w:rPr>
        <w:t>京市通州区农业农村局</w:t>
      </w:r>
      <w:r>
        <w:rPr>
          <w:rFonts w:hint="eastAsia" w:ascii="仿宋_GB2312" w:hAnsi="仿宋_GB2312" w:cs="仿宋_GB2312"/>
          <w:b w:val="0"/>
          <w:bCs w:val="0"/>
          <w:sz w:val="32"/>
          <w:szCs w:val="32"/>
          <w:highlight w:val="none"/>
          <w:lang w:val="en-US" w:eastAsia="zh-CN"/>
        </w:rPr>
        <w:t>（以下简称“我局”）是负责北京市通州区农业农村相关工作的行政部门</w:t>
      </w:r>
      <w:r>
        <w:rPr>
          <w:rFonts w:hint="eastAsia" w:ascii="仿宋_GB2312" w:hAnsi="仿宋_GB2312" w:eastAsia="仿宋_GB2312" w:cs="仿宋_GB2312"/>
          <w:b w:val="0"/>
          <w:bCs w:val="0"/>
          <w:sz w:val="32"/>
          <w:szCs w:val="32"/>
          <w:highlight w:val="none"/>
          <w:lang w:val="en-US" w:eastAsia="zh-CN"/>
        </w:rPr>
        <w:t>，内设8个科室，分别为办公室、组织科、法制科（行政审批科）、发展规划科、村镇科、改革与经管科、种养殖管理科（农产品质量安全科）、种业园区建设协调推进办公室。下属11家预算单位，分别为：北京市通州区农村合作经济经营管理站、北京市通州区动物疫病预防控制中心、北京市通州区农业技术综合服务中心、北京市通州区农机事务中心、北京市通州区植物保护中心、北京市通州区农产品质量检验检测中心、北京市通州区农业（种植）技术推广中心、北京市通州区农产品供应保障服务中心、北京市通州区种业技术服务中心、北京市通州区新农村建设服务中心、北京市通州区国际种业科技园区综合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2.人员情况</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部门行政编制实有人员373人。其中，公务员115人，参照公务员法管理29人，事业管理人员和专业技术188人，机</w:t>
      </w:r>
      <w:bookmarkStart w:id="33" w:name="_GoBack"/>
      <w:bookmarkEnd w:id="33"/>
      <w:r>
        <w:rPr>
          <w:rFonts w:hint="eastAsia" w:ascii="仿宋_GB2312" w:hAnsi="仿宋_GB2312" w:eastAsia="仿宋_GB2312" w:cs="仿宋_GB2312"/>
          <w:b w:val="0"/>
          <w:bCs w:val="0"/>
          <w:sz w:val="32"/>
          <w:szCs w:val="32"/>
          <w:highlight w:val="none"/>
          <w:lang w:val="en-US" w:eastAsia="zh-CN"/>
        </w:rPr>
        <w:t>关和事业工人41人。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部门职责</w:t>
      </w:r>
    </w:p>
    <w:p>
      <w:pPr>
        <w:numPr>
          <w:ilvl w:val="0"/>
          <w:numId w:val="0"/>
        </w:num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贯彻执行国家和本市关于“三农”工作的发展战略、中长期规划、重大政策及有关法律法规、规章。指导农业综合执法工作。</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统筹推动发展本区农村社会事业、农村公共服务、农村文化、农村基础设施。牵头组织改善农村人居环境相关工作。参与编制、修订村镇建设规划，协调推进村镇建设。指导传统村落保护发展工作，统筹协调农民增收和低收入农户帮扶工作。组织农业资源区划工作，指导农业区域协调发展。</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负责指导本区农村合作经济经营管理工作。研究提出深化农村经济体制改革和巩固完善农村基本经营制度的政策建议。负责农民承包地、农村宅基地改革并指导相关管理工作。负责农村集体产权制度改革，指导农村集体经济组织发展和集体资产管理工作。指导农民合作经济组织、农业社会化服务体系、新型农业经营主体建设与发展。</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lang w:val="en-US" w:eastAsia="zh-CN"/>
        </w:rPr>
        <w:t>指导本区乡村特色产业、农产品加工业和休闲农业发展工作。会同有关部门，统筹推进农村一二三产业融合发展，推动农村产业结构转型优化升级。负责农业产业化的组织协调工作。组织指导农产品流通工作，研究提出相关政策建议。培育、保护农业品牌。承担主要农产品市场供应信息和价格信息的采集、分析等工作。负责农村经济统计和农业农村信息化有关工作。</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val="en-US" w:eastAsia="zh-CN"/>
        </w:rPr>
        <w:t>组织构建本区现代农业产业体系、生产体系、经营体系。负责推动种植业、畜牧业、渔业、农业机械化等农业各行业发展和监督管理。指导农产品生产。依法负责农业行业安全生产工作。</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val="en-US" w:eastAsia="zh-CN"/>
        </w:rPr>
        <w:t>负责本区食用农产品从种植养殖环节到进入批发、零售市场或者生产加工企业前质量安全监督管理，负责组织开展农产品质量安全监测、追测。指导农业检验检测体系建设。依法管理农业产业、农产品质量安全等工作。</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lang w:val="en-US" w:eastAsia="zh-CN"/>
        </w:rPr>
        <w:t>指导本区基本农田、渔业水域以及农业生物物种资源保护与管理工作，负责水生野生动植物保护、耕地及永久基本农田质量保护工作。指导农产品产地环境管理和农业清洁生产。指导设施农业、生态循环农业、节水农业发展以及农村可再生能源综合开发利用。承担湿地保护相关管理工作。</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lang w:val="en-US" w:eastAsia="zh-CN"/>
        </w:rPr>
        <w:t>负责本区有关农业生产资料和农业投入品的监督管理。组织实施农业生产资料、兽药质量、兽药残留限量和残留检测方法等方面的国家标准。组织兽医医政、兽药药政药检工作。负责动物诊疗和畜禽屠宰行业管理。</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（9）</w:t>
      </w:r>
      <w:r>
        <w:rPr>
          <w:rFonts w:hint="eastAsia" w:ascii="仿宋_GB2312" w:hAnsi="仿宋_GB2312" w:eastAsia="仿宋_GB2312" w:cs="仿宋_GB2312"/>
          <w:b w:val="0"/>
          <w:bCs w:val="0"/>
          <w:sz w:val="32"/>
          <w:szCs w:val="32"/>
          <w:highlight w:val="none"/>
          <w:lang w:val="en-US" w:eastAsia="zh-CN"/>
        </w:rPr>
        <w:t>负责本区农业防灾减灾、农作物重大病虫害防治工作。负责动植物疫病防控的管理工作，承担北京市通州区重大动植物疫情应急指挥部的具体工作。监测、发布农业灾情，组织种子、化肥等救灾物资储备和调拨，提出生产救灾资金安排建议，指导紧急救灾和灾后生产恢复。</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lang w:val="en-US" w:eastAsia="zh-CN"/>
        </w:rPr>
        <w:t>负责本区农业投资管理。提出农业投融资体制机制改革建议。编制区级投资安排的农业投资项目建设规划，提出农业投资规模和方向、扶持农业农村发展财政项目的建议，按照权限审批农业投资项目，负责农业投资项目资金安排和监督管理。负责农业综合开发项目、农田整治项目、农田水利建设项目管理。组织拟定财政支农资金计划安排，并协调相关政策的落实。协调推进政策性农业保险工作。协调指导农村金融工作。</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（11）</w:t>
      </w:r>
      <w:r>
        <w:rPr>
          <w:rFonts w:hint="eastAsia" w:ascii="仿宋_GB2312" w:hAnsi="仿宋_GB2312" w:eastAsia="仿宋_GB2312" w:cs="仿宋_GB2312"/>
          <w:b w:val="0"/>
          <w:bCs w:val="0"/>
          <w:sz w:val="32"/>
          <w:szCs w:val="32"/>
          <w:highlight w:val="none"/>
          <w:lang w:val="en-US" w:eastAsia="zh-CN"/>
        </w:rPr>
        <w:t>推动本区农业科技体制改革和农业科技创新体系建设。推进农业产业技术体系、农技推广体系和新型职业农民培育体系建设，组织开展农业</w:t>
      </w:r>
      <w:r>
        <w:rPr>
          <w:rFonts w:hint="eastAsia" w:ascii="仿宋_GB2312" w:hAnsi="仿宋_GB2312" w:cs="仿宋_GB2312"/>
          <w:b w:val="0"/>
          <w:bCs w:val="0"/>
          <w:sz w:val="32"/>
          <w:szCs w:val="32"/>
          <w:highlight w:val="none"/>
          <w:lang w:val="en-US" w:eastAsia="zh-CN"/>
        </w:rPr>
        <w:t>领域</w:t>
      </w:r>
      <w:r>
        <w:rPr>
          <w:rFonts w:hint="eastAsia" w:ascii="仿宋_GB2312" w:hAnsi="仿宋_GB2312" w:eastAsia="仿宋_GB2312" w:cs="仿宋_GB2312"/>
          <w:b w:val="0"/>
          <w:bCs w:val="0"/>
          <w:sz w:val="32"/>
          <w:szCs w:val="32"/>
          <w:highlight w:val="none"/>
          <w:lang w:val="en-US" w:eastAsia="zh-CN"/>
        </w:rPr>
        <w:t>的高新技术和应用技术研究、科技成果转化和技术推广。负责农业转基因生物安全监督管理和农业植物新品种保护。承担农业农村对外交流与合作相关工作。</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（12）</w:t>
      </w:r>
      <w:r>
        <w:rPr>
          <w:rFonts w:hint="eastAsia" w:ascii="仿宋_GB2312" w:hAnsi="仿宋_GB2312" w:eastAsia="仿宋_GB2312" w:cs="仿宋_GB2312"/>
          <w:b w:val="0"/>
          <w:bCs w:val="0"/>
          <w:sz w:val="32"/>
          <w:szCs w:val="32"/>
          <w:highlight w:val="none"/>
          <w:lang w:val="en-US" w:eastAsia="zh-CN"/>
        </w:rPr>
        <w:t>负责通州区国际种业科技园区的规划、建设、管理等组织协调工作，负责北京通州国际种业科技园区的发展规划和投资促进工作，梳理、挖掘、培育前沿项目和重大项目，研究制定产业扶持政策，精准组织和培育以种业园区发展为核心的种业产业;负责相关企业服务工作;负责统筹国际种业园区建设;负责协调管理使用专项资金和园区国有资产，承担北京市通州区国际种业科技园区开发建设、产业发展和管理服务相关的事务性和服务性工作。</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（13）</w:t>
      </w:r>
      <w:r>
        <w:rPr>
          <w:rFonts w:hint="eastAsia" w:ascii="仿宋_GB2312" w:hAnsi="仿宋_GB2312" w:eastAsia="仿宋_GB2312" w:cs="仿宋_GB2312"/>
          <w:b w:val="0"/>
          <w:bCs w:val="0"/>
          <w:sz w:val="32"/>
          <w:szCs w:val="32"/>
          <w:highlight w:val="none"/>
          <w:lang w:val="en-US" w:eastAsia="zh-CN"/>
        </w:rPr>
        <w:t>完成区委、区政府交办的其他任务。</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（14）</w:t>
      </w:r>
      <w:r>
        <w:rPr>
          <w:rFonts w:hint="eastAsia" w:ascii="仿宋_GB2312" w:hAnsi="仿宋_GB2312" w:eastAsia="仿宋_GB2312" w:cs="仿宋_GB2312"/>
          <w:b w:val="0"/>
          <w:bCs w:val="0"/>
          <w:sz w:val="32"/>
          <w:szCs w:val="32"/>
          <w:highlight w:val="none"/>
          <w:lang w:val="en-US" w:eastAsia="zh-CN"/>
        </w:rPr>
        <w:t>职能转变。</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①</w:t>
      </w:r>
      <w:r>
        <w:rPr>
          <w:rFonts w:hint="eastAsia" w:ascii="仿宋_GB2312" w:hAnsi="仿宋_GB2312" w:eastAsia="仿宋_GB2312" w:cs="仿宋_GB2312"/>
          <w:b w:val="0"/>
          <w:bCs w:val="0"/>
          <w:sz w:val="32"/>
          <w:szCs w:val="32"/>
          <w:highlight w:val="none"/>
          <w:lang w:val="en-US" w:eastAsia="zh-CN"/>
        </w:rPr>
        <w:t>统筹实施乡村振兴战略，深化农业供给侧结构性改革，提升农业发展质量，扎实推进美丽乡村建设，推动农业全面升级、农村全面进步、农民全面发展，加快实现农业农村现代化。</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②</w:t>
      </w:r>
      <w:r>
        <w:rPr>
          <w:rFonts w:hint="eastAsia" w:ascii="仿宋_GB2312" w:hAnsi="仿宋_GB2312" w:eastAsia="仿宋_GB2312" w:cs="仿宋_GB2312"/>
          <w:b w:val="0"/>
          <w:bCs w:val="0"/>
          <w:sz w:val="32"/>
          <w:szCs w:val="32"/>
          <w:highlight w:val="none"/>
          <w:lang w:val="en-US" w:eastAsia="zh-CN"/>
        </w:rPr>
        <w:t>加强农产品质量安全和相关农业生产资料、农业投入品的监督管理，坚持最严谨的标准、最严格的监管、最严厉的处罚、最严肃的问责，严防、严管、严控质量安全风险，让人民群众吃得放心、安心。</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③</w:t>
      </w:r>
      <w:r>
        <w:rPr>
          <w:rFonts w:hint="eastAsia" w:ascii="仿宋_GB2312" w:hAnsi="仿宋_GB2312" w:eastAsia="仿宋_GB2312" w:cs="仿宋_GB2312"/>
          <w:b w:val="0"/>
          <w:bCs w:val="0"/>
          <w:sz w:val="32"/>
          <w:szCs w:val="32"/>
          <w:highlight w:val="none"/>
          <w:lang w:val="en-US" w:eastAsia="zh-CN"/>
        </w:rPr>
        <w:t>深入推进简政放权，加强对行业内交叉重复以及性质相同、用途相近的农业投资项目的统筹整合，最大限度缩小项目审批范围，加强事中事后监管，切实提升本区支农政策效果和资金使用效益。</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（15）</w:t>
      </w:r>
      <w:r>
        <w:rPr>
          <w:rFonts w:hint="eastAsia" w:ascii="仿宋_GB2312" w:hAnsi="仿宋_GB2312" w:eastAsia="仿宋_GB2312" w:cs="仿宋_GB2312"/>
          <w:b w:val="0"/>
          <w:bCs w:val="0"/>
          <w:sz w:val="32"/>
          <w:szCs w:val="32"/>
          <w:highlight w:val="none"/>
          <w:lang w:val="en-US" w:eastAsia="zh-CN"/>
        </w:rPr>
        <w:t>与区市场监管局有关职责分工。</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①</w:t>
      </w:r>
      <w:r>
        <w:rPr>
          <w:rFonts w:hint="eastAsia" w:ascii="仿宋_GB2312" w:hAnsi="仿宋_GB2312" w:eastAsia="仿宋_GB2312" w:cs="仿宋_GB2312"/>
          <w:b w:val="0"/>
          <w:bCs w:val="0"/>
          <w:sz w:val="32"/>
          <w:szCs w:val="32"/>
          <w:highlight w:val="none"/>
          <w:lang w:val="en-US" w:eastAsia="zh-CN"/>
        </w:rPr>
        <w:t>区农业农村局负责食用农产品从种植养殖环节到进入批发、零售市场或者生产加工企业前的质量安全监督管理。食用农产品进入批发、零售市场或者生产加工企业后，由区市场监管局监督管理。</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②</w:t>
      </w:r>
      <w:r>
        <w:rPr>
          <w:rFonts w:hint="eastAsia" w:ascii="仿宋_GB2312" w:hAnsi="仿宋_GB2312" w:eastAsia="仿宋_GB2312" w:cs="仿宋_GB2312"/>
          <w:b w:val="0"/>
          <w:bCs w:val="0"/>
          <w:sz w:val="32"/>
          <w:szCs w:val="32"/>
          <w:highlight w:val="none"/>
          <w:lang w:val="en-US" w:eastAsia="zh-CN"/>
        </w:rPr>
        <w:t>区农业农村局负责动植物疫病防控、畜禽屠宰环节、生鲜乳收购环节质量安全的监督管理。</w:t>
      </w:r>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③</w:t>
      </w:r>
      <w:r>
        <w:rPr>
          <w:rFonts w:hint="eastAsia" w:ascii="仿宋_GB2312" w:hAnsi="仿宋_GB2312" w:eastAsia="仿宋_GB2312" w:cs="仿宋_GB2312"/>
          <w:b w:val="0"/>
          <w:bCs w:val="0"/>
          <w:sz w:val="32"/>
          <w:szCs w:val="32"/>
          <w:highlight w:val="none"/>
          <w:lang w:val="en-US" w:eastAsia="zh-CN"/>
        </w:rPr>
        <w:t>两部门要建立食品安全产地准出、市场准入和追溯机制，加强协调配合和工作衔接，形成监管合力。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4.年度工作任务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cs="仿宋_GB2312"/>
          <w:b w:val="0"/>
          <w:bCs w:val="0"/>
          <w:sz w:val="32"/>
          <w:szCs w:val="32"/>
          <w:highlight w:val="none"/>
          <w:lang w:val="en-US" w:eastAsia="zh-CN"/>
        </w:rPr>
      </w:pPr>
      <w:r>
        <w:rPr>
          <w:rFonts w:hint="default" w:ascii="仿宋_GB2312" w:hAnsi="仿宋_GB2312" w:cs="仿宋_GB2312"/>
          <w:b w:val="0"/>
          <w:bCs w:val="0"/>
          <w:sz w:val="32"/>
          <w:szCs w:val="32"/>
          <w:highlight w:val="none"/>
          <w:lang w:val="en-US" w:eastAsia="zh-CN"/>
        </w:rPr>
        <w:t>2024年重点</w:t>
      </w:r>
      <w:r>
        <w:rPr>
          <w:rFonts w:hint="eastAsia" w:ascii="仿宋_GB2312" w:hAnsi="仿宋_GB2312" w:cs="仿宋_GB2312"/>
          <w:b w:val="0"/>
          <w:bCs w:val="0"/>
          <w:sz w:val="32"/>
          <w:szCs w:val="32"/>
          <w:highlight w:val="none"/>
          <w:lang w:val="en-US" w:eastAsia="zh-CN"/>
        </w:rPr>
        <w:t>工作任务包括</w:t>
      </w:r>
      <w:r>
        <w:rPr>
          <w:rFonts w:hint="default" w:ascii="仿宋_GB2312" w:hAnsi="仿宋_GB2312" w:cs="仿宋_GB2312"/>
          <w:b w:val="0"/>
          <w:bCs w:val="0"/>
          <w:sz w:val="32"/>
          <w:szCs w:val="32"/>
          <w:highlight w:val="none"/>
          <w:lang w:val="en-US" w:eastAsia="zh-CN"/>
        </w:rPr>
        <w:t>以下几方面：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一是保障农业根基，夯实粮食安全基础。强化"大棚房"动态巡查，推进土地复耕整治，加快高标准农田建设，实施耕地质量监测分类管理。发展绿色农业提升品质，培育"通州优农"特色品牌，推动"一村一品"提质扩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二是发展都市现代产业，建设好产业平台、推进好标杆项目。构建现代种业新体系，用好产业政策，推进农业微生物中心等重大项目落地，吸引国家级科研平台布局。布局新一批高标准农田，启动一批高效设施农业建设。推广“西集樱桃”“西槐萝卜”“柏庄生菜”等成熟品牌，打造特色优质农产品品牌，助力副中心特色优质农产品向精品化、品牌化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三是打造</w:t>
      </w:r>
      <w:r>
        <w:rPr>
          <w:rFonts w:hint="default" w:ascii="仿宋_GB2312" w:hAnsi="仿宋_GB2312" w:cs="仿宋_GB2312"/>
          <w:b w:val="0"/>
          <w:bCs w:val="0"/>
          <w:sz w:val="32"/>
          <w:szCs w:val="32"/>
          <w:highlight w:val="none"/>
          <w:lang w:val="en-US" w:eastAsia="zh-CN"/>
        </w:rPr>
        <w:t>美丽乡村</w:t>
      </w:r>
      <w:r>
        <w:rPr>
          <w:rFonts w:hint="eastAsia" w:ascii="仿宋_GB2312" w:hAnsi="仿宋_GB2312" w:cs="仿宋_GB2312"/>
          <w:b w:val="0"/>
          <w:bCs w:val="0"/>
          <w:sz w:val="32"/>
          <w:szCs w:val="32"/>
          <w:highlight w:val="none"/>
          <w:lang w:val="en-US" w:eastAsia="zh-CN"/>
        </w:rPr>
        <w:t>示范片区，改善人居环境。推进333个美丽乡村建设工作及347个村庄农村人居环境整治行动。按照相关政策，统一规划，形成</w:t>
      </w:r>
      <w:r>
        <w:rPr>
          <w:rFonts w:hint="default" w:ascii="仿宋_GB2312" w:hAnsi="仿宋_GB2312" w:cs="仿宋_GB2312"/>
          <w:b w:val="0"/>
          <w:bCs w:val="0"/>
          <w:sz w:val="32"/>
          <w:szCs w:val="32"/>
          <w:highlight w:val="none"/>
          <w:lang w:val="en-US" w:eastAsia="zh-CN"/>
        </w:rPr>
        <w:t>副中心乡村振兴示范样板，力争2024年能起到规模示范带动作用。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四是加强“三资”监管，</w:t>
      </w:r>
      <w:r>
        <w:rPr>
          <w:rFonts w:hint="default" w:ascii="仿宋_GB2312" w:hAnsi="仿宋_GB2312" w:cs="仿宋_GB2312"/>
          <w:b w:val="0"/>
          <w:bCs w:val="0"/>
          <w:sz w:val="32"/>
          <w:szCs w:val="32"/>
          <w:highlight w:val="none"/>
          <w:lang w:val="en-US" w:eastAsia="zh-CN"/>
        </w:rPr>
        <w:t>扶持壮大集体经济。创新"三资"监管模式：建立数字化管理系统，实现资产数据动态监管。大力发展新型农村集体经济，增加农村集体经济组织收入。持续开展集体经济薄弱村帮扶行动，鼓励采取镇级统筹、联村发展等多种形式，促进村集体联动共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五是强化党建引领，夯实治理基础。加强基层党组织建设，加强农村实用人才队伍建设，积极培育农民企业家、农村创新创业人才、家庭农场主和合作社职业经理人，为“三农”工作储备提供“带头人”，助力农业农村高质量建设发展。</w:t>
      </w:r>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1"/>
        <w:rPr>
          <w:rFonts w:hint="eastAsia" w:ascii="楷体_GB2312" w:hAnsi="Calibri" w:eastAsia="楷体_GB2312" w:cs="Times New Roman"/>
          <w:b w:val="0"/>
          <w:bCs w:val="0"/>
          <w:sz w:val="32"/>
          <w:szCs w:val="32"/>
          <w:highlight w:val="none"/>
        </w:rPr>
      </w:pPr>
      <w:bookmarkStart w:id="3" w:name="_Toc15040"/>
      <w:r>
        <w:rPr>
          <w:rFonts w:hint="eastAsia" w:ascii="楷体_GB2312" w:hAnsi="Calibri" w:eastAsia="楷体_GB2312" w:cs="Times New Roman"/>
          <w:b w:val="0"/>
          <w:bCs w:val="0"/>
          <w:sz w:val="32"/>
          <w:szCs w:val="32"/>
          <w:highlight w:val="none"/>
          <w:lang w:eastAsia="zh-CN"/>
        </w:rPr>
        <w:t>（</w:t>
      </w:r>
      <w:r>
        <w:rPr>
          <w:rFonts w:hint="eastAsia" w:ascii="楷体_GB2312" w:hAnsi="Calibri" w:eastAsia="楷体_GB2312" w:cs="Times New Roman"/>
          <w:b w:val="0"/>
          <w:bCs w:val="0"/>
          <w:sz w:val="32"/>
          <w:szCs w:val="32"/>
          <w:highlight w:val="none"/>
        </w:rPr>
        <w:t>二）部门整体绩效目标设立情况。</w:t>
      </w:r>
      <w:bookmarkEnd w:id="3"/>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cs="仿宋_GB2312"/>
          <w:b w:val="0"/>
          <w:bCs w:val="0"/>
          <w:sz w:val="32"/>
          <w:szCs w:val="32"/>
          <w:highlight w:val="none"/>
          <w:lang w:val="en-US" w:eastAsia="zh-CN"/>
        </w:rPr>
        <w:t>我局</w:t>
      </w:r>
      <w:r>
        <w:rPr>
          <w:rFonts w:hint="eastAsia" w:ascii="仿宋_GB2312" w:hAnsi="仿宋_GB2312" w:eastAsia="仿宋_GB2312" w:cs="仿宋_GB2312"/>
          <w:b w:val="0"/>
          <w:bCs w:val="0"/>
          <w:sz w:val="32"/>
          <w:szCs w:val="32"/>
          <w:highlight w:val="none"/>
        </w:rPr>
        <w:t>根据部门职能</w:t>
      </w:r>
      <w:r>
        <w:rPr>
          <w:rFonts w:hint="eastAsia" w:ascii="仿宋_GB2312" w:hAnsi="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职责</w:t>
      </w:r>
      <w:r>
        <w:rPr>
          <w:rFonts w:hint="eastAsia" w:ascii="仿宋_GB2312" w:hAnsi="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结合部门中长期</w:t>
      </w:r>
      <w:r>
        <w:rPr>
          <w:rFonts w:hint="eastAsia" w:ascii="仿宋_GB2312" w:hAnsi="仿宋_GB2312" w:cs="仿宋_GB2312"/>
          <w:b w:val="0"/>
          <w:bCs w:val="0"/>
          <w:sz w:val="32"/>
          <w:szCs w:val="32"/>
          <w:highlight w:val="none"/>
          <w:lang w:val="en-US" w:eastAsia="zh-CN"/>
        </w:rPr>
        <w:t>规划</w:t>
      </w:r>
      <w:r>
        <w:rPr>
          <w:rFonts w:hint="eastAsia" w:ascii="仿宋_GB2312" w:hAnsi="仿宋_GB2312" w:eastAsia="仿宋_GB2312" w:cs="仿宋_GB2312"/>
          <w:b w:val="0"/>
          <w:bCs w:val="0"/>
          <w:sz w:val="32"/>
          <w:szCs w:val="32"/>
          <w:highlight w:val="none"/>
        </w:rPr>
        <w:t>及年度</w:t>
      </w:r>
      <w:r>
        <w:rPr>
          <w:rFonts w:hint="eastAsia" w:ascii="仿宋_GB2312" w:hAnsi="仿宋_GB2312" w:cs="仿宋_GB2312"/>
          <w:b w:val="0"/>
          <w:bCs w:val="0"/>
          <w:sz w:val="32"/>
          <w:szCs w:val="32"/>
          <w:highlight w:val="none"/>
          <w:lang w:val="en-US" w:eastAsia="zh-CN"/>
        </w:rPr>
        <w:t>重点工作、</w:t>
      </w:r>
      <w:r>
        <w:rPr>
          <w:rFonts w:hint="eastAsia" w:ascii="仿宋_GB2312" w:hAnsi="仿宋_GB2312" w:eastAsia="仿宋_GB2312" w:cs="仿宋_GB2312"/>
          <w:b w:val="0"/>
          <w:bCs w:val="0"/>
          <w:sz w:val="32"/>
          <w:szCs w:val="32"/>
          <w:highlight w:val="none"/>
        </w:rPr>
        <w:t>工作计划，</w:t>
      </w:r>
      <w:r>
        <w:rPr>
          <w:rFonts w:hint="eastAsia" w:ascii="仿宋_GB2312" w:hAnsi="仿宋_GB2312" w:cs="仿宋_GB2312"/>
          <w:b w:val="0"/>
          <w:bCs w:val="0"/>
          <w:sz w:val="32"/>
          <w:szCs w:val="32"/>
          <w:highlight w:val="none"/>
          <w:lang w:val="en-US" w:eastAsia="zh-CN"/>
        </w:rPr>
        <w:t>以及</w:t>
      </w:r>
      <w:r>
        <w:rPr>
          <w:rFonts w:hint="eastAsia" w:ascii="仿宋_GB2312" w:hAnsi="仿宋_GB2312" w:eastAsia="仿宋_GB2312" w:cs="仿宋_GB2312"/>
          <w:b w:val="0"/>
          <w:bCs w:val="0"/>
          <w:sz w:val="32"/>
          <w:szCs w:val="32"/>
          <w:highlight w:val="none"/>
        </w:rPr>
        <w:t>预计年度内履职所要达到的预期产出</w:t>
      </w:r>
      <w:r>
        <w:rPr>
          <w:rFonts w:hint="eastAsia" w:ascii="仿宋_GB2312" w:hAnsi="仿宋_GB2312" w:cs="仿宋_GB2312"/>
          <w:b w:val="0"/>
          <w:bCs w:val="0"/>
          <w:sz w:val="32"/>
          <w:szCs w:val="32"/>
          <w:highlight w:val="none"/>
          <w:lang w:val="en-US" w:eastAsia="zh-CN"/>
        </w:rPr>
        <w:t>和</w:t>
      </w:r>
      <w:r>
        <w:rPr>
          <w:rFonts w:hint="eastAsia" w:ascii="仿宋_GB2312" w:hAnsi="仿宋_GB2312" w:eastAsia="仿宋_GB2312" w:cs="仿宋_GB2312"/>
          <w:b w:val="0"/>
          <w:bCs w:val="0"/>
          <w:sz w:val="32"/>
          <w:szCs w:val="32"/>
          <w:highlight w:val="none"/>
        </w:rPr>
        <w:t>效果，确定部门总体目标。202</w:t>
      </w:r>
      <w:r>
        <w:rPr>
          <w:rFonts w:hint="eastAsia" w:ascii="仿宋_GB2312" w:hAnsi="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年度，</w:t>
      </w:r>
      <w:r>
        <w:rPr>
          <w:rFonts w:hint="eastAsia" w:ascii="仿宋_GB2312" w:hAnsi="仿宋_GB2312" w:cs="仿宋_GB2312"/>
          <w:b w:val="0"/>
          <w:bCs w:val="0"/>
          <w:sz w:val="32"/>
          <w:szCs w:val="32"/>
          <w:highlight w:val="none"/>
          <w:lang w:val="en-US" w:eastAsia="zh-CN"/>
        </w:rPr>
        <w:t>我局</w:t>
      </w:r>
      <w:r>
        <w:rPr>
          <w:rFonts w:hint="eastAsia" w:ascii="仿宋_GB2312" w:hAnsi="仿宋_GB2312" w:eastAsia="仿宋_GB2312" w:cs="仿宋_GB2312"/>
          <w:b w:val="0"/>
          <w:bCs w:val="0"/>
          <w:sz w:val="32"/>
          <w:szCs w:val="32"/>
          <w:highlight w:val="none"/>
        </w:rPr>
        <w:t>部门整体支出绩效目标设置为：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加强党对“三农”工作的领导，加强区委农村工作领导小组统筹协调，扎实推进实施乡村振兴战略。守好耕地基本农田，抓实“田长制”，强化基本农田巡查监管，加强大棚房问题巡查整改力度，继续推进复耕复种、土地整治等工作，加快推进高标准农田建设。坚持聚焦种业产业。扶植好种业产业、建设好产业平台、推进好标杆项目。持续推进333个美丽乡村建设工作及农村人居环境整治行动，消除农村环境问题顽疾，不断提升农村地区人居环境水平。抓好集体经济管理，抓好集体资源利用，大力发展新型农村集体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cs="仿宋_GB2312"/>
          <w:b w:val="0"/>
          <w:bCs w:val="0"/>
          <w:sz w:val="32"/>
          <w:szCs w:val="32"/>
          <w:highlight w:val="none"/>
          <w:lang w:val="en-US" w:eastAsia="zh-CN"/>
        </w:rPr>
        <w:t>总体上，</w:t>
      </w:r>
      <w:r>
        <w:rPr>
          <w:rFonts w:hint="eastAsia" w:ascii="仿宋_GB2312" w:hAnsi="仿宋_GB2312" w:eastAsia="仿宋_GB2312" w:cs="仿宋_GB2312"/>
          <w:b w:val="0"/>
          <w:bCs w:val="0"/>
          <w:sz w:val="32"/>
          <w:szCs w:val="32"/>
          <w:highlight w:val="none"/>
        </w:rPr>
        <w:t>绩效目标设立依据充分，符合国家法律法规、国民经济和社会发展规划，符合年度工作实际</w:t>
      </w:r>
      <w:r>
        <w:rPr>
          <w:rFonts w:hint="eastAsia" w:ascii="仿宋_GB2312" w:hAnsi="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部门绩效目标内容较为全面、合理。总体目标以各预算项目支出绩效目标为支撑，与预算资金投入相匹配，具有较强的可行性、合理性。但</w:t>
      </w:r>
      <w:r>
        <w:rPr>
          <w:rFonts w:hint="eastAsia" w:ascii="仿宋_GB2312" w:hAnsi="仿宋_GB2312" w:cs="仿宋_GB2312"/>
          <w:b w:val="0"/>
          <w:bCs w:val="0"/>
          <w:sz w:val="32"/>
          <w:szCs w:val="32"/>
          <w:highlight w:val="none"/>
          <w:lang w:val="en-US" w:eastAsia="zh-CN"/>
        </w:rPr>
        <w:t>我局在</w:t>
      </w:r>
      <w:r>
        <w:rPr>
          <w:rFonts w:hint="eastAsia" w:ascii="仿宋_GB2312" w:hAnsi="仿宋_GB2312" w:eastAsia="仿宋_GB2312" w:cs="仿宋_GB2312"/>
          <w:b w:val="0"/>
          <w:bCs w:val="0"/>
          <w:sz w:val="32"/>
          <w:szCs w:val="32"/>
          <w:highlight w:val="none"/>
        </w:rPr>
        <w:t>绩效指标</w:t>
      </w:r>
      <w:r>
        <w:rPr>
          <w:rFonts w:hint="default" w:ascii="仿宋_GB2312" w:hAnsi="仿宋_GB2312" w:cs="仿宋_GB2312"/>
          <w:b w:val="0"/>
          <w:bCs w:val="0"/>
          <w:sz w:val="32"/>
          <w:szCs w:val="32"/>
          <w:highlight w:val="none"/>
        </w:rPr>
        <w:t>设置</w:t>
      </w:r>
      <w:r>
        <w:rPr>
          <w:rFonts w:hint="eastAsia" w:ascii="仿宋_GB2312" w:hAnsi="仿宋_GB2312" w:cs="仿宋_GB2312"/>
          <w:b w:val="0"/>
          <w:bCs w:val="0"/>
          <w:sz w:val="32"/>
          <w:szCs w:val="32"/>
          <w:highlight w:val="none"/>
          <w:lang w:val="en-US" w:eastAsia="zh-CN"/>
        </w:rPr>
        <w:t>上仍存在优化的空间，2024年度指标</w:t>
      </w:r>
      <w:r>
        <w:rPr>
          <w:rFonts w:hint="eastAsia" w:ascii="仿宋_GB2312" w:hAnsi="仿宋_GB2312" w:eastAsia="仿宋_GB2312" w:cs="仿宋_GB2312"/>
          <w:b w:val="0"/>
          <w:bCs w:val="0"/>
          <w:sz w:val="32"/>
          <w:szCs w:val="32"/>
          <w:highlight w:val="none"/>
        </w:rPr>
        <w:t>不够全面，部门重点工作未设置具体产出、效益指标，</w:t>
      </w:r>
      <w:r>
        <w:rPr>
          <w:rFonts w:hint="eastAsia" w:ascii="仿宋_GB2312" w:hAnsi="仿宋_GB2312" w:cs="仿宋_GB2312"/>
          <w:b w:val="0"/>
          <w:bCs w:val="0"/>
          <w:sz w:val="32"/>
          <w:szCs w:val="32"/>
          <w:highlight w:val="none"/>
          <w:lang w:val="en-US" w:eastAsia="zh-CN"/>
        </w:rPr>
        <w:t>未</w:t>
      </w:r>
      <w:r>
        <w:rPr>
          <w:rFonts w:hint="eastAsia" w:ascii="仿宋_GB2312" w:hAnsi="仿宋_GB2312" w:eastAsia="仿宋_GB2312" w:cs="仿宋_GB2312"/>
          <w:b w:val="0"/>
          <w:bCs w:val="0"/>
          <w:sz w:val="32"/>
          <w:szCs w:val="32"/>
          <w:highlight w:val="none"/>
        </w:rPr>
        <w:t>能充分反映部门履职情况。</w:t>
      </w:r>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0"/>
        <w:rPr>
          <w:rFonts w:ascii="黑体" w:hAnsi="黑体" w:eastAsia="黑体" w:cs="宋体"/>
          <w:b w:val="0"/>
          <w:bCs w:val="0"/>
          <w:color w:val="000000"/>
          <w:kern w:val="0"/>
          <w:sz w:val="32"/>
          <w:szCs w:val="32"/>
          <w:highlight w:val="none"/>
        </w:rPr>
      </w:pPr>
      <w:bookmarkStart w:id="4" w:name="_Toc7739"/>
      <w:r>
        <w:rPr>
          <w:rFonts w:hint="eastAsia" w:ascii="黑体" w:hAnsi="黑体" w:eastAsia="黑体" w:cs="宋体"/>
          <w:b w:val="0"/>
          <w:bCs w:val="0"/>
          <w:color w:val="000000"/>
          <w:kern w:val="0"/>
          <w:sz w:val="32"/>
          <w:szCs w:val="32"/>
          <w:highlight w:val="none"/>
        </w:rPr>
        <w:t>二</w:t>
      </w:r>
      <w:r>
        <w:rPr>
          <w:rFonts w:ascii="黑体" w:hAnsi="黑体" w:eastAsia="黑体" w:cs="宋体"/>
          <w:b w:val="0"/>
          <w:bCs w:val="0"/>
          <w:color w:val="000000"/>
          <w:kern w:val="0"/>
          <w:sz w:val="32"/>
          <w:szCs w:val="32"/>
          <w:highlight w:val="none"/>
        </w:rPr>
        <w:t>、</w:t>
      </w:r>
      <w:r>
        <w:rPr>
          <w:rFonts w:hint="eastAsia" w:ascii="黑体" w:hAnsi="黑体" w:eastAsia="黑体" w:cs="宋体"/>
          <w:b w:val="0"/>
          <w:bCs w:val="0"/>
          <w:color w:val="000000"/>
          <w:kern w:val="0"/>
          <w:sz w:val="32"/>
          <w:szCs w:val="32"/>
          <w:highlight w:val="none"/>
        </w:rPr>
        <w:t>当年</w:t>
      </w:r>
      <w:r>
        <w:rPr>
          <w:rFonts w:ascii="黑体" w:hAnsi="黑体" w:eastAsia="黑体" w:cs="宋体"/>
          <w:b w:val="0"/>
          <w:bCs w:val="0"/>
          <w:color w:val="000000"/>
          <w:kern w:val="0"/>
          <w:sz w:val="32"/>
          <w:szCs w:val="32"/>
          <w:highlight w:val="none"/>
        </w:rPr>
        <w:t>预算执行情况</w:t>
      </w:r>
      <w:bookmarkEnd w:id="4"/>
    </w:p>
    <w:p>
      <w:pPr>
        <w:spacing w:line="600" w:lineRule="exact"/>
        <w:ind w:left="150" w:leftChars="50" w:firstLine="480" w:firstLineChars="150"/>
        <w:rPr>
          <w:rFonts w:ascii="仿宋_GB2312" w:hAnsi="宋体" w:eastAsia="仿宋_GB2312" w:cs="宋体"/>
          <w:b w:val="0"/>
          <w:bCs w:val="0"/>
          <w:color w:val="000000"/>
          <w:kern w:val="0"/>
          <w:sz w:val="32"/>
          <w:szCs w:val="32"/>
          <w:highlight w:val="none"/>
        </w:rPr>
      </w:pPr>
      <w:bookmarkStart w:id="5" w:name="_Toc472"/>
      <w:r>
        <w:rPr>
          <w:rFonts w:hint="eastAsia" w:ascii="仿宋_GB2312" w:hAnsi="宋体" w:eastAsia="仿宋_GB2312" w:cs="宋体"/>
          <w:b w:val="0"/>
          <w:bCs w:val="0"/>
          <w:color w:val="000000"/>
          <w:kern w:val="0"/>
          <w:sz w:val="32"/>
          <w:szCs w:val="32"/>
          <w:highlight w:val="none"/>
        </w:rPr>
        <w:t>202</w:t>
      </w:r>
      <w:r>
        <w:rPr>
          <w:rFonts w:hint="eastAsia" w:ascii="仿宋_GB2312" w:hAnsi="宋体" w:eastAsia="仿宋_GB2312" w:cs="宋体"/>
          <w:b w:val="0"/>
          <w:bCs w:val="0"/>
          <w:color w:val="000000"/>
          <w:kern w:val="0"/>
          <w:sz w:val="32"/>
          <w:szCs w:val="32"/>
          <w:highlight w:val="none"/>
          <w:lang w:val="en-US" w:eastAsia="zh-CN"/>
        </w:rPr>
        <w:t>4</w:t>
      </w:r>
      <w:r>
        <w:rPr>
          <w:rFonts w:hint="eastAsia" w:ascii="仿宋_GB2312" w:hAnsi="宋体" w:eastAsia="仿宋_GB2312" w:cs="宋体"/>
          <w:b w:val="0"/>
          <w:bCs w:val="0"/>
          <w:color w:val="000000"/>
          <w:kern w:val="0"/>
          <w:sz w:val="32"/>
          <w:szCs w:val="32"/>
          <w:highlight w:val="none"/>
        </w:rPr>
        <w:t>年</w:t>
      </w:r>
      <w:r>
        <w:rPr>
          <w:rFonts w:ascii="仿宋_GB2312" w:hAnsi="宋体" w:eastAsia="仿宋_GB2312" w:cs="宋体"/>
          <w:b w:val="0"/>
          <w:bCs w:val="0"/>
          <w:color w:val="000000"/>
          <w:kern w:val="0"/>
          <w:sz w:val="32"/>
          <w:szCs w:val="32"/>
          <w:highlight w:val="none"/>
        </w:rPr>
        <w:t>全年</w:t>
      </w:r>
      <w:r>
        <w:rPr>
          <w:rFonts w:hint="eastAsia" w:ascii="仿宋_GB2312" w:hAnsi="宋体" w:eastAsia="仿宋_GB2312" w:cs="宋体"/>
          <w:b w:val="0"/>
          <w:bCs w:val="0"/>
          <w:color w:val="000000"/>
          <w:kern w:val="0"/>
          <w:sz w:val="32"/>
          <w:szCs w:val="32"/>
          <w:highlight w:val="none"/>
        </w:rPr>
        <w:t>预算数</w:t>
      </w:r>
      <w:r>
        <w:rPr>
          <w:rFonts w:hint="eastAsia" w:ascii="仿宋_GB2312" w:hAnsi="宋体" w:cs="宋体"/>
          <w:b w:val="0"/>
          <w:bCs w:val="0"/>
          <w:color w:val="000000"/>
          <w:kern w:val="0"/>
          <w:sz w:val="32"/>
          <w:szCs w:val="32"/>
          <w:highlight w:val="none"/>
          <w:lang w:val="en-US" w:eastAsia="zh-CN"/>
        </w:rPr>
        <w:t>50063.56</w:t>
      </w:r>
      <w:r>
        <w:rPr>
          <w:rFonts w:hint="eastAsia" w:ascii="仿宋_GB2312" w:hAnsi="宋体" w:eastAsia="仿宋_GB2312" w:cs="宋体"/>
          <w:b w:val="0"/>
          <w:bCs w:val="0"/>
          <w:color w:val="000000"/>
          <w:kern w:val="0"/>
          <w:sz w:val="32"/>
          <w:szCs w:val="32"/>
          <w:highlight w:val="none"/>
        </w:rPr>
        <w:t>万元</w:t>
      </w:r>
      <w:r>
        <w:rPr>
          <w:rFonts w:ascii="仿宋_GB2312" w:hAnsi="宋体" w:eastAsia="仿宋_GB2312" w:cs="宋体"/>
          <w:b w:val="0"/>
          <w:bCs w:val="0"/>
          <w:color w:val="000000"/>
          <w:kern w:val="0"/>
          <w:sz w:val="32"/>
          <w:szCs w:val="32"/>
          <w:highlight w:val="none"/>
        </w:rPr>
        <w:t>，</w:t>
      </w:r>
      <w:r>
        <w:rPr>
          <w:rFonts w:hint="eastAsia" w:ascii="仿宋_GB2312" w:hAnsi="宋体" w:eastAsia="仿宋_GB2312" w:cs="宋体"/>
          <w:b w:val="0"/>
          <w:bCs w:val="0"/>
          <w:color w:val="000000"/>
          <w:kern w:val="0"/>
          <w:sz w:val="32"/>
          <w:szCs w:val="32"/>
          <w:highlight w:val="none"/>
        </w:rPr>
        <w:t>其中</w:t>
      </w:r>
      <w:r>
        <w:rPr>
          <w:rFonts w:ascii="仿宋_GB2312" w:hAnsi="宋体" w:eastAsia="仿宋_GB2312" w:cs="宋体"/>
          <w:b w:val="0"/>
          <w:bCs w:val="0"/>
          <w:color w:val="000000"/>
          <w:kern w:val="0"/>
          <w:sz w:val="32"/>
          <w:szCs w:val="32"/>
          <w:highlight w:val="none"/>
        </w:rPr>
        <w:t>，基本</w:t>
      </w:r>
      <w:r>
        <w:rPr>
          <w:rFonts w:hint="eastAsia" w:ascii="仿宋_GB2312" w:hAnsi="宋体" w:eastAsia="仿宋_GB2312" w:cs="宋体"/>
          <w:b w:val="0"/>
          <w:bCs w:val="0"/>
          <w:color w:val="000000"/>
          <w:kern w:val="0"/>
          <w:sz w:val="32"/>
          <w:szCs w:val="32"/>
          <w:highlight w:val="none"/>
        </w:rPr>
        <w:t>支出</w:t>
      </w:r>
      <w:r>
        <w:rPr>
          <w:rFonts w:ascii="仿宋_GB2312" w:hAnsi="宋体" w:eastAsia="仿宋_GB2312" w:cs="宋体"/>
          <w:b w:val="0"/>
          <w:bCs w:val="0"/>
          <w:color w:val="000000"/>
          <w:kern w:val="0"/>
          <w:sz w:val="32"/>
          <w:szCs w:val="32"/>
          <w:highlight w:val="none"/>
        </w:rPr>
        <w:t>预算数</w:t>
      </w:r>
      <w:r>
        <w:rPr>
          <w:rFonts w:hint="eastAsia" w:ascii="仿宋_GB2312" w:hAnsi="宋体" w:cs="宋体"/>
          <w:b w:val="0"/>
          <w:bCs w:val="0"/>
          <w:color w:val="000000"/>
          <w:kern w:val="0"/>
          <w:sz w:val="32"/>
          <w:szCs w:val="32"/>
          <w:highlight w:val="none"/>
          <w:lang w:val="en-US" w:eastAsia="zh-CN"/>
        </w:rPr>
        <w:t>14183.75</w:t>
      </w:r>
      <w:r>
        <w:rPr>
          <w:rFonts w:ascii="仿宋_GB2312" w:hAnsi="宋体" w:eastAsia="仿宋_GB2312" w:cs="宋体"/>
          <w:b w:val="0"/>
          <w:bCs w:val="0"/>
          <w:color w:val="000000"/>
          <w:kern w:val="0"/>
          <w:sz w:val="32"/>
          <w:szCs w:val="32"/>
          <w:highlight w:val="none"/>
        </w:rPr>
        <w:t>万元，</w:t>
      </w:r>
      <w:r>
        <w:rPr>
          <w:rFonts w:hint="eastAsia" w:ascii="仿宋_GB2312" w:hAnsi="宋体" w:eastAsia="仿宋_GB2312" w:cs="宋体"/>
          <w:b w:val="0"/>
          <w:bCs w:val="0"/>
          <w:color w:val="000000"/>
          <w:kern w:val="0"/>
          <w:sz w:val="32"/>
          <w:szCs w:val="32"/>
          <w:highlight w:val="none"/>
        </w:rPr>
        <w:t>项目支出预算数</w:t>
      </w:r>
      <w:r>
        <w:rPr>
          <w:rFonts w:hint="eastAsia" w:ascii="仿宋_GB2312" w:hAnsi="宋体" w:cs="宋体"/>
          <w:b w:val="0"/>
          <w:bCs w:val="0"/>
          <w:color w:val="000000"/>
          <w:kern w:val="0"/>
          <w:sz w:val="32"/>
          <w:szCs w:val="32"/>
          <w:highlight w:val="none"/>
          <w:lang w:val="en-US" w:eastAsia="zh-CN"/>
        </w:rPr>
        <w:t>35879.81</w:t>
      </w:r>
      <w:r>
        <w:rPr>
          <w:rFonts w:ascii="仿宋_GB2312" w:hAnsi="宋体" w:eastAsia="仿宋_GB2312" w:cs="宋体"/>
          <w:b w:val="0"/>
          <w:bCs w:val="0"/>
          <w:color w:val="000000"/>
          <w:kern w:val="0"/>
          <w:sz w:val="32"/>
          <w:szCs w:val="32"/>
          <w:highlight w:val="none"/>
        </w:rPr>
        <w:t>万元，</w:t>
      </w:r>
      <w:r>
        <w:rPr>
          <w:rFonts w:hint="eastAsia" w:ascii="仿宋_GB2312" w:hAnsi="宋体" w:cs="宋体"/>
          <w:b w:val="0"/>
          <w:bCs w:val="0"/>
          <w:color w:val="000000"/>
          <w:kern w:val="0"/>
          <w:sz w:val="32"/>
          <w:szCs w:val="32"/>
          <w:highlight w:val="none"/>
          <w:lang w:val="en-US" w:eastAsia="zh-CN"/>
        </w:rPr>
        <w:t>无</w:t>
      </w:r>
      <w:r>
        <w:rPr>
          <w:rFonts w:ascii="仿宋_GB2312" w:hAnsi="宋体" w:eastAsia="仿宋_GB2312" w:cs="宋体"/>
          <w:b w:val="0"/>
          <w:bCs w:val="0"/>
          <w:color w:val="000000"/>
          <w:kern w:val="0"/>
          <w:sz w:val="32"/>
          <w:szCs w:val="32"/>
          <w:highlight w:val="none"/>
        </w:rPr>
        <w:t>其他支出</w:t>
      </w:r>
      <w:r>
        <w:rPr>
          <w:rFonts w:hint="eastAsia" w:ascii="仿宋_GB2312" w:hAnsi="宋体" w:eastAsia="仿宋_GB2312" w:cs="宋体"/>
          <w:b w:val="0"/>
          <w:bCs w:val="0"/>
          <w:color w:val="000000"/>
          <w:kern w:val="0"/>
          <w:sz w:val="32"/>
          <w:szCs w:val="32"/>
          <w:highlight w:val="none"/>
        </w:rPr>
        <w:t>预算。</w:t>
      </w:r>
      <w:r>
        <w:rPr>
          <w:rFonts w:ascii="仿宋_GB2312" w:hAnsi="宋体" w:eastAsia="仿宋_GB2312" w:cs="宋体"/>
          <w:b w:val="0"/>
          <w:bCs w:val="0"/>
          <w:color w:val="000000"/>
          <w:kern w:val="0"/>
          <w:sz w:val="32"/>
          <w:szCs w:val="32"/>
          <w:highlight w:val="none"/>
        </w:rPr>
        <w:t>资金总体</w:t>
      </w:r>
      <w:r>
        <w:rPr>
          <w:rFonts w:hint="eastAsia" w:ascii="仿宋_GB2312" w:hAnsi="宋体" w:eastAsia="仿宋_GB2312" w:cs="宋体"/>
          <w:b w:val="0"/>
          <w:bCs w:val="0"/>
          <w:color w:val="000000"/>
          <w:kern w:val="0"/>
          <w:sz w:val="32"/>
          <w:szCs w:val="32"/>
          <w:highlight w:val="none"/>
        </w:rPr>
        <w:t>支出</w:t>
      </w:r>
      <w:r>
        <w:rPr>
          <w:rFonts w:hint="eastAsia" w:ascii="仿宋_GB2312" w:hAnsi="宋体" w:cs="宋体"/>
          <w:b w:val="0"/>
          <w:bCs w:val="0"/>
          <w:color w:val="000000"/>
          <w:kern w:val="0"/>
          <w:sz w:val="32"/>
          <w:szCs w:val="32"/>
          <w:highlight w:val="none"/>
          <w:lang w:val="en-US" w:eastAsia="zh-CN"/>
        </w:rPr>
        <w:t>50063.56</w:t>
      </w:r>
      <w:r>
        <w:rPr>
          <w:rFonts w:ascii="仿宋_GB2312" w:hAnsi="宋体" w:eastAsia="仿宋_GB2312" w:cs="宋体"/>
          <w:b w:val="0"/>
          <w:bCs w:val="0"/>
          <w:color w:val="000000"/>
          <w:kern w:val="0"/>
          <w:sz w:val="32"/>
          <w:szCs w:val="32"/>
          <w:highlight w:val="none"/>
        </w:rPr>
        <w:t>万元，其中，基本支出</w:t>
      </w:r>
      <w:r>
        <w:rPr>
          <w:rFonts w:hint="eastAsia" w:ascii="仿宋_GB2312" w:hAnsi="宋体" w:cs="宋体"/>
          <w:b w:val="0"/>
          <w:bCs w:val="0"/>
          <w:color w:val="000000"/>
          <w:kern w:val="0"/>
          <w:sz w:val="32"/>
          <w:szCs w:val="32"/>
          <w:highlight w:val="none"/>
          <w:lang w:val="en-US" w:eastAsia="zh-CN"/>
        </w:rPr>
        <w:t>14183.75</w:t>
      </w:r>
      <w:r>
        <w:rPr>
          <w:rFonts w:ascii="仿宋_GB2312" w:hAnsi="宋体" w:eastAsia="仿宋_GB2312" w:cs="宋体"/>
          <w:b w:val="0"/>
          <w:bCs w:val="0"/>
          <w:color w:val="000000"/>
          <w:kern w:val="0"/>
          <w:sz w:val="32"/>
          <w:szCs w:val="32"/>
          <w:highlight w:val="none"/>
        </w:rPr>
        <w:t>万元，项目</w:t>
      </w:r>
      <w:r>
        <w:rPr>
          <w:rFonts w:hint="eastAsia" w:ascii="仿宋_GB2312" w:hAnsi="宋体" w:eastAsia="仿宋_GB2312" w:cs="宋体"/>
          <w:b w:val="0"/>
          <w:bCs w:val="0"/>
          <w:color w:val="000000"/>
          <w:kern w:val="0"/>
          <w:sz w:val="32"/>
          <w:szCs w:val="32"/>
          <w:highlight w:val="none"/>
        </w:rPr>
        <w:t>支出</w:t>
      </w:r>
      <w:r>
        <w:rPr>
          <w:rFonts w:hint="eastAsia" w:ascii="仿宋_GB2312" w:hAnsi="宋体" w:cs="宋体"/>
          <w:b w:val="0"/>
          <w:bCs w:val="0"/>
          <w:color w:val="000000"/>
          <w:kern w:val="0"/>
          <w:sz w:val="32"/>
          <w:szCs w:val="32"/>
          <w:highlight w:val="none"/>
          <w:lang w:val="en-US" w:eastAsia="zh-CN"/>
        </w:rPr>
        <w:t>35879.81</w:t>
      </w:r>
      <w:r>
        <w:rPr>
          <w:rFonts w:ascii="仿宋_GB2312" w:hAnsi="宋体" w:eastAsia="仿宋_GB2312" w:cs="宋体"/>
          <w:b w:val="0"/>
          <w:bCs w:val="0"/>
          <w:color w:val="000000"/>
          <w:kern w:val="0"/>
          <w:sz w:val="32"/>
          <w:szCs w:val="32"/>
          <w:highlight w:val="none"/>
        </w:rPr>
        <w:t>万元，</w:t>
      </w:r>
      <w:r>
        <w:rPr>
          <w:rFonts w:hint="eastAsia" w:ascii="仿宋_GB2312" w:hAnsi="宋体" w:cs="宋体"/>
          <w:b w:val="0"/>
          <w:bCs w:val="0"/>
          <w:color w:val="000000"/>
          <w:kern w:val="0"/>
          <w:sz w:val="32"/>
          <w:szCs w:val="32"/>
          <w:highlight w:val="none"/>
          <w:lang w:val="en-US" w:eastAsia="zh-CN"/>
        </w:rPr>
        <w:t>无</w:t>
      </w:r>
      <w:r>
        <w:rPr>
          <w:rFonts w:ascii="仿宋_GB2312" w:hAnsi="宋体" w:eastAsia="仿宋_GB2312" w:cs="宋体"/>
          <w:b w:val="0"/>
          <w:bCs w:val="0"/>
          <w:color w:val="000000"/>
          <w:kern w:val="0"/>
          <w:sz w:val="32"/>
          <w:szCs w:val="32"/>
          <w:highlight w:val="none"/>
        </w:rPr>
        <w:t>其他支出。</w:t>
      </w:r>
      <w:r>
        <w:rPr>
          <w:rFonts w:hint="eastAsia" w:ascii="仿宋_GB2312" w:hAnsi="宋体" w:eastAsia="仿宋_GB2312" w:cs="宋体"/>
          <w:b w:val="0"/>
          <w:bCs w:val="0"/>
          <w:color w:val="000000"/>
          <w:kern w:val="0"/>
          <w:sz w:val="32"/>
          <w:szCs w:val="32"/>
          <w:highlight w:val="none"/>
        </w:rPr>
        <w:t>预算</w:t>
      </w:r>
      <w:r>
        <w:rPr>
          <w:rFonts w:ascii="仿宋_GB2312" w:hAnsi="宋体" w:eastAsia="仿宋_GB2312" w:cs="宋体"/>
          <w:b w:val="0"/>
          <w:bCs w:val="0"/>
          <w:color w:val="000000"/>
          <w:kern w:val="0"/>
          <w:sz w:val="32"/>
          <w:szCs w:val="32"/>
          <w:highlight w:val="none"/>
        </w:rPr>
        <w:t>执行率为</w:t>
      </w:r>
      <w:r>
        <w:rPr>
          <w:rFonts w:hint="eastAsia" w:ascii="仿宋_GB2312" w:hAnsi="宋体" w:cs="宋体"/>
          <w:b w:val="0"/>
          <w:bCs w:val="0"/>
          <w:color w:val="000000"/>
          <w:kern w:val="0"/>
          <w:sz w:val="32"/>
          <w:szCs w:val="32"/>
          <w:highlight w:val="none"/>
          <w:lang w:eastAsia="zh-CN"/>
        </w:rPr>
        <w:t>100%</w:t>
      </w:r>
      <w:r>
        <w:rPr>
          <w:rFonts w:hint="eastAsia" w:ascii="仿宋_GB2312" w:hAnsi="宋体" w:eastAsia="仿宋_GB2312" w:cs="宋体"/>
          <w:b w:val="0"/>
          <w:bCs w:val="0"/>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0"/>
        <w:rPr>
          <w:rFonts w:ascii="黑体" w:hAnsi="黑体" w:eastAsia="黑体" w:cs="宋体"/>
          <w:b w:val="0"/>
          <w:bCs w:val="0"/>
          <w:color w:val="000000"/>
          <w:kern w:val="0"/>
          <w:sz w:val="32"/>
          <w:szCs w:val="32"/>
          <w:highlight w:val="none"/>
        </w:rPr>
      </w:pPr>
      <w:r>
        <w:rPr>
          <w:rFonts w:hint="eastAsia" w:ascii="黑体" w:hAnsi="黑体" w:eastAsia="黑体" w:cs="宋体"/>
          <w:b w:val="0"/>
          <w:bCs w:val="0"/>
          <w:color w:val="000000"/>
          <w:kern w:val="0"/>
          <w:sz w:val="32"/>
          <w:szCs w:val="32"/>
          <w:highlight w:val="none"/>
        </w:rPr>
        <w:t>三</w:t>
      </w:r>
      <w:r>
        <w:rPr>
          <w:rFonts w:ascii="黑体" w:hAnsi="黑体" w:eastAsia="黑体" w:cs="宋体"/>
          <w:b w:val="0"/>
          <w:bCs w:val="0"/>
          <w:color w:val="000000"/>
          <w:kern w:val="0"/>
          <w:sz w:val="32"/>
          <w:szCs w:val="32"/>
          <w:highlight w:val="none"/>
        </w:rPr>
        <w:t>、整体绩效目标实现情况</w:t>
      </w:r>
      <w:bookmarkEnd w:id="5"/>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1"/>
        <w:rPr>
          <w:rFonts w:hint="eastAsia" w:ascii="楷体_GB2312" w:hAnsi="Calibri" w:eastAsia="楷体_GB2312" w:cs="Times New Roman"/>
          <w:b w:val="0"/>
          <w:bCs w:val="0"/>
          <w:sz w:val="32"/>
          <w:szCs w:val="32"/>
          <w:highlight w:val="none"/>
        </w:rPr>
      </w:pPr>
      <w:bookmarkStart w:id="6" w:name="_Toc13123"/>
      <w:r>
        <w:rPr>
          <w:rFonts w:hint="eastAsia" w:ascii="楷体_GB2312" w:hAnsi="Calibri" w:eastAsia="楷体_GB2312" w:cs="Times New Roman"/>
          <w:b w:val="0"/>
          <w:bCs w:val="0"/>
          <w:sz w:val="32"/>
          <w:szCs w:val="32"/>
          <w:highlight w:val="none"/>
        </w:rPr>
        <w:t>（一）产出完成情况分析</w:t>
      </w:r>
      <w:bookmarkEnd w:id="6"/>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2024年我局重点任务基本完成，具体情况如下：</w:t>
      </w:r>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2"/>
        <w:rPr>
          <w:rFonts w:hint="eastAsia"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1.产出数量</w:t>
      </w:r>
    </w:p>
    <w:p>
      <w:pPr>
        <w:spacing w:line="600" w:lineRule="exact"/>
        <w:ind w:left="150" w:leftChars="50" w:firstLine="482" w:firstLineChars="150"/>
        <w:rPr>
          <w:rFonts w:hint="eastAsia" w:ascii="仿宋_GB2312" w:hAnsi="仿宋_GB2312" w:cs="仿宋_GB2312"/>
          <w:b w:val="0"/>
          <w:bCs w:val="0"/>
          <w:sz w:val="32"/>
          <w:szCs w:val="32"/>
          <w:highlight w:val="none"/>
          <w:lang w:val="en-US" w:eastAsia="zh-CN"/>
        </w:rPr>
      </w:pPr>
      <w:r>
        <w:rPr>
          <w:rFonts w:hint="eastAsia" w:ascii="仿宋_GB2312" w:hAnsi="仿宋_GB2312" w:cs="仿宋_GB2312"/>
          <w:b/>
          <w:bCs/>
          <w:sz w:val="32"/>
          <w:szCs w:val="32"/>
          <w:highlight w:val="none"/>
          <w:lang w:val="en-US" w:eastAsia="zh-CN"/>
        </w:rPr>
        <w:t>一是保障农业根基，夯实粮食安全基础方面。</w:t>
      </w:r>
      <w:r>
        <w:rPr>
          <w:rFonts w:hint="eastAsia" w:ascii="仿宋_GB2312" w:hAnsi="仿宋_GB2312" w:cs="仿宋_GB2312"/>
          <w:b w:val="0"/>
          <w:bCs w:val="0"/>
          <w:sz w:val="32"/>
          <w:szCs w:val="32"/>
          <w:highlight w:val="none"/>
          <w:lang w:val="en-US" w:eastAsia="zh-CN"/>
        </w:rPr>
        <w:t>新建及改造高标准农田面积3.65万亩，推进“两高一智”示范区、植物工厂建设。对2180个经营主体项目进行覆盖巡查，坚决防止“大棚房”问题发生反弹。对通州区23.03万亩耕地选取484个样点开展耕地土壤环境状况调查监测、耕地土壤面源污染调查监测等工作。按照600元/亩/年标准对蔬菜实际生产经营者进行补贴，共补贴52891.42亩。按300元/亩/年对耕地进行补贴，补贴面积101663.8亩。开展粮食高产高效示范田建设和规模种植主体单产提升行动，赋能粮食亩产提升4.2%。打造“京农·运河人家”区域公用品牌，现场成交额30余万元，间接助推农产品销售收入增长700余万元。</w:t>
      </w:r>
    </w:p>
    <w:p>
      <w:pPr>
        <w:spacing w:line="600" w:lineRule="exact"/>
        <w:ind w:left="150" w:leftChars="50" w:firstLine="482" w:firstLineChars="150"/>
        <w:rPr>
          <w:rFonts w:hint="default" w:ascii="仿宋_GB2312" w:hAnsi="仿宋_GB2312" w:cs="仿宋_GB2312"/>
          <w:b w:val="0"/>
          <w:bCs w:val="0"/>
          <w:sz w:val="32"/>
          <w:szCs w:val="32"/>
          <w:highlight w:val="none"/>
          <w:lang w:val="en-US" w:eastAsia="zh-CN"/>
        </w:rPr>
      </w:pPr>
      <w:r>
        <w:rPr>
          <w:rFonts w:hint="eastAsia" w:ascii="仿宋_GB2312" w:hAnsi="宋体" w:cs="宋体"/>
          <w:b/>
          <w:bCs/>
          <w:color w:val="000000"/>
          <w:kern w:val="0"/>
          <w:sz w:val="32"/>
          <w:szCs w:val="32"/>
          <w:highlight w:val="none"/>
          <w:lang w:val="en-US" w:eastAsia="zh-CN"/>
        </w:rPr>
        <w:t>二是重科技，强优势，构建都市型现代农业新体系。</w:t>
      </w:r>
      <w:r>
        <w:rPr>
          <w:rFonts w:hint="eastAsia" w:ascii="仿宋_GB2312" w:hAnsi="宋体" w:cs="宋体"/>
          <w:b w:val="0"/>
          <w:bCs w:val="0"/>
          <w:color w:val="000000"/>
          <w:kern w:val="0"/>
          <w:sz w:val="32"/>
          <w:szCs w:val="32"/>
          <w:highlight w:val="none"/>
          <w:lang w:val="en-US" w:eastAsia="zh-CN"/>
        </w:rPr>
        <w:t>成功举办第三十一届中国北京种业大会，推动国投种业、奥瑞金农业等25家国内外知名农业企业落地通州，直播发布120项重点成果，签订22项成果转让及种业合作协议。同时，结合种业园区扩区实际，启动编制通州国际种业科技园区发展规划。制定印发《关于北京城市副中心农业产业高质量发展的实施细则》，兑现奖励资金140余万元。对2.0582万亩土地进行商品有机肥补贴，促进商品有机肥部分替代化肥。</w:t>
      </w:r>
      <w:r>
        <w:rPr>
          <w:rFonts w:hint="eastAsia" w:ascii="仿宋_GB2312" w:hAnsi="仿宋_GB2312" w:cs="仿宋_GB2312"/>
          <w:b w:val="0"/>
          <w:bCs w:val="0"/>
          <w:sz w:val="32"/>
          <w:szCs w:val="32"/>
          <w:highlight w:val="none"/>
          <w:lang w:val="en-US" w:eastAsia="zh-CN"/>
        </w:rPr>
        <w:t>推广应用保护性耕作技术，全年完成农机深松整地5.2万亩,秸秆粉碎覆盖还田11.1万亩,少免耕播种12.3万亩。建立通州区政策性农业保险制度，参保覆盖9个村庄，涉及30种险种。开展1个高效设施农业建设项目，提高单位面积产出率。通过小程序宣传等方式推荐优质农场、农产品，举办21次进社区活动，开展1场成果巡演，媒体宣传报道22篇文章。</w:t>
      </w:r>
    </w:p>
    <w:p>
      <w:pPr>
        <w:spacing w:line="600" w:lineRule="exact"/>
        <w:ind w:left="150" w:leftChars="50" w:firstLine="482" w:firstLineChars="150"/>
        <w:rPr>
          <w:rFonts w:hint="default" w:ascii="仿宋_GB2312" w:hAnsi="宋体" w:cs="宋体"/>
          <w:b w:val="0"/>
          <w:bCs w:val="0"/>
          <w:color w:val="000000"/>
          <w:kern w:val="0"/>
          <w:sz w:val="32"/>
          <w:szCs w:val="32"/>
          <w:highlight w:val="none"/>
          <w:lang w:val="en-US" w:eastAsia="zh-CN"/>
        </w:rPr>
      </w:pPr>
      <w:r>
        <w:rPr>
          <w:rFonts w:hint="eastAsia" w:ascii="仿宋_GB2312" w:hAnsi="宋体" w:cs="宋体"/>
          <w:b/>
          <w:bCs/>
          <w:color w:val="000000"/>
          <w:kern w:val="0"/>
          <w:sz w:val="32"/>
          <w:szCs w:val="32"/>
          <w:highlight w:val="none"/>
          <w:lang w:val="en-US" w:eastAsia="zh-CN"/>
        </w:rPr>
        <w:t>三是打造乡村示范片区，改善人居环境方面。</w:t>
      </w:r>
      <w:r>
        <w:rPr>
          <w:rFonts w:hint="eastAsia" w:ascii="仿宋_GB2312" w:hAnsi="宋体" w:cs="宋体"/>
          <w:b w:val="0"/>
          <w:bCs w:val="0"/>
          <w:color w:val="000000"/>
          <w:kern w:val="0"/>
          <w:sz w:val="32"/>
          <w:szCs w:val="32"/>
          <w:highlight w:val="none"/>
          <w:lang w:val="en-US" w:eastAsia="zh-CN"/>
        </w:rPr>
        <w:t>扶持10家农民合作社开展仓储物流设施建设。在5家种植园区进行老旧设施改造，改造面积350亩；创建台湖镇“环影宿游”示范片区1个。持续推进333个美丽乡村建设工作及农村人居环境整治行动。享受低谷电价政策补贴户数达13.2万户。废旧农膜及农药废弃物回收率超91%。</w:t>
      </w:r>
    </w:p>
    <w:p>
      <w:pPr>
        <w:spacing w:line="600" w:lineRule="exact"/>
        <w:ind w:left="150" w:leftChars="50" w:firstLine="482" w:firstLineChars="150"/>
        <w:rPr>
          <w:rFonts w:hint="eastAsia" w:ascii="仿宋_GB2312" w:hAnsi="宋体" w:cs="宋体"/>
          <w:b w:val="0"/>
          <w:bCs w:val="0"/>
          <w:color w:val="000000"/>
          <w:kern w:val="0"/>
          <w:sz w:val="32"/>
          <w:szCs w:val="32"/>
          <w:highlight w:val="none"/>
          <w:lang w:val="en-US" w:eastAsia="zh-CN"/>
        </w:rPr>
      </w:pPr>
      <w:r>
        <w:rPr>
          <w:rFonts w:hint="eastAsia" w:ascii="仿宋_GB2312" w:hAnsi="宋体" w:cs="宋体"/>
          <w:b/>
          <w:bCs/>
          <w:color w:val="000000"/>
          <w:kern w:val="0"/>
          <w:sz w:val="32"/>
          <w:szCs w:val="32"/>
          <w:highlight w:val="none"/>
          <w:lang w:val="en-US" w:eastAsia="zh-CN"/>
        </w:rPr>
        <w:t>四是加强监管，壮大集体经济方面。</w:t>
      </w:r>
      <w:r>
        <w:rPr>
          <w:rFonts w:hint="eastAsia" w:ascii="仿宋_GB2312" w:hAnsi="宋体" w:cs="宋体"/>
          <w:b w:val="0"/>
          <w:bCs w:val="0"/>
          <w:color w:val="000000"/>
          <w:kern w:val="0"/>
          <w:sz w:val="32"/>
          <w:szCs w:val="32"/>
          <w:highlight w:val="none"/>
          <w:lang w:val="en-US" w:eastAsia="zh-CN"/>
        </w:rPr>
        <w:t>对各项惠农补贴工作开展全过程审计、监督、管理，每个项目实施乡镇检查均开展不少于1次检查。制定印发《通州区农村集体财产监督管理办法（试行）》，构建“1+8”制度体系。印发《2024年通州区农产品质量安全监测实施方案》1份，风险监测农产品4.1万个；监督抽检抽样1250个(分别为种植类875个，水产养殖类60个畜禽养殖类315个)。推进绿色有机认证工作，认证产量8.4万余吨。支持4个村发展新型农村集体经济，给予相应奖励，对5家农民专业合作社予以奖励。</w:t>
      </w:r>
    </w:p>
    <w:p>
      <w:pPr>
        <w:spacing w:line="600" w:lineRule="exact"/>
        <w:ind w:left="150" w:leftChars="50" w:firstLine="482" w:firstLineChars="150"/>
        <w:rPr>
          <w:rFonts w:hint="eastAsia" w:ascii="仿宋_GB2312" w:hAnsi="宋体" w:cs="宋体"/>
          <w:b w:val="0"/>
          <w:bCs w:val="0"/>
          <w:color w:val="000000"/>
          <w:kern w:val="0"/>
          <w:sz w:val="32"/>
          <w:szCs w:val="32"/>
          <w:highlight w:val="none"/>
          <w:lang w:val="en-US" w:eastAsia="zh-CN"/>
        </w:rPr>
      </w:pPr>
      <w:r>
        <w:rPr>
          <w:rFonts w:hint="eastAsia" w:ascii="仿宋_GB2312" w:hAnsi="宋体" w:cs="宋体"/>
          <w:b/>
          <w:bCs/>
          <w:color w:val="000000"/>
          <w:kern w:val="0"/>
          <w:sz w:val="32"/>
          <w:szCs w:val="32"/>
          <w:highlight w:val="none"/>
          <w:lang w:val="en-US" w:eastAsia="zh-CN"/>
        </w:rPr>
        <w:t>五是强化党建，培养人才方面。</w:t>
      </w:r>
      <w:r>
        <w:rPr>
          <w:rFonts w:hint="eastAsia" w:ascii="仿宋_GB2312" w:hAnsi="宋体" w:cs="宋体"/>
          <w:b w:val="0"/>
          <w:bCs w:val="0"/>
          <w:color w:val="000000"/>
          <w:kern w:val="0"/>
          <w:sz w:val="32"/>
          <w:szCs w:val="32"/>
          <w:highlight w:val="none"/>
          <w:lang w:val="en-US" w:eastAsia="zh-CN"/>
        </w:rPr>
        <w:t>成立区农服中心党委、种业园区党支部，完成3个党支部换届选举，新发展党员3人。实训农民1276人次，培训农村实用人才85人，组织培训70名基层农技人员。推荐6名农业新主体入选“头雁”项目，6个创业项目参加市级大赛。推进接诉即办改革。工单解决率同比提升17.8%，满意率同比提升17.2%，全年考核满分。</w:t>
      </w:r>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2"/>
        <w:rPr>
          <w:rFonts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2.产出</w:t>
      </w:r>
      <w:r>
        <w:rPr>
          <w:rFonts w:ascii="仿宋_GB2312" w:hAnsi="宋体" w:eastAsia="仿宋_GB2312" w:cs="宋体"/>
          <w:b w:val="0"/>
          <w:bCs w:val="0"/>
          <w:color w:val="000000"/>
          <w:kern w:val="0"/>
          <w:sz w:val="32"/>
          <w:szCs w:val="32"/>
          <w:highlight w:val="none"/>
        </w:rPr>
        <w:t>质量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default"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bCs/>
          <w:color w:val="000000"/>
          <w:kern w:val="0"/>
          <w:sz w:val="32"/>
          <w:szCs w:val="32"/>
          <w:highlight w:val="none"/>
        </w:rPr>
        <w:t>一是</w:t>
      </w:r>
      <w:r>
        <w:rPr>
          <w:rFonts w:hint="eastAsia" w:ascii="仿宋_GB2312" w:hAnsi="宋体" w:eastAsia="仿宋_GB2312" w:cs="宋体"/>
          <w:b w:val="0"/>
          <w:bCs w:val="0"/>
          <w:color w:val="000000"/>
          <w:kern w:val="0"/>
          <w:sz w:val="32"/>
          <w:szCs w:val="32"/>
          <w:highlight w:val="none"/>
        </w:rPr>
        <w:t>保障农业根基，夯实粮食安全基础方面。设施农业巡查</w:t>
      </w:r>
      <w:r>
        <w:rPr>
          <w:rFonts w:hint="eastAsia" w:ascii="仿宋_GB2312" w:hAnsi="宋体" w:cs="宋体"/>
          <w:b w:val="0"/>
          <w:bCs w:val="0"/>
          <w:color w:val="000000"/>
          <w:kern w:val="0"/>
          <w:sz w:val="32"/>
          <w:szCs w:val="32"/>
          <w:highlight w:val="none"/>
          <w:lang w:val="en-US" w:eastAsia="zh-CN"/>
        </w:rPr>
        <w:t>覆盖率达100%，各项补贴资金均按规定标准足额发放。</w:t>
      </w:r>
      <w:r>
        <w:rPr>
          <w:rFonts w:hint="eastAsia" w:ascii="仿宋_GB2312" w:hAnsi="宋体" w:cs="宋体"/>
          <w:b/>
          <w:bCs/>
          <w:color w:val="000000"/>
          <w:kern w:val="0"/>
          <w:sz w:val="32"/>
          <w:szCs w:val="32"/>
          <w:highlight w:val="none"/>
          <w:lang w:val="en-US" w:eastAsia="zh-CN"/>
        </w:rPr>
        <w:t>二是</w:t>
      </w:r>
      <w:r>
        <w:rPr>
          <w:rFonts w:hint="eastAsia" w:ascii="仿宋_GB2312" w:hAnsi="宋体" w:cs="宋体"/>
          <w:b w:val="0"/>
          <w:bCs w:val="0"/>
          <w:color w:val="000000"/>
          <w:kern w:val="0"/>
          <w:sz w:val="32"/>
          <w:szCs w:val="32"/>
          <w:highlight w:val="none"/>
          <w:lang w:val="en-US" w:eastAsia="zh-CN"/>
        </w:rPr>
        <w:t>发展种业产业，构建现代农业新体系方面。重点</w:t>
      </w:r>
      <w:r>
        <w:rPr>
          <w:rFonts w:hint="default" w:ascii="仿宋_GB2312" w:hAnsi="宋体" w:eastAsia="仿宋_GB2312" w:cs="宋体"/>
          <w:b w:val="0"/>
          <w:bCs w:val="0"/>
          <w:color w:val="000000"/>
          <w:kern w:val="0"/>
          <w:sz w:val="32"/>
          <w:szCs w:val="32"/>
          <w:highlight w:val="none"/>
          <w:lang w:val="en-US" w:eastAsia="zh-CN"/>
        </w:rPr>
        <w:t>保障第三十一届种业大会顺利</w:t>
      </w:r>
      <w:r>
        <w:rPr>
          <w:rFonts w:hint="eastAsia" w:ascii="仿宋_GB2312" w:hAnsi="宋体" w:cs="宋体"/>
          <w:b w:val="0"/>
          <w:bCs w:val="0"/>
          <w:color w:val="000000"/>
          <w:kern w:val="0"/>
          <w:sz w:val="32"/>
          <w:szCs w:val="32"/>
          <w:highlight w:val="none"/>
          <w:lang w:val="en-US" w:eastAsia="zh-CN"/>
        </w:rPr>
        <w:t>举办</w:t>
      </w:r>
      <w:r>
        <w:rPr>
          <w:rFonts w:hint="default" w:ascii="仿宋_GB2312" w:hAnsi="宋体" w:eastAsia="仿宋_GB2312" w:cs="宋体"/>
          <w:b w:val="0"/>
          <w:bCs w:val="0"/>
          <w:color w:val="000000"/>
          <w:kern w:val="0"/>
          <w:sz w:val="32"/>
          <w:szCs w:val="32"/>
          <w:highlight w:val="none"/>
          <w:lang w:val="en-US" w:eastAsia="zh-CN"/>
        </w:rPr>
        <w:t>。</w:t>
      </w:r>
      <w:r>
        <w:rPr>
          <w:rFonts w:hint="eastAsia" w:ascii="仿宋_GB2312" w:hAnsi="宋体" w:cs="宋体"/>
          <w:b w:val="0"/>
          <w:bCs w:val="0"/>
          <w:color w:val="000000"/>
          <w:kern w:val="0"/>
          <w:sz w:val="32"/>
          <w:szCs w:val="32"/>
          <w:highlight w:val="none"/>
          <w:lang w:val="en-US" w:eastAsia="zh-CN"/>
        </w:rPr>
        <w:t>通过推广保护性耕作技术，深松深度</w:t>
      </w:r>
      <w:r>
        <w:rPr>
          <w:rFonts w:hint="default" w:ascii="仿宋_GB2312" w:hAnsi="宋体" w:eastAsia="仿宋_GB2312" w:cs="宋体"/>
          <w:b w:val="0"/>
          <w:bCs w:val="0"/>
          <w:color w:val="000000"/>
          <w:kern w:val="0"/>
          <w:sz w:val="32"/>
          <w:szCs w:val="32"/>
          <w:highlight w:val="none"/>
          <w:lang w:val="en-US" w:eastAsia="zh-CN"/>
        </w:rPr>
        <w:t>≧</w:t>
      </w:r>
      <w:r>
        <w:rPr>
          <w:rFonts w:hint="eastAsia" w:ascii="仿宋_GB2312" w:hAnsi="宋体" w:cs="宋体"/>
          <w:b w:val="0"/>
          <w:bCs w:val="0"/>
          <w:color w:val="000000"/>
          <w:kern w:val="0"/>
          <w:sz w:val="32"/>
          <w:szCs w:val="32"/>
          <w:highlight w:val="none"/>
          <w:lang w:val="en-US" w:eastAsia="zh-CN"/>
        </w:rPr>
        <w:t>30cm，通过对</w:t>
      </w:r>
      <w:r>
        <w:rPr>
          <w:rFonts w:hint="default" w:ascii="仿宋_GB2312" w:hAnsi="宋体" w:eastAsia="仿宋_GB2312" w:cs="宋体"/>
          <w:b w:val="0"/>
          <w:bCs w:val="0"/>
          <w:color w:val="000000"/>
          <w:kern w:val="0"/>
          <w:sz w:val="32"/>
          <w:szCs w:val="32"/>
          <w:highlight w:val="none"/>
          <w:lang w:val="en-US" w:eastAsia="zh-CN"/>
        </w:rPr>
        <w:t>6个监测点运维实现农田扬尘抑制率≧32%。申请财政贴息的贷款项目按时还本付息比例</w:t>
      </w:r>
      <w:r>
        <w:rPr>
          <w:rFonts w:hint="eastAsia" w:ascii="仿宋_GB2312" w:hAnsi="宋体" w:cs="宋体"/>
          <w:b w:val="0"/>
          <w:bCs w:val="0"/>
          <w:color w:val="000000"/>
          <w:kern w:val="0"/>
          <w:sz w:val="32"/>
          <w:szCs w:val="32"/>
          <w:highlight w:val="none"/>
          <w:lang w:val="en-US" w:eastAsia="zh-CN"/>
        </w:rPr>
        <w:t>提升。</w:t>
      </w:r>
      <w:r>
        <w:rPr>
          <w:rFonts w:hint="eastAsia" w:ascii="仿宋_GB2312" w:hAnsi="宋体" w:cs="宋体"/>
          <w:b/>
          <w:bCs/>
          <w:color w:val="000000"/>
          <w:kern w:val="0"/>
          <w:sz w:val="32"/>
          <w:szCs w:val="32"/>
          <w:highlight w:val="none"/>
          <w:lang w:val="en-US" w:eastAsia="zh-CN"/>
        </w:rPr>
        <w:t>三是</w:t>
      </w:r>
      <w:r>
        <w:rPr>
          <w:rFonts w:hint="eastAsia" w:ascii="仿宋_GB2312" w:hAnsi="宋体" w:cs="宋体"/>
          <w:b w:val="0"/>
          <w:bCs w:val="0"/>
          <w:color w:val="000000"/>
          <w:kern w:val="0"/>
          <w:sz w:val="32"/>
          <w:szCs w:val="32"/>
          <w:highlight w:val="none"/>
          <w:lang w:val="en-US" w:eastAsia="zh-CN"/>
        </w:rPr>
        <w:t>打造乡村示范片区，改善人居环境方面。美丽乡村建设等工作符合相关要求。</w:t>
      </w:r>
      <w:r>
        <w:rPr>
          <w:rFonts w:hint="eastAsia" w:ascii="仿宋_GB2312" w:hAnsi="宋体" w:eastAsia="仿宋_GB2312" w:cs="宋体"/>
          <w:b w:val="0"/>
          <w:bCs w:val="0"/>
          <w:color w:val="000000"/>
          <w:kern w:val="0"/>
          <w:sz w:val="32"/>
          <w:szCs w:val="32"/>
          <w:highlight w:val="none"/>
        </w:rPr>
        <w:t>享受“煤改电”低谷电价电费补贴用户覆盖率</w:t>
      </w:r>
      <w:r>
        <w:rPr>
          <w:rFonts w:hint="eastAsia" w:ascii="仿宋_GB2312" w:hAnsi="宋体" w:cs="宋体"/>
          <w:b w:val="0"/>
          <w:bCs w:val="0"/>
          <w:color w:val="000000"/>
          <w:kern w:val="0"/>
          <w:sz w:val="32"/>
          <w:szCs w:val="32"/>
          <w:highlight w:val="none"/>
          <w:lang w:val="en-US" w:eastAsia="zh-CN"/>
        </w:rPr>
        <w:t>达100%。</w:t>
      </w:r>
      <w:r>
        <w:rPr>
          <w:rFonts w:hint="eastAsia" w:ascii="仿宋_GB2312" w:hAnsi="宋体" w:cs="宋体"/>
          <w:b/>
          <w:bCs/>
          <w:color w:val="000000"/>
          <w:kern w:val="0"/>
          <w:sz w:val="32"/>
          <w:szCs w:val="32"/>
          <w:highlight w:val="none"/>
          <w:lang w:val="en-US" w:eastAsia="zh-CN"/>
        </w:rPr>
        <w:t>四是</w:t>
      </w:r>
      <w:r>
        <w:rPr>
          <w:rFonts w:hint="eastAsia" w:ascii="仿宋_GB2312" w:hAnsi="宋体" w:cs="宋体"/>
          <w:b w:val="0"/>
          <w:bCs w:val="0"/>
          <w:color w:val="000000"/>
          <w:kern w:val="0"/>
          <w:sz w:val="32"/>
          <w:szCs w:val="32"/>
          <w:highlight w:val="none"/>
          <w:lang w:val="en-US" w:eastAsia="zh-CN"/>
        </w:rPr>
        <w:t>加强监管，壮大集体经济方面。全区完成监督抽检农产品合格率99.76%；风险监测农产品合格率100%</w:t>
      </w:r>
      <w:r>
        <w:rPr>
          <w:rFonts w:hint="default" w:ascii="仿宋_GB2312" w:hAnsi="宋体" w:cs="宋体"/>
          <w:b w:val="0"/>
          <w:bCs w:val="0"/>
          <w:color w:val="000000"/>
          <w:kern w:val="0"/>
          <w:sz w:val="32"/>
          <w:szCs w:val="32"/>
          <w:highlight w:val="none"/>
          <w:lang w:eastAsia="zh-CN"/>
        </w:rPr>
        <w:t>。圆满完成了“中非”论坛、北京两会、全国两会等重大活动保障任务。全区未发生重大农产品质量安全事故。</w:t>
      </w:r>
      <w:r>
        <w:rPr>
          <w:rFonts w:hint="eastAsia" w:ascii="仿宋_GB2312" w:hAnsi="宋体" w:cs="宋体"/>
          <w:b/>
          <w:bCs/>
          <w:color w:val="000000"/>
          <w:kern w:val="0"/>
          <w:sz w:val="32"/>
          <w:szCs w:val="32"/>
          <w:highlight w:val="none"/>
          <w:lang w:val="en-US" w:eastAsia="zh-CN"/>
        </w:rPr>
        <w:t>五是</w:t>
      </w:r>
      <w:r>
        <w:rPr>
          <w:rFonts w:hint="eastAsia" w:ascii="仿宋_GB2312" w:hAnsi="宋体" w:cs="宋体"/>
          <w:b w:val="0"/>
          <w:bCs w:val="0"/>
          <w:color w:val="000000"/>
          <w:kern w:val="0"/>
          <w:sz w:val="32"/>
          <w:szCs w:val="32"/>
          <w:highlight w:val="none"/>
          <w:lang w:val="en-US" w:eastAsia="zh-CN"/>
        </w:rPr>
        <w:t>强化党建，培养人才方面。各项均按计划标准实施。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宋体" w:cs="宋体"/>
          <w:b w:val="0"/>
          <w:bCs w:val="0"/>
          <w:color w:val="000000"/>
          <w:kern w:val="0"/>
          <w:sz w:val="32"/>
          <w:szCs w:val="32"/>
          <w:highlight w:val="none"/>
          <w:lang w:val="en-US" w:eastAsia="zh-CN"/>
        </w:rPr>
      </w:pPr>
      <w:r>
        <w:rPr>
          <w:rFonts w:hint="default" w:ascii="仿宋_GB2312" w:hAnsi="宋体" w:cs="宋体"/>
          <w:b w:val="0"/>
          <w:bCs w:val="0"/>
          <w:color w:val="000000"/>
          <w:kern w:val="0"/>
          <w:sz w:val="32"/>
          <w:szCs w:val="32"/>
          <w:highlight w:val="none"/>
          <w:lang w:val="en-US" w:eastAsia="zh-CN"/>
        </w:rPr>
        <w:t>整体上，我</w:t>
      </w:r>
      <w:r>
        <w:rPr>
          <w:rFonts w:hint="eastAsia" w:ascii="仿宋_GB2312" w:hAnsi="宋体" w:cs="宋体"/>
          <w:b w:val="0"/>
          <w:bCs w:val="0"/>
          <w:color w:val="000000"/>
          <w:kern w:val="0"/>
          <w:sz w:val="32"/>
          <w:szCs w:val="32"/>
          <w:highlight w:val="none"/>
          <w:lang w:val="en-US" w:eastAsia="zh-CN"/>
        </w:rPr>
        <w:t>局</w:t>
      </w:r>
      <w:r>
        <w:rPr>
          <w:rFonts w:hint="default" w:ascii="仿宋_GB2312" w:hAnsi="宋体" w:cs="宋体"/>
          <w:b w:val="0"/>
          <w:bCs w:val="0"/>
          <w:color w:val="000000"/>
          <w:kern w:val="0"/>
          <w:sz w:val="32"/>
          <w:szCs w:val="32"/>
          <w:highlight w:val="none"/>
          <w:lang w:val="en-US" w:eastAsia="zh-CN"/>
        </w:rPr>
        <w:t>202</w:t>
      </w:r>
      <w:r>
        <w:rPr>
          <w:rFonts w:hint="eastAsia" w:ascii="仿宋_GB2312" w:hAnsi="宋体" w:cs="宋体"/>
          <w:b w:val="0"/>
          <w:bCs w:val="0"/>
          <w:color w:val="000000"/>
          <w:kern w:val="0"/>
          <w:sz w:val="32"/>
          <w:szCs w:val="32"/>
          <w:highlight w:val="none"/>
          <w:lang w:val="en-US" w:eastAsia="zh-CN"/>
        </w:rPr>
        <w:t>4</w:t>
      </w:r>
      <w:r>
        <w:rPr>
          <w:rFonts w:hint="default" w:ascii="仿宋_GB2312" w:hAnsi="宋体" w:cs="宋体"/>
          <w:b w:val="0"/>
          <w:bCs w:val="0"/>
          <w:color w:val="000000"/>
          <w:kern w:val="0"/>
          <w:sz w:val="32"/>
          <w:szCs w:val="32"/>
          <w:highlight w:val="none"/>
          <w:lang w:val="en-US" w:eastAsia="zh-CN"/>
        </w:rPr>
        <w:t>年度各项任务产出质量整体较好。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2"/>
        <w:rPr>
          <w:rFonts w:ascii="仿宋_GB2312" w:hAnsi="宋体" w:eastAsia="仿宋_GB2312" w:cs="宋体"/>
          <w:b w:val="0"/>
          <w:bCs w:val="0"/>
          <w:color w:val="000000"/>
          <w:kern w:val="0"/>
          <w:sz w:val="32"/>
          <w:szCs w:val="32"/>
          <w:highlight w:val="none"/>
        </w:rPr>
      </w:pPr>
      <w:r>
        <w:rPr>
          <w:rFonts w:hint="eastAsia" w:ascii="仿宋_GB2312" w:hAnsi="宋体" w:cs="宋体"/>
          <w:b w:val="0"/>
          <w:bCs w:val="0"/>
          <w:color w:val="000000"/>
          <w:kern w:val="0"/>
          <w:sz w:val="32"/>
          <w:szCs w:val="32"/>
          <w:highlight w:val="none"/>
          <w:lang w:val="en-US" w:eastAsia="zh-CN"/>
        </w:rPr>
        <w:t>3.</w:t>
      </w:r>
      <w:r>
        <w:rPr>
          <w:rFonts w:hint="eastAsia" w:ascii="仿宋_GB2312" w:hAnsi="宋体" w:eastAsia="仿宋_GB2312" w:cs="宋体"/>
          <w:b w:val="0"/>
          <w:bCs w:val="0"/>
          <w:color w:val="000000"/>
          <w:kern w:val="0"/>
          <w:sz w:val="32"/>
          <w:szCs w:val="32"/>
          <w:highlight w:val="none"/>
        </w:rPr>
        <w:t>产出</w:t>
      </w:r>
      <w:r>
        <w:rPr>
          <w:rFonts w:ascii="仿宋_GB2312" w:hAnsi="宋体" w:eastAsia="仿宋_GB2312" w:cs="宋体"/>
          <w:b w:val="0"/>
          <w:bCs w:val="0"/>
          <w:color w:val="000000"/>
          <w:kern w:val="0"/>
          <w:sz w:val="32"/>
          <w:szCs w:val="32"/>
          <w:highlight w:val="none"/>
        </w:rPr>
        <w:t>进度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rPr>
        <w:t>202</w:t>
      </w:r>
      <w:r>
        <w:rPr>
          <w:rFonts w:hint="eastAsia" w:ascii="仿宋_GB2312" w:hAnsi="宋体" w:cs="宋体"/>
          <w:b w:val="0"/>
          <w:bCs w:val="0"/>
          <w:color w:val="000000"/>
          <w:kern w:val="0"/>
          <w:sz w:val="32"/>
          <w:szCs w:val="32"/>
          <w:highlight w:val="none"/>
          <w:lang w:val="en-US" w:eastAsia="zh-CN"/>
        </w:rPr>
        <w:t>4</w:t>
      </w:r>
      <w:r>
        <w:rPr>
          <w:rFonts w:hint="eastAsia" w:ascii="仿宋_GB2312" w:hAnsi="宋体" w:eastAsia="仿宋_GB2312" w:cs="宋体"/>
          <w:b w:val="0"/>
          <w:bCs w:val="0"/>
          <w:color w:val="000000"/>
          <w:kern w:val="0"/>
          <w:sz w:val="32"/>
          <w:szCs w:val="32"/>
          <w:highlight w:val="none"/>
        </w:rPr>
        <w:t>年度，</w:t>
      </w:r>
      <w:r>
        <w:rPr>
          <w:rFonts w:hint="eastAsia" w:ascii="仿宋_GB2312" w:hAnsi="宋体" w:cs="宋体"/>
          <w:b w:val="0"/>
          <w:bCs w:val="0"/>
          <w:color w:val="000000"/>
          <w:kern w:val="0"/>
          <w:sz w:val="32"/>
          <w:szCs w:val="32"/>
          <w:highlight w:val="none"/>
          <w:lang w:val="en-US" w:eastAsia="zh-CN"/>
        </w:rPr>
        <w:t>我局</w:t>
      </w:r>
      <w:r>
        <w:rPr>
          <w:rFonts w:hint="eastAsia" w:ascii="仿宋_GB2312" w:hAnsi="宋体" w:eastAsia="仿宋_GB2312" w:cs="宋体"/>
          <w:b w:val="0"/>
          <w:bCs w:val="0"/>
          <w:color w:val="000000"/>
          <w:kern w:val="0"/>
          <w:sz w:val="32"/>
          <w:szCs w:val="32"/>
          <w:highlight w:val="none"/>
        </w:rPr>
        <w:t>项目基本均按计划</w:t>
      </w:r>
      <w:r>
        <w:rPr>
          <w:rFonts w:hint="eastAsia" w:ascii="仿宋_GB2312" w:hAnsi="宋体" w:cs="宋体"/>
          <w:b w:val="0"/>
          <w:bCs w:val="0"/>
          <w:color w:val="000000"/>
          <w:kern w:val="0"/>
          <w:sz w:val="32"/>
          <w:szCs w:val="32"/>
          <w:highlight w:val="none"/>
          <w:lang w:val="en-US" w:eastAsia="zh-CN"/>
        </w:rPr>
        <w:t>进度序时完成</w:t>
      </w:r>
      <w:r>
        <w:rPr>
          <w:rFonts w:hint="eastAsia" w:ascii="仿宋_GB2312" w:hAnsi="宋体" w:eastAsia="仿宋_GB2312" w:cs="宋体"/>
          <w:b w:val="0"/>
          <w:bCs w:val="0"/>
          <w:color w:val="000000"/>
          <w:kern w:val="0"/>
          <w:sz w:val="32"/>
          <w:szCs w:val="32"/>
          <w:highlight w:val="none"/>
        </w:rPr>
        <w:t>。</w:t>
      </w:r>
      <w:r>
        <w:rPr>
          <w:rFonts w:hint="eastAsia" w:ascii="仿宋_GB2312" w:hAnsi="宋体" w:cs="宋体"/>
          <w:b w:val="0"/>
          <w:bCs w:val="0"/>
          <w:color w:val="000000"/>
          <w:kern w:val="0"/>
          <w:sz w:val="32"/>
          <w:szCs w:val="32"/>
          <w:highlight w:val="none"/>
          <w:lang w:val="en-US" w:eastAsia="zh-CN"/>
        </w:rPr>
        <w:t>个别项目资金支付略有滞后结转至2025年支付。</w:t>
      </w:r>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2"/>
        <w:rPr>
          <w:rFonts w:ascii="仿宋_GB2312" w:hAnsi="宋体" w:eastAsia="仿宋_GB2312" w:cs="宋体"/>
          <w:b w:val="0"/>
          <w:bCs w:val="0"/>
          <w:color w:val="000000"/>
          <w:kern w:val="0"/>
          <w:sz w:val="32"/>
          <w:szCs w:val="32"/>
          <w:highlight w:val="none"/>
        </w:rPr>
      </w:pPr>
      <w:r>
        <w:rPr>
          <w:rFonts w:ascii="仿宋_GB2312" w:hAnsi="宋体" w:eastAsia="仿宋_GB2312" w:cs="宋体"/>
          <w:b w:val="0"/>
          <w:bCs w:val="0"/>
          <w:color w:val="000000"/>
          <w:kern w:val="0"/>
          <w:sz w:val="32"/>
          <w:szCs w:val="32"/>
          <w:highlight w:val="none"/>
        </w:rPr>
        <w:t>4.</w:t>
      </w:r>
      <w:r>
        <w:rPr>
          <w:rFonts w:hint="eastAsia" w:ascii="仿宋_GB2312" w:hAnsi="宋体" w:eastAsia="仿宋_GB2312" w:cs="宋体"/>
          <w:b w:val="0"/>
          <w:bCs w:val="0"/>
          <w:color w:val="000000"/>
          <w:kern w:val="0"/>
          <w:sz w:val="32"/>
          <w:szCs w:val="32"/>
          <w:highlight w:val="none"/>
        </w:rPr>
        <w:t>产出</w:t>
      </w:r>
      <w:r>
        <w:rPr>
          <w:rFonts w:ascii="仿宋_GB2312" w:hAnsi="宋体" w:eastAsia="仿宋_GB2312" w:cs="宋体"/>
          <w:b w:val="0"/>
          <w:bCs w:val="0"/>
          <w:color w:val="000000"/>
          <w:kern w:val="0"/>
          <w:sz w:val="32"/>
          <w:szCs w:val="32"/>
          <w:highlight w:val="none"/>
        </w:rPr>
        <w:t>成本</w:t>
      </w:r>
    </w:p>
    <w:p>
      <w:pPr>
        <w:spacing w:line="600" w:lineRule="exact"/>
        <w:ind w:left="150" w:leftChars="50" w:firstLine="480" w:firstLineChars="150"/>
        <w:rPr>
          <w:rFonts w:hint="eastAsia" w:ascii="仿宋_GB2312" w:hAnsi="仿宋_GB2312" w:eastAsia="仿宋_GB2312" w:cs="仿宋_GB2312"/>
          <w:b w:val="0"/>
          <w:bCs w:val="0"/>
          <w:sz w:val="32"/>
          <w:szCs w:val="32"/>
          <w:highlight w:val="none"/>
        </w:rPr>
      </w:pPr>
      <w:r>
        <w:rPr>
          <w:rFonts w:hint="eastAsia" w:ascii="仿宋_GB2312" w:hAnsi="仿宋_GB2312" w:cs="仿宋_GB2312"/>
          <w:b w:val="0"/>
          <w:bCs w:val="0"/>
          <w:sz w:val="32"/>
          <w:szCs w:val="32"/>
          <w:highlight w:val="none"/>
          <w:lang w:val="en-US" w:eastAsia="zh-CN"/>
        </w:rPr>
        <w:t>2024</w:t>
      </w:r>
      <w:r>
        <w:rPr>
          <w:rFonts w:hint="eastAsia" w:ascii="仿宋_GB2312" w:hAnsi="仿宋_GB2312" w:eastAsia="仿宋_GB2312" w:cs="仿宋_GB2312"/>
          <w:b w:val="0"/>
          <w:bCs w:val="0"/>
          <w:sz w:val="32"/>
          <w:szCs w:val="32"/>
          <w:highlight w:val="none"/>
        </w:rPr>
        <w:t>年度工作开展过程中，我</w:t>
      </w:r>
      <w:r>
        <w:rPr>
          <w:rFonts w:hint="eastAsia" w:ascii="仿宋_GB2312" w:hAnsi="仿宋_GB2312" w:cs="仿宋_GB2312"/>
          <w:b w:val="0"/>
          <w:bCs w:val="0"/>
          <w:sz w:val="32"/>
          <w:szCs w:val="32"/>
          <w:highlight w:val="none"/>
          <w:lang w:val="en-US" w:eastAsia="zh-CN"/>
        </w:rPr>
        <w:t>局</w:t>
      </w:r>
      <w:r>
        <w:rPr>
          <w:rFonts w:hint="eastAsia" w:ascii="仿宋_GB2312" w:hAnsi="仿宋_GB2312" w:eastAsia="仿宋_GB2312" w:cs="仿宋_GB2312"/>
          <w:b w:val="0"/>
          <w:bCs w:val="0"/>
          <w:sz w:val="32"/>
          <w:szCs w:val="32"/>
          <w:highlight w:val="none"/>
        </w:rPr>
        <w:t>各项产出活动均在财政批复的资金范围内开展，并通过公开招标等</w:t>
      </w:r>
      <w:r>
        <w:rPr>
          <w:rFonts w:hint="eastAsia" w:ascii="仿宋_GB2312" w:hAnsi="仿宋_GB2312" w:cs="仿宋_GB2312"/>
          <w:b w:val="0"/>
          <w:bCs w:val="0"/>
          <w:sz w:val="32"/>
          <w:szCs w:val="32"/>
          <w:highlight w:val="none"/>
          <w:lang w:val="en-US" w:eastAsia="zh-CN"/>
        </w:rPr>
        <w:t>方式</w:t>
      </w:r>
      <w:r>
        <w:rPr>
          <w:rFonts w:hint="eastAsia" w:ascii="仿宋_GB2312" w:hAnsi="仿宋_GB2312" w:eastAsia="仿宋_GB2312" w:cs="仿宋_GB2312"/>
          <w:b w:val="0"/>
          <w:bCs w:val="0"/>
          <w:sz w:val="32"/>
          <w:szCs w:val="32"/>
          <w:highlight w:val="none"/>
        </w:rPr>
        <w:t>节约财政资金，各项经费未出现超预算支出</w:t>
      </w:r>
      <w:r>
        <w:rPr>
          <w:rFonts w:hint="eastAsia" w:ascii="仿宋_GB2312" w:hAnsi="仿宋_GB2312" w:cs="仿宋_GB2312"/>
          <w:b w:val="0"/>
          <w:bCs w:val="0"/>
          <w:sz w:val="32"/>
          <w:szCs w:val="32"/>
          <w:highlight w:val="none"/>
          <w:lang w:val="en-US" w:eastAsia="zh-CN"/>
        </w:rPr>
        <w:t>的</w:t>
      </w:r>
      <w:r>
        <w:rPr>
          <w:rFonts w:hint="eastAsia" w:ascii="仿宋_GB2312" w:hAnsi="仿宋_GB2312" w:eastAsia="仿宋_GB2312" w:cs="仿宋_GB2312"/>
          <w:b w:val="0"/>
          <w:bCs w:val="0"/>
          <w:sz w:val="32"/>
          <w:szCs w:val="32"/>
          <w:highlight w:val="none"/>
        </w:rPr>
        <w:t>情况，实际成本控制在预算批复范围内。部门整体支出成本控制较好。</w:t>
      </w:r>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1"/>
        <w:rPr>
          <w:rFonts w:ascii="楷体_GB2312" w:hAnsi="Calibri" w:eastAsia="楷体_GB2312" w:cs="Times New Roman"/>
          <w:b w:val="0"/>
          <w:bCs w:val="0"/>
          <w:sz w:val="32"/>
          <w:szCs w:val="32"/>
          <w:highlight w:val="none"/>
        </w:rPr>
      </w:pPr>
      <w:bookmarkStart w:id="7" w:name="_Toc14056"/>
      <w:r>
        <w:rPr>
          <w:rFonts w:hint="eastAsia" w:ascii="楷体_GB2312" w:hAnsi="Calibri" w:eastAsia="楷体_GB2312" w:cs="Times New Roman"/>
          <w:b w:val="0"/>
          <w:bCs w:val="0"/>
          <w:sz w:val="32"/>
          <w:szCs w:val="32"/>
          <w:highlight w:val="none"/>
        </w:rPr>
        <w:t>（二）效果</w:t>
      </w:r>
      <w:r>
        <w:rPr>
          <w:rFonts w:ascii="楷体_GB2312" w:hAnsi="Calibri" w:eastAsia="楷体_GB2312" w:cs="Times New Roman"/>
          <w:b w:val="0"/>
          <w:bCs w:val="0"/>
          <w:sz w:val="32"/>
          <w:szCs w:val="32"/>
          <w:highlight w:val="none"/>
        </w:rPr>
        <w:t>实现情况分析</w:t>
      </w:r>
      <w:bookmarkEnd w:id="7"/>
    </w:p>
    <w:p>
      <w:pPr>
        <w:spacing w:line="600" w:lineRule="exact"/>
        <w:ind w:left="150" w:leftChars="50" w:firstLine="480" w:firstLineChars="150"/>
        <w:rPr>
          <w:rFonts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1.经济</w:t>
      </w:r>
      <w:r>
        <w:rPr>
          <w:rFonts w:ascii="仿宋_GB2312" w:hAnsi="宋体" w:eastAsia="仿宋_GB2312" w:cs="宋体"/>
          <w:b w:val="0"/>
          <w:bCs w:val="0"/>
          <w:color w:val="000000"/>
          <w:kern w:val="0"/>
          <w:sz w:val="32"/>
          <w:szCs w:val="32"/>
          <w:highlight w:val="none"/>
        </w:rPr>
        <w:t>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cs="宋体"/>
          <w:b w:val="0"/>
          <w:bCs w:val="0"/>
          <w:color w:val="000000"/>
          <w:kern w:val="0"/>
          <w:sz w:val="32"/>
          <w:szCs w:val="32"/>
          <w:highlight w:val="none"/>
          <w:lang w:val="en-US" w:eastAsia="zh-CN"/>
        </w:rPr>
        <w:t>通过创建台湖镇“环影宿游”示范片区，形成民宿主导、多产融合发展态势。</w:t>
      </w:r>
      <w:r>
        <w:rPr>
          <w:rFonts w:hint="eastAsia" w:ascii="仿宋_GB2312" w:hAnsi="宋体" w:eastAsia="仿宋_GB2312" w:cs="宋体"/>
          <w:b w:val="0"/>
          <w:bCs w:val="0"/>
          <w:color w:val="000000"/>
          <w:kern w:val="0"/>
          <w:sz w:val="32"/>
          <w:szCs w:val="32"/>
          <w:highlight w:val="none"/>
        </w:rPr>
        <w:t>充分吸纳村民就近就业，农户年平均租金收入</w:t>
      </w:r>
      <w:r>
        <w:rPr>
          <w:rFonts w:hint="eastAsia" w:ascii="仿宋_GB2312" w:hAnsi="宋体" w:cs="宋体"/>
          <w:b w:val="0"/>
          <w:bCs w:val="0"/>
          <w:color w:val="000000"/>
          <w:kern w:val="0"/>
          <w:sz w:val="32"/>
          <w:szCs w:val="32"/>
          <w:highlight w:val="none"/>
          <w:lang w:val="en-US" w:eastAsia="zh-CN"/>
        </w:rPr>
        <w:t>显著提升</w:t>
      </w:r>
      <w:r>
        <w:rPr>
          <w:rFonts w:hint="eastAsia" w:ascii="仿宋_GB2312" w:hAnsi="宋体" w:cs="宋体"/>
          <w:b w:val="0"/>
          <w:bCs w:val="0"/>
          <w:color w:val="000000"/>
          <w:kern w:val="0"/>
          <w:sz w:val="32"/>
          <w:szCs w:val="32"/>
          <w:highlight w:val="none"/>
          <w:lang w:eastAsia="zh-CN"/>
        </w:rPr>
        <w:t>，</w:t>
      </w:r>
      <w:r>
        <w:rPr>
          <w:rFonts w:hint="eastAsia" w:ascii="仿宋_GB2312" w:hAnsi="宋体" w:cs="宋体"/>
          <w:b w:val="0"/>
          <w:bCs w:val="0"/>
          <w:color w:val="000000"/>
          <w:kern w:val="0"/>
          <w:sz w:val="32"/>
          <w:szCs w:val="32"/>
          <w:highlight w:val="none"/>
          <w:lang w:val="en-US" w:eastAsia="zh-CN"/>
        </w:rPr>
        <w:t>有</w:t>
      </w:r>
      <w:r>
        <w:rPr>
          <w:rFonts w:hint="eastAsia" w:ascii="仿宋_GB2312" w:hAnsi="宋体" w:eastAsia="仿宋_GB2312" w:cs="宋体"/>
          <w:b w:val="0"/>
          <w:bCs w:val="0"/>
          <w:color w:val="000000"/>
          <w:kern w:val="0"/>
          <w:sz w:val="32"/>
          <w:szCs w:val="32"/>
          <w:highlight w:val="none"/>
        </w:rPr>
        <w:t>效促进农民增收。</w:t>
      </w:r>
      <w:r>
        <w:rPr>
          <w:rFonts w:hint="eastAsia" w:ascii="仿宋_GB2312" w:hAnsi="宋体" w:cs="宋体"/>
          <w:b w:val="0"/>
          <w:bCs w:val="0"/>
          <w:color w:val="000000"/>
          <w:kern w:val="0"/>
          <w:sz w:val="32"/>
          <w:szCs w:val="32"/>
          <w:highlight w:val="none"/>
          <w:lang w:val="en-US" w:eastAsia="zh-CN"/>
        </w:rPr>
        <w:t>通过支持村镇发展新型农村集体经济，支持村集体建成可持续性增收产业，带动村集体经济收入不断增加，村集体自我保障能力及带动能力不断增强。</w:t>
      </w:r>
    </w:p>
    <w:p>
      <w:pPr>
        <w:spacing w:line="600" w:lineRule="exact"/>
        <w:ind w:left="150" w:leftChars="50" w:firstLine="480" w:firstLineChars="150"/>
        <w:rPr>
          <w:rFonts w:hint="eastAsia"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2.社会效益</w:t>
      </w:r>
    </w:p>
    <w:p>
      <w:pPr>
        <w:spacing w:line="600" w:lineRule="exact"/>
        <w:ind w:left="150" w:leftChars="50" w:firstLine="480" w:firstLineChars="150"/>
        <w:rPr>
          <w:rFonts w:hint="eastAsia" w:ascii="仿宋_GB2312" w:hAnsi="宋体" w:cs="宋体"/>
          <w:b w:val="0"/>
          <w:bCs w:val="0"/>
          <w:color w:val="000000"/>
          <w:kern w:val="0"/>
          <w:sz w:val="32"/>
          <w:szCs w:val="32"/>
          <w:highlight w:val="none"/>
          <w:lang w:val="en-US" w:eastAsia="zh-CN"/>
        </w:rPr>
      </w:pPr>
      <w:r>
        <w:rPr>
          <w:rFonts w:hint="eastAsia" w:ascii="仿宋_GB2312" w:hAnsi="宋体" w:cs="宋体"/>
          <w:b w:val="0"/>
          <w:bCs w:val="0"/>
          <w:color w:val="000000"/>
          <w:kern w:val="0"/>
          <w:sz w:val="32"/>
          <w:szCs w:val="32"/>
          <w:highlight w:val="none"/>
          <w:lang w:val="en-US" w:eastAsia="zh-CN"/>
        </w:rPr>
        <w:t>通过对全区各项惠农补贴工作开展全过程审计、监督、管理工作，保障资金安全，提升工作质量。通过菜田补贴，提升种植主体积极性，促进蔬菜生产面积有序提升并稳定，保障蔬菜生产任务完成。通过开展耕地质量等级监测评价与分类管理等工作，有效保护耕地质量。通过开展政策性农业保险工作，提高通州区农业抗灾能力，保证农民稳定增收，降低农民损失。以“大棚房”问题专项清理整治行动为契机，形成目标明确、上下一体、部门联动、职责清晰、标准统一的长效工作机制，坚决防止“大棚房”问题发生反弹。通过开展高效设施农业建设项目，提高单位面积产出率，直接带动基地对当前生产经营模式转型。通过举办种业大会，推介“京农·运河人家”区域公共品牌，</w:t>
      </w:r>
      <w:r>
        <w:rPr>
          <w:rFonts w:hint="default" w:ascii="仿宋_GB2312" w:hAnsi="宋体" w:cs="宋体"/>
          <w:b w:val="0"/>
          <w:bCs w:val="0"/>
          <w:color w:val="000000"/>
          <w:kern w:val="0"/>
          <w:sz w:val="32"/>
          <w:szCs w:val="32"/>
          <w:highlight w:val="none"/>
          <w:lang w:val="en-US" w:eastAsia="zh-CN"/>
        </w:rPr>
        <w:t>充分利用</w:t>
      </w:r>
      <w:r>
        <w:rPr>
          <w:rFonts w:hint="eastAsia" w:ascii="仿宋_GB2312" w:hAnsi="宋体" w:cs="宋体"/>
          <w:b w:val="0"/>
          <w:bCs w:val="0"/>
          <w:color w:val="000000"/>
          <w:kern w:val="0"/>
          <w:sz w:val="32"/>
          <w:szCs w:val="32"/>
          <w:highlight w:val="none"/>
          <w:lang w:val="en-US" w:eastAsia="zh-CN"/>
        </w:rPr>
        <w:t>新闻报道、</w:t>
      </w:r>
      <w:r>
        <w:rPr>
          <w:rFonts w:hint="default" w:ascii="仿宋_GB2312" w:hAnsi="宋体" w:cs="宋体"/>
          <w:b w:val="0"/>
          <w:bCs w:val="0"/>
          <w:color w:val="000000"/>
          <w:kern w:val="0"/>
          <w:sz w:val="32"/>
          <w:szCs w:val="32"/>
          <w:highlight w:val="none"/>
          <w:lang w:val="en-US" w:eastAsia="zh-CN"/>
        </w:rPr>
        <w:t>网络</w:t>
      </w:r>
      <w:r>
        <w:rPr>
          <w:rFonts w:hint="eastAsia" w:ascii="仿宋_GB2312" w:hAnsi="宋体" w:cs="宋体"/>
          <w:b w:val="0"/>
          <w:bCs w:val="0"/>
          <w:color w:val="000000"/>
          <w:kern w:val="0"/>
          <w:sz w:val="32"/>
          <w:szCs w:val="32"/>
          <w:highlight w:val="none"/>
          <w:lang w:val="en-US" w:eastAsia="zh-CN"/>
        </w:rPr>
        <w:t>媒体</w:t>
      </w:r>
      <w:r>
        <w:rPr>
          <w:rFonts w:hint="default" w:ascii="仿宋_GB2312" w:hAnsi="宋体" w:cs="宋体"/>
          <w:b w:val="0"/>
          <w:bCs w:val="0"/>
          <w:color w:val="000000"/>
          <w:kern w:val="0"/>
          <w:sz w:val="32"/>
          <w:szCs w:val="32"/>
          <w:highlight w:val="none"/>
          <w:lang w:val="en-US" w:eastAsia="zh-CN"/>
        </w:rPr>
        <w:t>等渠道</w:t>
      </w:r>
      <w:r>
        <w:rPr>
          <w:rFonts w:hint="eastAsia" w:ascii="仿宋_GB2312" w:hAnsi="宋体" w:cs="宋体"/>
          <w:b w:val="0"/>
          <w:bCs w:val="0"/>
          <w:color w:val="000000"/>
          <w:kern w:val="0"/>
          <w:sz w:val="32"/>
          <w:szCs w:val="32"/>
          <w:highlight w:val="none"/>
          <w:lang w:val="en-US" w:eastAsia="zh-CN"/>
        </w:rPr>
        <w:t>，提升了</w:t>
      </w:r>
      <w:r>
        <w:rPr>
          <w:rFonts w:hint="default" w:ascii="仿宋_GB2312" w:hAnsi="宋体" w:cs="宋体"/>
          <w:b w:val="0"/>
          <w:bCs w:val="0"/>
          <w:color w:val="000000"/>
          <w:kern w:val="0"/>
          <w:sz w:val="32"/>
          <w:szCs w:val="32"/>
          <w:highlight w:val="none"/>
          <w:lang w:val="en-US" w:eastAsia="zh-CN"/>
        </w:rPr>
        <w:t>区域品牌社会影响力，</w:t>
      </w:r>
      <w:r>
        <w:rPr>
          <w:rFonts w:hint="eastAsia" w:ascii="仿宋_GB2312" w:hAnsi="宋体" w:cs="宋体"/>
          <w:b w:val="0"/>
          <w:bCs w:val="0"/>
          <w:color w:val="000000"/>
          <w:kern w:val="0"/>
          <w:sz w:val="32"/>
          <w:szCs w:val="32"/>
          <w:highlight w:val="none"/>
          <w:lang w:val="en-US" w:eastAsia="zh-CN"/>
        </w:rPr>
        <w:t>促进参与企业主体不断增加。通过开展农村实用人才等业务培训，有效</w:t>
      </w:r>
      <w:r>
        <w:rPr>
          <w:rFonts w:hint="default" w:ascii="仿宋_GB2312" w:hAnsi="宋体" w:cs="宋体"/>
          <w:b w:val="0"/>
          <w:bCs w:val="0"/>
          <w:color w:val="000000"/>
          <w:kern w:val="0"/>
          <w:sz w:val="32"/>
          <w:szCs w:val="32"/>
          <w:highlight w:val="none"/>
          <w:lang w:val="en-US" w:eastAsia="zh-CN"/>
        </w:rPr>
        <w:t>提高</w:t>
      </w:r>
      <w:r>
        <w:rPr>
          <w:rFonts w:hint="eastAsia" w:ascii="仿宋_GB2312" w:hAnsi="宋体" w:cs="宋体"/>
          <w:b w:val="0"/>
          <w:bCs w:val="0"/>
          <w:color w:val="000000"/>
          <w:kern w:val="0"/>
          <w:sz w:val="32"/>
          <w:szCs w:val="32"/>
          <w:highlight w:val="none"/>
          <w:lang w:val="en-US" w:eastAsia="zh-CN"/>
        </w:rPr>
        <w:t>农民和</w:t>
      </w:r>
      <w:r>
        <w:rPr>
          <w:rFonts w:hint="default" w:ascii="仿宋_GB2312" w:hAnsi="宋体" w:cs="宋体"/>
          <w:b w:val="0"/>
          <w:bCs w:val="0"/>
          <w:color w:val="000000"/>
          <w:kern w:val="0"/>
          <w:sz w:val="32"/>
          <w:szCs w:val="32"/>
          <w:highlight w:val="none"/>
          <w:lang w:val="en-US" w:eastAsia="zh-CN"/>
        </w:rPr>
        <w:t>农技人员</w:t>
      </w:r>
      <w:r>
        <w:rPr>
          <w:rFonts w:hint="eastAsia" w:ascii="仿宋_GB2312" w:hAnsi="宋体" w:cs="宋体"/>
          <w:b w:val="0"/>
          <w:bCs w:val="0"/>
          <w:color w:val="000000"/>
          <w:kern w:val="0"/>
          <w:sz w:val="32"/>
          <w:szCs w:val="32"/>
          <w:highlight w:val="none"/>
          <w:lang w:val="en-US" w:eastAsia="zh-CN"/>
        </w:rPr>
        <w:t>专业</w:t>
      </w:r>
      <w:r>
        <w:rPr>
          <w:rFonts w:hint="default" w:ascii="仿宋_GB2312" w:hAnsi="宋体" w:cs="宋体"/>
          <w:b w:val="0"/>
          <w:bCs w:val="0"/>
          <w:color w:val="000000"/>
          <w:kern w:val="0"/>
          <w:sz w:val="32"/>
          <w:szCs w:val="32"/>
          <w:highlight w:val="none"/>
          <w:lang w:val="en-US" w:eastAsia="zh-CN"/>
        </w:rPr>
        <w:t>能力</w:t>
      </w:r>
      <w:r>
        <w:rPr>
          <w:rFonts w:hint="eastAsia" w:ascii="仿宋_GB2312" w:hAnsi="宋体" w:cs="宋体"/>
          <w:b w:val="0"/>
          <w:bCs w:val="0"/>
          <w:color w:val="000000"/>
          <w:kern w:val="0"/>
          <w:sz w:val="32"/>
          <w:szCs w:val="32"/>
          <w:highlight w:val="none"/>
          <w:lang w:val="en-US" w:eastAsia="zh-CN"/>
        </w:rPr>
        <w:t>。</w:t>
      </w:r>
    </w:p>
    <w:p>
      <w:pPr>
        <w:numPr>
          <w:ilvl w:val="0"/>
          <w:numId w:val="0"/>
        </w:numPr>
        <w:spacing w:line="600" w:lineRule="exact"/>
        <w:ind w:leftChars="200"/>
        <w:rPr>
          <w:rFonts w:hint="eastAsia" w:ascii="仿宋_GB2312" w:hAnsi="宋体" w:cs="宋体"/>
          <w:b w:val="0"/>
          <w:bCs w:val="0"/>
          <w:color w:val="000000"/>
          <w:kern w:val="0"/>
          <w:sz w:val="32"/>
          <w:szCs w:val="32"/>
          <w:highlight w:val="none"/>
          <w:lang w:val="en-US" w:eastAsia="zh-CN"/>
        </w:rPr>
      </w:pPr>
      <w:r>
        <w:rPr>
          <w:rFonts w:hint="eastAsia" w:ascii="仿宋_GB2312" w:hAnsi="宋体" w:cs="宋体"/>
          <w:b w:val="0"/>
          <w:bCs w:val="0"/>
          <w:color w:val="000000"/>
          <w:kern w:val="0"/>
          <w:sz w:val="32"/>
          <w:szCs w:val="32"/>
          <w:highlight w:val="none"/>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宋体" w:cs="宋体"/>
          <w:b w:val="0"/>
          <w:bCs w:val="0"/>
          <w:color w:val="000000"/>
          <w:kern w:val="0"/>
          <w:sz w:val="32"/>
          <w:szCs w:val="32"/>
          <w:highlight w:val="none"/>
          <w:lang w:val="en-US" w:eastAsia="zh-CN"/>
        </w:rPr>
      </w:pPr>
      <w:r>
        <w:rPr>
          <w:rFonts w:hint="eastAsia" w:ascii="仿宋_GB2312" w:hAnsi="宋体" w:cs="宋体"/>
          <w:b w:val="0"/>
          <w:bCs w:val="0"/>
          <w:color w:val="000000"/>
          <w:kern w:val="0"/>
          <w:sz w:val="32"/>
          <w:szCs w:val="32"/>
          <w:highlight w:val="none"/>
          <w:lang w:val="en-US" w:eastAsia="zh-CN"/>
        </w:rPr>
        <w:t>通过有机肥补贴，促进商品有机肥部分替代化肥，持续推进农业生态环境改善。通过对“煤改电”电费进行补贴，有效降低了平房住户冬季使用电取暖负担电费的资金压力。空气质量明显改善，重污染天数较大幅度减少。在全区推广农机深松整地、秸秆粉碎覆盖还田、少免耕播种三项抑制季节性裸露农田扬尘的关键保护性耕作技术，有效抑制土壤风蚀，减少农田扬尘。</w:t>
      </w:r>
    </w:p>
    <w:p>
      <w:pPr>
        <w:numPr>
          <w:ilvl w:val="0"/>
          <w:numId w:val="0"/>
        </w:numPr>
        <w:spacing w:line="600" w:lineRule="exact"/>
        <w:ind w:leftChars="200"/>
        <w:rPr>
          <w:rFonts w:hint="default" w:ascii="仿宋_GB2312" w:hAnsi="宋体" w:eastAsia="仿宋_GB2312" w:cs="宋体"/>
          <w:b w:val="0"/>
          <w:bCs w:val="0"/>
          <w:color w:val="000000"/>
          <w:kern w:val="0"/>
          <w:sz w:val="32"/>
          <w:szCs w:val="32"/>
          <w:highlight w:val="none"/>
          <w:lang w:val="en-US" w:eastAsia="zh-CN"/>
        </w:rPr>
      </w:pPr>
      <w:r>
        <w:rPr>
          <w:rFonts w:hint="eastAsia" w:ascii="仿宋_GB2312" w:hAnsi="宋体" w:cs="宋体"/>
          <w:b w:val="0"/>
          <w:bCs w:val="0"/>
          <w:color w:val="000000"/>
          <w:kern w:val="0"/>
          <w:sz w:val="32"/>
          <w:szCs w:val="32"/>
          <w:highlight w:val="none"/>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宋体" w:eastAsia="仿宋_GB2312" w:cs="宋体"/>
          <w:b w:val="0"/>
          <w:bCs w:val="0"/>
          <w:color w:val="000000"/>
          <w:kern w:val="0"/>
          <w:sz w:val="32"/>
          <w:szCs w:val="32"/>
          <w:highlight w:val="none"/>
        </w:rPr>
      </w:pPr>
      <w:r>
        <w:rPr>
          <w:rFonts w:hint="eastAsia" w:ascii="仿宋_GB2312" w:hAnsi="宋体" w:cs="宋体"/>
          <w:b w:val="0"/>
          <w:bCs w:val="0"/>
          <w:color w:val="000000"/>
          <w:kern w:val="0"/>
          <w:sz w:val="32"/>
          <w:szCs w:val="32"/>
          <w:highlight w:val="none"/>
          <w:lang w:val="en-US" w:eastAsia="zh-CN"/>
        </w:rPr>
        <w:t>通过高标准农田建设等工作的开展，</w:t>
      </w:r>
      <w:r>
        <w:rPr>
          <w:rFonts w:hint="eastAsia" w:ascii="仿宋_GB2312" w:hAnsi="宋体" w:eastAsia="仿宋_GB2312" w:cs="宋体"/>
          <w:b w:val="0"/>
          <w:bCs w:val="0"/>
          <w:color w:val="000000"/>
          <w:kern w:val="0"/>
          <w:sz w:val="32"/>
          <w:szCs w:val="32"/>
          <w:highlight w:val="none"/>
        </w:rPr>
        <w:t>有效巩固和提高了农业生产能力，为保障粮食安全筑牢根基，还极大地提升了农田综合生产能力。</w:t>
      </w:r>
      <w:r>
        <w:rPr>
          <w:rFonts w:hint="eastAsia" w:ascii="仿宋_GB2312" w:hAnsi="宋体" w:cs="宋体"/>
          <w:b w:val="0"/>
          <w:bCs w:val="0"/>
          <w:color w:val="000000"/>
          <w:kern w:val="0"/>
          <w:sz w:val="32"/>
          <w:szCs w:val="32"/>
          <w:highlight w:val="none"/>
          <w:lang w:val="en-US" w:eastAsia="zh-CN"/>
        </w:rPr>
        <w:t>同时</w:t>
      </w:r>
      <w:r>
        <w:rPr>
          <w:rFonts w:hint="eastAsia" w:ascii="仿宋_GB2312" w:hAnsi="宋体" w:eastAsia="仿宋_GB2312" w:cs="宋体"/>
          <w:b w:val="0"/>
          <w:bCs w:val="0"/>
          <w:color w:val="000000"/>
          <w:kern w:val="0"/>
          <w:sz w:val="32"/>
          <w:szCs w:val="32"/>
          <w:highlight w:val="none"/>
        </w:rPr>
        <w:t>，高标准农田设施</w:t>
      </w:r>
      <w:r>
        <w:rPr>
          <w:rFonts w:hint="eastAsia" w:ascii="仿宋_GB2312" w:hAnsi="宋体" w:cs="宋体"/>
          <w:b w:val="0"/>
          <w:bCs w:val="0"/>
          <w:color w:val="000000"/>
          <w:kern w:val="0"/>
          <w:sz w:val="32"/>
          <w:szCs w:val="32"/>
          <w:highlight w:val="none"/>
          <w:lang w:val="en-US" w:eastAsia="zh-CN"/>
        </w:rPr>
        <w:t>的</w:t>
      </w:r>
      <w:r>
        <w:rPr>
          <w:rFonts w:hint="eastAsia" w:ascii="仿宋_GB2312" w:hAnsi="宋体" w:eastAsia="仿宋_GB2312" w:cs="宋体"/>
          <w:b w:val="0"/>
          <w:bCs w:val="0"/>
          <w:color w:val="000000"/>
          <w:kern w:val="0"/>
          <w:sz w:val="32"/>
          <w:szCs w:val="32"/>
          <w:highlight w:val="none"/>
        </w:rPr>
        <w:t>完善，</w:t>
      </w:r>
      <w:r>
        <w:rPr>
          <w:rFonts w:hint="eastAsia" w:ascii="仿宋_GB2312" w:hAnsi="宋体" w:cs="宋体"/>
          <w:b w:val="0"/>
          <w:bCs w:val="0"/>
          <w:color w:val="000000"/>
          <w:kern w:val="0"/>
          <w:sz w:val="32"/>
          <w:szCs w:val="32"/>
          <w:highlight w:val="none"/>
          <w:lang w:val="en-US" w:eastAsia="zh-CN"/>
        </w:rPr>
        <w:t>提高了抗</w:t>
      </w:r>
      <w:r>
        <w:rPr>
          <w:rFonts w:hint="eastAsia" w:ascii="仿宋_GB2312" w:hAnsi="宋体" w:eastAsia="仿宋_GB2312" w:cs="宋体"/>
          <w:b w:val="0"/>
          <w:bCs w:val="0"/>
          <w:color w:val="000000"/>
          <w:kern w:val="0"/>
          <w:sz w:val="32"/>
          <w:szCs w:val="32"/>
          <w:highlight w:val="none"/>
        </w:rPr>
        <w:t>灾能力，有效抵御自然灾害对农业生产的影响</w:t>
      </w:r>
      <w:r>
        <w:rPr>
          <w:rFonts w:hint="eastAsia" w:ascii="仿宋_GB2312" w:hAnsi="宋体"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rPr>
        <w:t>平均节水率显著提升，实现了水资源的高效利用，为农业可持续发展提供了有力支撑。</w:t>
      </w:r>
    </w:p>
    <w:p>
      <w:pPr>
        <w:spacing w:line="600" w:lineRule="exact"/>
        <w:ind w:left="150" w:leftChars="50" w:firstLine="480" w:firstLineChars="150"/>
        <w:rPr>
          <w:rFonts w:ascii="仿宋_GB2312" w:hAnsi="宋体" w:eastAsia="仿宋_GB2312" w:cs="宋体"/>
          <w:b w:val="0"/>
          <w:bCs w:val="0"/>
          <w:color w:val="000000"/>
          <w:kern w:val="0"/>
          <w:sz w:val="32"/>
          <w:szCs w:val="32"/>
          <w:highlight w:val="none"/>
        </w:rPr>
      </w:pPr>
      <w:r>
        <w:rPr>
          <w:rFonts w:hint="eastAsia" w:ascii="仿宋_GB2312" w:hAnsi="宋体" w:cs="宋体"/>
          <w:b w:val="0"/>
          <w:bCs w:val="0"/>
          <w:color w:val="000000"/>
          <w:kern w:val="0"/>
          <w:sz w:val="32"/>
          <w:szCs w:val="32"/>
          <w:highlight w:val="none"/>
          <w:lang w:val="en-US" w:eastAsia="zh-CN"/>
        </w:rPr>
        <w:t>5</w:t>
      </w:r>
      <w:r>
        <w:rPr>
          <w:rFonts w:hint="eastAsia" w:ascii="仿宋_GB2312" w:hAnsi="宋体" w:eastAsia="仿宋_GB2312" w:cs="宋体"/>
          <w:b w:val="0"/>
          <w:bCs w:val="0"/>
          <w:color w:val="000000"/>
          <w:kern w:val="0"/>
          <w:sz w:val="32"/>
          <w:szCs w:val="32"/>
          <w:highlight w:val="none"/>
        </w:rPr>
        <w:t>.服务对象</w:t>
      </w:r>
      <w:r>
        <w:rPr>
          <w:rFonts w:ascii="仿宋_GB2312" w:hAnsi="宋体" w:eastAsia="仿宋_GB2312" w:cs="宋体"/>
          <w:b w:val="0"/>
          <w:bCs w:val="0"/>
          <w:color w:val="000000"/>
          <w:kern w:val="0"/>
          <w:sz w:val="32"/>
          <w:szCs w:val="32"/>
          <w:highlight w:val="none"/>
        </w:rPr>
        <w:t>满意度</w:t>
      </w:r>
    </w:p>
    <w:p>
      <w:pPr>
        <w:spacing w:line="600" w:lineRule="exact"/>
        <w:ind w:left="150" w:leftChars="50" w:firstLine="480" w:firstLineChars="150"/>
        <w:rPr>
          <w:rFonts w:ascii="仿宋_GB2312" w:hAnsi="宋体" w:eastAsia="仿宋_GB2312" w:cs="宋体"/>
          <w:b w:val="0"/>
          <w:bCs w:val="0"/>
          <w:color w:val="000000"/>
          <w:kern w:val="0"/>
          <w:sz w:val="32"/>
          <w:szCs w:val="32"/>
          <w:highlight w:val="none"/>
        </w:rPr>
      </w:pPr>
      <w:r>
        <w:rPr>
          <w:rFonts w:hint="eastAsia" w:ascii="仿宋_GB2312" w:hAnsi="宋体" w:cs="宋体"/>
          <w:b w:val="0"/>
          <w:bCs w:val="0"/>
          <w:color w:val="000000"/>
          <w:kern w:val="0"/>
          <w:sz w:val="32"/>
          <w:szCs w:val="32"/>
          <w:highlight w:val="none"/>
          <w:lang w:val="en-US" w:eastAsia="zh-CN"/>
        </w:rPr>
        <w:t>项目实施过程中，服务对象满意度基本都大于90%。但个别</w:t>
      </w:r>
      <w:r>
        <w:rPr>
          <w:rFonts w:hint="eastAsia" w:ascii="仿宋_GB2312" w:hAnsi="宋体" w:eastAsia="仿宋_GB2312" w:cs="宋体"/>
          <w:b w:val="0"/>
          <w:bCs w:val="0"/>
          <w:color w:val="000000"/>
          <w:kern w:val="0"/>
          <w:sz w:val="32"/>
          <w:szCs w:val="32"/>
          <w:highlight w:val="none"/>
        </w:rPr>
        <w:t>项目未及时开展问卷调查，</w:t>
      </w:r>
      <w:r>
        <w:rPr>
          <w:rFonts w:hint="eastAsia" w:ascii="仿宋_GB2312" w:hAnsi="宋体" w:cs="宋体"/>
          <w:b w:val="0"/>
          <w:bCs w:val="0"/>
          <w:color w:val="000000"/>
          <w:kern w:val="0"/>
          <w:sz w:val="32"/>
          <w:szCs w:val="32"/>
          <w:highlight w:val="none"/>
          <w:lang w:val="en-US" w:eastAsia="zh-CN"/>
        </w:rPr>
        <w:t>效益资料不够完整，</w:t>
      </w:r>
      <w:r>
        <w:rPr>
          <w:rFonts w:hint="eastAsia" w:ascii="仿宋_GB2312" w:hAnsi="宋体" w:eastAsia="仿宋_GB2312" w:cs="宋体"/>
          <w:b w:val="0"/>
          <w:bCs w:val="0"/>
          <w:color w:val="000000"/>
          <w:kern w:val="0"/>
          <w:sz w:val="32"/>
          <w:szCs w:val="32"/>
          <w:highlight w:val="none"/>
        </w:rPr>
        <w:t>不利于反映项目整体实施效果。</w:t>
      </w:r>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0"/>
        <w:rPr>
          <w:rFonts w:hint="eastAsia" w:ascii="黑体" w:hAnsi="黑体" w:eastAsia="黑体" w:cs="宋体"/>
          <w:b w:val="0"/>
          <w:bCs w:val="0"/>
          <w:color w:val="000000"/>
          <w:kern w:val="0"/>
          <w:sz w:val="32"/>
          <w:szCs w:val="32"/>
          <w:highlight w:val="none"/>
        </w:rPr>
      </w:pPr>
      <w:bookmarkStart w:id="8" w:name="_Toc7736"/>
      <w:r>
        <w:rPr>
          <w:rFonts w:hint="eastAsia" w:ascii="黑体" w:hAnsi="黑体" w:eastAsia="黑体" w:cs="宋体"/>
          <w:b w:val="0"/>
          <w:bCs w:val="0"/>
          <w:color w:val="000000"/>
          <w:kern w:val="0"/>
          <w:sz w:val="32"/>
          <w:szCs w:val="32"/>
          <w:highlight w:val="none"/>
        </w:rPr>
        <w:t>四</w:t>
      </w:r>
      <w:r>
        <w:rPr>
          <w:rFonts w:ascii="黑体" w:hAnsi="黑体" w:eastAsia="黑体" w:cs="宋体"/>
          <w:b w:val="0"/>
          <w:bCs w:val="0"/>
          <w:color w:val="000000"/>
          <w:kern w:val="0"/>
          <w:sz w:val="32"/>
          <w:szCs w:val="32"/>
          <w:highlight w:val="none"/>
        </w:rPr>
        <w:t>、预算管理</w:t>
      </w:r>
      <w:r>
        <w:rPr>
          <w:rFonts w:hint="eastAsia" w:ascii="黑体" w:hAnsi="黑体" w:eastAsia="黑体" w:cs="宋体"/>
          <w:b w:val="0"/>
          <w:bCs w:val="0"/>
          <w:color w:val="000000"/>
          <w:kern w:val="0"/>
          <w:sz w:val="32"/>
          <w:szCs w:val="32"/>
          <w:highlight w:val="none"/>
        </w:rPr>
        <w:t>情况分</w:t>
      </w:r>
      <w:r>
        <w:rPr>
          <w:rFonts w:ascii="黑体" w:hAnsi="黑体" w:eastAsia="黑体" w:cs="宋体"/>
          <w:b w:val="0"/>
          <w:bCs w:val="0"/>
          <w:color w:val="000000"/>
          <w:kern w:val="0"/>
          <w:sz w:val="32"/>
          <w:szCs w:val="32"/>
          <w:highlight w:val="none"/>
        </w:rPr>
        <w:t>析</w:t>
      </w:r>
      <w:bookmarkEnd w:id="8"/>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1"/>
        <w:rPr>
          <w:rFonts w:ascii="楷体_GB2312" w:hAnsi="Calibri" w:eastAsia="楷体_GB2312" w:cs="Times New Roman"/>
          <w:b w:val="0"/>
          <w:bCs w:val="0"/>
          <w:sz w:val="32"/>
          <w:szCs w:val="32"/>
          <w:highlight w:val="none"/>
        </w:rPr>
      </w:pPr>
      <w:bookmarkStart w:id="9" w:name="_Toc9149"/>
      <w:r>
        <w:rPr>
          <w:rFonts w:hint="eastAsia" w:ascii="楷体_GB2312" w:hAnsi="Calibri" w:eastAsia="楷体_GB2312" w:cs="Times New Roman"/>
          <w:b w:val="0"/>
          <w:bCs w:val="0"/>
          <w:sz w:val="32"/>
          <w:szCs w:val="32"/>
          <w:highlight w:val="none"/>
        </w:rPr>
        <w:t>（一）财务管理</w:t>
      </w:r>
      <w:bookmarkEnd w:id="9"/>
    </w:p>
    <w:p>
      <w:pPr>
        <w:spacing w:line="600" w:lineRule="exact"/>
        <w:ind w:left="150" w:leftChars="50" w:firstLine="480" w:firstLineChars="150"/>
        <w:rPr>
          <w:rFonts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1.财务</w:t>
      </w:r>
      <w:r>
        <w:rPr>
          <w:rFonts w:ascii="仿宋_GB2312" w:hAnsi="宋体" w:eastAsia="仿宋_GB2312" w:cs="宋体"/>
          <w:b w:val="0"/>
          <w:bCs w:val="0"/>
          <w:color w:val="000000"/>
          <w:kern w:val="0"/>
          <w:sz w:val="32"/>
          <w:szCs w:val="32"/>
          <w:highlight w:val="none"/>
        </w:rPr>
        <w:t>管理制度健全性</w:t>
      </w:r>
    </w:p>
    <w:p>
      <w:pPr>
        <w:spacing w:line="600" w:lineRule="exact"/>
        <w:ind w:left="150" w:leftChars="50" w:firstLine="480" w:firstLineChars="150"/>
        <w:rPr>
          <w:rFonts w:hint="eastAsia" w:ascii="仿宋_GB2312" w:hAnsi="宋体" w:cs="宋体"/>
          <w:b w:val="0"/>
          <w:bCs w:val="0"/>
          <w:color w:val="000000"/>
          <w:kern w:val="0"/>
          <w:sz w:val="32"/>
          <w:szCs w:val="32"/>
          <w:highlight w:val="none"/>
          <w:lang w:eastAsia="zh-CN"/>
        </w:rPr>
      </w:pPr>
      <w:r>
        <w:rPr>
          <w:rFonts w:hint="eastAsia" w:ascii="仿宋_GB2312" w:hAnsi="宋体" w:eastAsia="仿宋_GB2312" w:cs="宋体"/>
          <w:b w:val="0"/>
          <w:bCs w:val="0"/>
          <w:color w:val="000000"/>
          <w:kern w:val="0"/>
          <w:sz w:val="32"/>
          <w:szCs w:val="32"/>
          <w:highlight w:val="none"/>
        </w:rPr>
        <w:t>为加强财务管理和规范资金使用，</w:t>
      </w:r>
      <w:r>
        <w:rPr>
          <w:rFonts w:hint="eastAsia" w:ascii="仿宋_GB2312" w:hAnsi="宋体" w:cs="宋体"/>
          <w:b w:val="0"/>
          <w:bCs w:val="0"/>
          <w:color w:val="000000"/>
          <w:kern w:val="0"/>
          <w:sz w:val="32"/>
          <w:szCs w:val="32"/>
          <w:highlight w:val="none"/>
          <w:lang w:val="en-US" w:eastAsia="zh-CN"/>
        </w:rPr>
        <w:t>我局</w:t>
      </w:r>
      <w:r>
        <w:rPr>
          <w:rFonts w:hint="eastAsia" w:ascii="仿宋_GB2312" w:hAnsi="宋体" w:eastAsia="仿宋_GB2312" w:cs="宋体"/>
          <w:b w:val="0"/>
          <w:bCs w:val="0"/>
          <w:color w:val="000000"/>
          <w:kern w:val="0"/>
          <w:sz w:val="32"/>
          <w:szCs w:val="32"/>
          <w:highlight w:val="none"/>
        </w:rPr>
        <w:t>依据《中华人民共和国预算法》《行政事业单位内部控制规范（试行）》《政府会计制度》等法律法规，结合实际情况，建立了财务管理、采购管理、资产管理、合同管理等制度，使财务管理有章可循</w:t>
      </w:r>
      <w:r>
        <w:rPr>
          <w:rFonts w:hint="eastAsia" w:ascii="仿宋_GB2312" w:hAnsi="宋体" w:cs="宋体"/>
          <w:b w:val="0"/>
          <w:bCs w:val="0"/>
          <w:color w:val="000000"/>
          <w:kern w:val="0"/>
          <w:sz w:val="32"/>
          <w:szCs w:val="32"/>
          <w:highlight w:val="none"/>
          <w:lang w:eastAsia="zh-CN"/>
        </w:rPr>
        <w:t>。</w:t>
      </w:r>
    </w:p>
    <w:p>
      <w:pPr>
        <w:spacing w:line="600" w:lineRule="exact"/>
        <w:ind w:left="150" w:leftChars="50" w:firstLine="480" w:firstLineChars="150"/>
        <w:rPr>
          <w:rFonts w:hint="default" w:ascii="仿宋_GB2312" w:hAnsi="宋体" w:eastAsia="仿宋_GB2312" w:cs="宋体"/>
          <w:b w:val="0"/>
          <w:bCs w:val="0"/>
          <w:color w:val="000000"/>
          <w:kern w:val="0"/>
          <w:sz w:val="32"/>
          <w:szCs w:val="32"/>
          <w:highlight w:val="none"/>
          <w:lang w:val="en-US" w:eastAsia="zh-CN"/>
        </w:rPr>
      </w:pPr>
      <w:r>
        <w:rPr>
          <w:rFonts w:hint="eastAsia" w:ascii="仿宋_GB2312" w:hAnsi="宋体" w:cs="宋体"/>
          <w:b w:val="0"/>
          <w:bCs w:val="0"/>
          <w:color w:val="000000"/>
          <w:kern w:val="0"/>
          <w:sz w:val="32"/>
          <w:szCs w:val="32"/>
          <w:highlight w:val="none"/>
          <w:lang w:val="en-US" w:eastAsia="zh-CN"/>
        </w:rPr>
        <w:t>为了进一步规范内部管理，提升工作效率，根据《中共北京市通州区委农村工作委员会关于落实“三重一大”制度的实施办法》《中共北京市通州区委农村工作委员会议事规则》《北京市通州区农业农村局局长行政事务办公会和局长专题会议事规则》，财务部门对《北京市通州区农业农村局机关财务管理制度》《北京市通州区农业农村局日常资金支出及费用报销实施细则》《北京市通州区农业农村局基层单位财务监督管理制度》中涉及大额基本支出、重大项目等内容的财务审批流程进行了修订，2024年制定了《机关财务管理制度》《日常资金支出及费用报销实施细则》等相关制度，进一步明确了财务管理的要求。</w:t>
      </w:r>
    </w:p>
    <w:p>
      <w:pPr>
        <w:spacing w:line="600" w:lineRule="exact"/>
        <w:ind w:left="150" w:leftChars="50" w:firstLine="480" w:firstLineChars="150"/>
        <w:rPr>
          <w:rFonts w:ascii="仿宋_GB2312" w:hAnsi="宋体" w:eastAsia="仿宋_GB2312" w:cs="宋体"/>
          <w:b w:val="0"/>
          <w:bCs w:val="0"/>
          <w:color w:val="000000"/>
          <w:kern w:val="0"/>
          <w:sz w:val="32"/>
          <w:szCs w:val="32"/>
          <w:highlight w:val="none"/>
        </w:rPr>
      </w:pPr>
      <w:r>
        <w:rPr>
          <w:rFonts w:hint="eastAsia" w:ascii="仿宋_GB2312" w:hAnsi="宋体" w:eastAsia="仿宋_GB2312" w:cs="宋体"/>
          <w:b w:val="0"/>
          <w:bCs w:val="0"/>
          <w:color w:val="000000"/>
          <w:kern w:val="0"/>
          <w:sz w:val="32"/>
          <w:szCs w:val="32"/>
          <w:highlight w:val="none"/>
        </w:rPr>
        <w:t>2.资金使用合规性</w:t>
      </w:r>
      <w:r>
        <w:rPr>
          <w:rFonts w:ascii="仿宋_GB2312" w:hAnsi="宋体" w:eastAsia="仿宋_GB2312" w:cs="宋体"/>
          <w:b w:val="0"/>
          <w:bCs w:val="0"/>
          <w:color w:val="000000"/>
          <w:kern w:val="0"/>
          <w:sz w:val="32"/>
          <w:szCs w:val="32"/>
          <w:highlight w:val="none"/>
        </w:rPr>
        <w:t>和安全性</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highlight w:val="none"/>
        </w:rPr>
      </w:pPr>
      <w:r>
        <w:rPr>
          <w:rFonts w:ascii="仿宋_GB2312" w:hAnsi="宋体" w:eastAsia="仿宋_GB2312" w:cs="仿宋_GB2312"/>
          <w:color w:val="000000"/>
          <w:kern w:val="0"/>
          <w:sz w:val="31"/>
          <w:szCs w:val="31"/>
          <w:highlight w:val="none"/>
          <w:lang w:val="en-US" w:eastAsia="zh-CN" w:bidi="ar"/>
        </w:rPr>
        <w:t>202</w:t>
      </w:r>
      <w:r>
        <w:rPr>
          <w:rFonts w:hint="eastAsia" w:ascii="仿宋_GB2312" w:hAnsi="宋体" w:cs="仿宋_GB2312"/>
          <w:color w:val="000000"/>
          <w:kern w:val="0"/>
          <w:sz w:val="31"/>
          <w:szCs w:val="31"/>
          <w:highlight w:val="none"/>
          <w:lang w:val="en-US" w:eastAsia="zh-CN" w:bidi="ar"/>
        </w:rPr>
        <w:t>4</w:t>
      </w:r>
      <w:r>
        <w:rPr>
          <w:rFonts w:ascii="仿宋_GB2312" w:hAnsi="宋体" w:eastAsia="仿宋_GB2312" w:cs="仿宋_GB2312"/>
          <w:color w:val="000000"/>
          <w:kern w:val="0"/>
          <w:sz w:val="31"/>
          <w:szCs w:val="31"/>
          <w:highlight w:val="none"/>
          <w:lang w:val="en-US" w:eastAsia="zh-CN" w:bidi="ar"/>
        </w:rPr>
        <w:t>年度工作推进过程中，我</w:t>
      </w:r>
      <w:r>
        <w:rPr>
          <w:rFonts w:hint="eastAsia" w:ascii="仿宋_GB2312" w:hAnsi="宋体" w:cs="仿宋_GB2312"/>
          <w:color w:val="000000"/>
          <w:kern w:val="0"/>
          <w:sz w:val="31"/>
          <w:szCs w:val="31"/>
          <w:highlight w:val="none"/>
          <w:lang w:val="en-US" w:eastAsia="zh-CN" w:bidi="ar"/>
        </w:rPr>
        <w:t>局</w:t>
      </w:r>
      <w:r>
        <w:rPr>
          <w:rFonts w:hint="eastAsia" w:ascii="仿宋_GB2312" w:hAnsi="宋体" w:eastAsia="仿宋_GB2312" w:cs="仿宋_GB2312"/>
          <w:color w:val="000000"/>
          <w:kern w:val="0"/>
          <w:sz w:val="31"/>
          <w:szCs w:val="31"/>
          <w:highlight w:val="none"/>
          <w:lang w:val="en-US" w:eastAsia="zh-CN" w:bidi="ar"/>
        </w:rPr>
        <w:t>主要根据北京市行政事业单位财务制度及单位内部财务管理制度进行资金使用和财务管控。资金拨付有完整的审批程序和手续，项目重大开支经过评估论证，符合部门预算批复用途，会计核算规范，不存在截留、挤占、挪用、虚列支出等情况。资金使用符合政府采购的程序和流程，能够按要求公开政府采购计划。资金使用符合相关制度和规定。</w:t>
      </w:r>
    </w:p>
    <w:p>
      <w:pPr>
        <w:numPr>
          <w:ilvl w:val="0"/>
          <w:numId w:val="0"/>
        </w:numPr>
        <w:spacing w:line="600" w:lineRule="exact"/>
        <w:ind w:leftChars="200"/>
        <w:rPr>
          <w:rFonts w:ascii="仿宋_GB2312" w:hAnsi="宋体" w:eastAsia="仿宋_GB2312" w:cs="宋体"/>
          <w:b w:val="0"/>
          <w:bCs w:val="0"/>
          <w:color w:val="000000"/>
          <w:kern w:val="0"/>
          <w:sz w:val="32"/>
          <w:szCs w:val="32"/>
          <w:highlight w:val="none"/>
        </w:rPr>
      </w:pPr>
      <w:r>
        <w:rPr>
          <w:rFonts w:hint="eastAsia" w:ascii="仿宋_GB2312" w:hAnsi="宋体" w:cs="宋体"/>
          <w:b w:val="0"/>
          <w:bCs w:val="0"/>
          <w:color w:val="000000"/>
          <w:kern w:val="0"/>
          <w:sz w:val="32"/>
          <w:szCs w:val="32"/>
          <w:highlight w:val="none"/>
          <w:lang w:val="en-US" w:eastAsia="zh-CN"/>
        </w:rPr>
        <w:t>3.</w:t>
      </w:r>
      <w:r>
        <w:rPr>
          <w:rFonts w:hint="eastAsia" w:ascii="仿宋_GB2312" w:hAnsi="宋体" w:eastAsia="仿宋_GB2312" w:cs="宋体"/>
          <w:b w:val="0"/>
          <w:bCs w:val="0"/>
          <w:color w:val="000000"/>
          <w:kern w:val="0"/>
          <w:sz w:val="32"/>
          <w:szCs w:val="32"/>
          <w:highlight w:val="none"/>
        </w:rPr>
        <w:t>会计</w:t>
      </w:r>
      <w:r>
        <w:rPr>
          <w:rFonts w:ascii="仿宋_GB2312" w:hAnsi="宋体" w:eastAsia="仿宋_GB2312" w:cs="宋体"/>
          <w:b w:val="0"/>
          <w:bCs w:val="0"/>
          <w:color w:val="000000"/>
          <w:kern w:val="0"/>
          <w:sz w:val="32"/>
          <w:szCs w:val="32"/>
          <w:highlight w:val="none"/>
        </w:rPr>
        <w:t>基础信息完善性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ascii="仿宋_GB2312" w:hAnsi="宋体" w:eastAsia="仿宋_GB2312" w:cs="宋体"/>
          <w:b w:val="0"/>
          <w:bCs w:val="0"/>
          <w:color w:val="000000"/>
          <w:kern w:val="0"/>
          <w:sz w:val="32"/>
          <w:szCs w:val="32"/>
          <w:highlight w:val="none"/>
        </w:rPr>
      </w:pPr>
      <w:r>
        <w:rPr>
          <w:rFonts w:hint="eastAsia" w:ascii="仿宋_GB2312" w:hAnsi="宋体" w:cs="宋体"/>
          <w:b w:val="0"/>
          <w:bCs w:val="0"/>
          <w:color w:val="000000"/>
          <w:kern w:val="0"/>
          <w:sz w:val="32"/>
          <w:szCs w:val="32"/>
          <w:highlight w:val="none"/>
          <w:lang w:val="en-US" w:eastAsia="zh-CN"/>
        </w:rPr>
        <w:t>我局</w:t>
      </w:r>
      <w:r>
        <w:rPr>
          <w:rFonts w:hint="eastAsia" w:ascii="仿宋_GB2312" w:hAnsi="宋体" w:eastAsia="仿宋_GB2312" w:cs="宋体"/>
          <w:b w:val="0"/>
          <w:bCs w:val="0"/>
          <w:color w:val="000000"/>
          <w:kern w:val="0"/>
          <w:sz w:val="32"/>
          <w:szCs w:val="32"/>
          <w:highlight w:val="none"/>
        </w:rPr>
        <w:t>严格执行政府会计准则，认真审核原始凭证、规范编制记账凭证，及时做好会计核算，如实编报财务报告，确保会计档案资料完整有效；准确反映单位财务状况，做好预算收支情况分析；不断加强对预决算、财务报告、内控管理等各项制度的学习和完善，规范做好落实，始终确保会计基础工作扎实和有效，会计数据信息资料真实、完整、准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_GB2312" w:hAnsi="Calibri" w:eastAsia="楷体_GB2312" w:cs="Times New Roman"/>
          <w:b w:val="0"/>
          <w:bCs w:val="0"/>
          <w:sz w:val="32"/>
          <w:szCs w:val="32"/>
          <w:highlight w:val="none"/>
        </w:rPr>
      </w:pPr>
      <w:bookmarkStart w:id="10" w:name="_Toc27204"/>
      <w:r>
        <w:rPr>
          <w:rFonts w:hint="eastAsia" w:ascii="楷体_GB2312" w:hAnsi="Calibri" w:eastAsia="楷体_GB2312" w:cs="Times New Roman"/>
          <w:b w:val="0"/>
          <w:bCs w:val="0"/>
          <w:sz w:val="32"/>
          <w:szCs w:val="32"/>
          <w:highlight w:val="none"/>
          <w:lang w:eastAsia="zh-CN"/>
        </w:rPr>
        <w:t>（</w:t>
      </w:r>
      <w:r>
        <w:rPr>
          <w:rFonts w:hint="eastAsia" w:ascii="楷体_GB2312" w:hAnsi="Calibri" w:eastAsia="楷体_GB2312" w:cs="Times New Roman"/>
          <w:b w:val="0"/>
          <w:bCs w:val="0"/>
          <w:sz w:val="32"/>
          <w:szCs w:val="32"/>
          <w:highlight w:val="none"/>
          <w:lang w:val="en-US" w:eastAsia="zh-CN"/>
        </w:rPr>
        <w:t>二</w:t>
      </w:r>
      <w:r>
        <w:rPr>
          <w:rFonts w:hint="eastAsia" w:ascii="楷体_GB2312" w:hAnsi="Calibri" w:eastAsia="楷体_GB2312" w:cs="Times New Roman"/>
          <w:b w:val="0"/>
          <w:bCs w:val="0"/>
          <w:sz w:val="32"/>
          <w:szCs w:val="32"/>
          <w:highlight w:val="none"/>
          <w:lang w:eastAsia="zh-CN"/>
        </w:rPr>
        <w:t>）</w:t>
      </w:r>
      <w:r>
        <w:rPr>
          <w:rFonts w:hint="eastAsia" w:ascii="楷体_GB2312" w:hAnsi="Calibri" w:eastAsia="楷体_GB2312" w:cs="Times New Roman"/>
          <w:b w:val="0"/>
          <w:bCs w:val="0"/>
          <w:sz w:val="32"/>
          <w:szCs w:val="32"/>
          <w:highlight w:val="none"/>
        </w:rPr>
        <w:t>资产管理</w:t>
      </w:r>
      <w:bookmarkEnd w:id="10"/>
    </w:p>
    <w:p>
      <w:pPr>
        <w:numPr>
          <w:ilvl w:val="0"/>
          <w:numId w:val="0"/>
        </w:numPr>
        <w:spacing w:line="600" w:lineRule="exact"/>
        <w:ind w:leftChars="200"/>
        <w:rPr>
          <w:rFonts w:hint="eastAsia" w:ascii="楷体_GB2312" w:hAnsi="Calibri" w:eastAsia="楷体_GB2312" w:cs="Times New Roman"/>
          <w:b w:val="0"/>
          <w:bCs w:val="0"/>
          <w:sz w:val="32"/>
          <w:szCs w:val="32"/>
          <w:highlight w:val="none"/>
          <w:lang w:val="en-US" w:eastAsia="zh-CN"/>
        </w:rPr>
      </w:pPr>
      <w:r>
        <w:rPr>
          <w:rFonts w:hint="eastAsia" w:ascii="楷体_GB2312" w:hAnsi="Calibri" w:eastAsia="楷体_GB2312" w:cs="Times New Roman"/>
          <w:b w:val="0"/>
          <w:bCs w:val="0"/>
          <w:sz w:val="32"/>
          <w:szCs w:val="32"/>
          <w:highlight w:val="none"/>
          <w:lang w:val="en-US" w:eastAsia="zh-CN"/>
        </w:rPr>
        <w:t>资产的管理情况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根据《北京市市级行政事业单位国有资产配置管理办法》《行政单位国有资产管理暂行办法》、《政府会计准则第3号一固定资产》等相关管理规定，结合单位实际，制定</w:t>
      </w:r>
      <w:r>
        <w:rPr>
          <w:rFonts w:hint="eastAsia" w:ascii="仿宋_GB2312" w:hAnsi="仿宋_GB2312" w:cs="仿宋_GB2312"/>
          <w:b w:val="0"/>
          <w:bCs w:val="0"/>
          <w:sz w:val="32"/>
          <w:szCs w:val="32"/>
          <w:highlight w:val="none"/>
          <w:lang w:val="en-US" w:eastAsia="zh-CN"/>
        </w:rPr>
        <w:t>《北京市通州区农业农村局固定资产管理制度》</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cs="仿宋_GB2312"/>
          <w:b w:val="0"/>
          <w:bCs w:val="0"/>
          <w:sz w:val="32"/>
          <w:szCs w:val="32"/>
          <w:highlight w:val="none"/>
          <w:lang w:val="en-US" w:eastAsia="zh-CN"/>
        </w:rPr>
        <w:t>该制度</w:t>
      </w:r>
      <w:r>
        <w:rPr>
          <w:rFonts w:hint="eastAsia" w:ascii="仿宋_GB2312" w:hAnsi="仿宋_GB2312" w:eastAsia="仿宋_GB2312" w:cs="仿宋_GB2312"/>
          <w:b w:val="0"/>
          <w:bCs w:val="0"/>
          <w:sz w:val="32"/>
          <w:szCs w:val="32"/>
          <w:highlight w:val="none"/>
          <w:lang w:val="en-US" w:eastAsia="zh-CN"/>
        </w:rPr>
        <w:t>明确了资产管理部门及职责、资产配置、固定资产的分类与计价、固定资产的购置、固定资产的领用、固定资产的日常管理等相关要求。我局定期对固定资产的账、实情况进行盘点清查，包括：核对资产信息相符情况，查看固定资产使用人、使用部门和存放地点、规格型号是否与实际情况一致；核对资产标签粘贴情况，查看标签内容与实际情况是否相符，对发生变更的资产在资产信息系统中进行更新。2024年度我局盘点工作</w:t>
      </w:r>
      <w:r>
        <w:rPr>
          <w:rFonts w:hint="eastAsia" w:ascii="仿宋_GB2312" w:hAnsi="仿宋_GB2312" w:cs="仿宋_GB2312"/>
          <w:b w:val="0"/>
          <w:bCs w:val="0"/>
          <w:sz w:val="32"/>
          <w:szCs w:val="32"/>
          <w:highlight w:val="none"/>
          <w:lang w:val="en-US" w:eastAsia="zh-CN"/>
        </w:rPr>
        <w:t>中</w:t>
      </w:r>
      <w:r>
        <w:rPr>
          <w:rFonts w:hint="eastAsia" w:ascii="仿宋_GB2312" w:hAnsi="仿宋_GB2312" w:eastAsia="仿宋_GB2312" w:cs="仿宋_GB2312"/>
          <w:b w:val="0"/>
          <w:bCs w:val="0"/>
          <w:sz w:val="32"/>
          <w:szCs w:val="32"/>
          <w:highlight w:val="none"/>
          <w:lang w:val="en-US" w:eastAsia="zh-CN"/>
        </w:rPr>
        <w:t>发现</w:t>
      </w:r>
      <w:r>
        <w:rPr>
          <w:rFonts w:hint="eastAsia" w:ascii="仿宋_GB2312" w:hAnsi="仿宋_GB2312" w:cs="仿宋_GB2312"/>
          <w:b w:val="0"/>
          <w:bCs w:val="0"/>
          <w:sz w:val="32"/>
          <w:szCs w:val="32"/>
          <w:highlight w:val="none"/>
          <w:lang w:val="en-US" w:eastAsia="zh-CN"/>
        </w:rPr>
        <w:t>资产管理过程中还存在资产信息更新不够及时的问题，如个别</w:t>
      </w:r>
      <w:r>
        <w:rPr>
          <w:rFonts w:hint="eastAsia" w:ascii="仿宋_GB2312" w:hAnsi="仿宋_GB2312" w:eastAsia="仿宋_GB2312" w:cs="仿宋_GB2312"/>
          <w:b w:val="0"/>
          <w:bCs w:val="0"/>
          <w:sz w:val="32"/>
          <w:szCs w:val="32"/>
          <w:highlight w:val="none"/>
          <w:lang w:val="en-US" w:eastAsia="zh-CN"/>
        </w:rPr>
        <w:t>固定资产在系统中品牌及规格型号不明确</w:t>
      </w:r>
      <w:r>
        <w:rPr>
          <w:rFonts w:hint="eastAsia" w:ascii="仿宋_GB2312" w:hAnsi="仿宋_GB2312" w:cs="仿宋_GB2312"/>
          <w:b w:val="0"/>
          <w:bCs w:val="0"/>
          <w:sz w:val="32"/>
          <w:szCs w:val="32"/>
          <w:highlight w:val="none"/>
          <w:lang w:val="en-US" w:eastAsia="zh-CN"/>
        </w:rPr>
        <w:t>，个别</w:t>
      </w:r>
      <w:r>
        <w:rPr>
          <w:rFonts w:hint="eastAsia" w:ascii="仿宋_GB2312" w:hAnsi="仿宋_GB2312" w:eastAsia="仿宋_GB2312" w:cs="仿宋_GB2312"/>
          <w:b w:val="0"/>
          <w:bCs w:val="0"/>
          <w:sz w:val="32"/>
          <w:szCs w:val="32"/>
          <w:highlight w:val="none"/>
          <w:lang w:val="en-US" w:eastAsia="zh-CN"/>
        </w:rPr>
        <w:t>固定资产在变更存放地点后资产</w:t>
      </w:r>
      <w:r>
        <w:rPr>
          <w:rFonts w:hint="eastAsia" w:ascii="仿宋_GB2312" w:hAnsi="仿宋_GB2312" w:cs="仿宋_GB2312"/>
          <w:b w:val="0"/>
          <w:bCs w:val="0"/>
          <w:sz w:val="32"/>
          <w:szCs w:val="32"/>
          <w:highlight w:val="none"/>
          <w:lang w:val="en-US" w:eastAsia="zh-CN"/>
        </w:rPr>
        <w:t>管理</w:t>
      </w:r>
      <w:r>
        <w:rPr>
          <w:rFonts w:hint="eastAsia" w:ascii="仿宋_GB2312" w:hAnsi="仿宋_GB2312" w:eastAsia="仿宋_GB2312" w:cs="仿宋_GB2312"/>
          <w:b w:val="0"/>
          <w:bCs w:val="0"/>
          <w:sz w:val="32"/>
          <w:szCs w:val="32"/>
          <w:highlight w:val="none"/>
          <w:lang w:val="en-US" w:eastAsia="zh-CN"/>
        </w:rPr>
        <w:t>系统中未能及时更新。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1"/>
        <w:rPr>
          <w:rFonts w:ascii="楷体_GB2312" w:hAnsi="Calibri" w:eastAsia="楷体_GB2312" w:cs="Times New Roman"/>
          <w:b w:val="0"/>
          <w:bCs w:val="0"/>
          <w:sz w:val="32"/>
          <w:szCs w:val="32"/>
          <w:highlight w:val="none"/>
        </w:rPr>
      </w:pPr>
      <w:bookmarkStart w:id="11" w:name="_Toc13598"/>
      <w:r>
        <w:rPr>
          <w:rFonts w:hint="eastAsia" w:ascii="楷体_GB2312" w:hAnsi="Calibri" w:eastAsia="楷体_GB2312" w:cs="Times New Roman"/>
          <w:b w:val="0"/>
          <w:bCs w:val="0"/>
          <w:sz w:val="32"/>
          <w:szCs w:val="32"/>
          <w:highlight w:val="none"/>
          <w:lang w:eastAsia="zh-CN"/>
        </w:rPr>
        <w:t>（</w:t>
      </w:r>
      <w:r>
        <w:rPr>
          <w:rFonts w:hint="eastAsia" w:ascii="楷体_GB2312" w:hAnsi="Calibri" w:eastAsia="楷体_GB2312" w:cs="Times New Roman"/>
          <w:b w:val="0"/>
          <w:bCs w:val="0"/>
          <w:sz w:val="32"/>
          <w:szCs w:val="32"/>
          <w:highlight w:val="none"/>
          <w:lang w:val="en-US" w:eastAsia="zh-CN"/>
        </w:rPr>
        <w:t>三</w:t>
      </w:r>
      <w:r>
        <w:rPr>
          <w:rFonts w:hint="eastAsia" w:ascii="楷体_GB2312" w:hAnsi="Calibri" w:eastAsia="楷体_GB2312" w:cs="Times New Roman"/>
          <w:b w:val="0"/>
          <w:bCs w:val="0"/>
          <w:sz w:val="32"/>
          <w:szCs w:val="32"/>
          <w:highlight w:val="none"/>
          <w:lang w:eastAsia="zh-CN"/>
        </w:rPr>
        <w:t>）</w:t>
      </w:r>
      <w:r>
        <w:rPr>
          <w:rFonts w:hint="eastAsia" w:ascii="楷体_GB2312" w:hAnsi="Calibri" w:eastAsia="楷体_GB2312" w:cs="Times New Roman"/>
          <w:b w:val="0"/>
          <w:bCs w:val="0"/>
          <w:sz w:val="32"/>
          <w:szCs w:val="32"/>
          <w:highlight w:val="none"/>
        </w:rPr>
        <w:t>绩效</w:t>
      </w:r>
      <w:r>
        <w:rPr>
          <w:rFonts w:ascii="楷体_GB2312" w:hAnsi="Calibri" w:eastAsia="楷体_GB2312" w:cs="Times New Roman"/>
          <w:b w:val="0"/>
          <w:bCs w:val="0"/>
          <w:sz w:val="32"/>
          <w:szCs w:val="32"/>
          <w:highlight w:val="none"/>
        </w:rPr>
        <w:t>管理</w:t>
      </w:r>
      <w:bookmarkEnd w:id="11"/>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w:t>
      </w:r>
      <w:r>
        <w:rPr>
          <w:rFonts w:hint="eastAsia" w:ascii="仿宋_GB2312" w:hAnsi="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年按照全面实施预算绩效管理要求，严格落实市财政局关于“预算编制有目标、预算执行有监控、预算完成有评价、评价结果有反馈、反馈结果有应用”的</w:t>
      </w:r>
      <w:r>
        <w:rPr>
          <w:rFonts w:hint="default" w:ascii="仿宋_GB2312" w:hAnsi="仿宋_GB2312" w:cs="仿宋_GB2312"/>
          <w:b w:val="0"/>
          <w:bCs w:val="0"/>
          <w:sz w:val="32"/>
          <w:szCs w:val="32"/>
          <w:highlight w:val="none"/>
        </w:rPr>
        <w:t>全过程</w:t>
      </w:r>
      <w:r>
        <w:rPr>
          <w:rFonts w:hint="eastAsia" w:ascii="仿宋_GB2312" w:hAnsi="仿宋_GB2312" w:eastAsia="仿宋_GB2312" w:cs="仿宋_GB2312"/>
          <w:b w:val="0"/>
          <w:bCs w:val="0"/>
          <w:sz w:val="32"/>
          <w:szCs w:val="32"/>
          <w:highlight w:val="none"/>
        </w:rPr>
        <w:t>预算绩效管理要求，扎实开展预算绩效目标填报、预算绩效监控、预算绩效评价等工作。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在绩效目标的编制阶段，不断强化部门及项目负责人的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预算绩效管理意识，将202</w:t>
      </w:r>
      <w:r>
        <w:rPr>
          <w:rFonts w:hint="eastAsia" w:ascii="仿宋_GB2312" w:hAnsi="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年部门预算项目全部纳入绩效目标填报范围，按时完成了项目绩效目标申报表的审核及系统录入工作。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在绩效运行监控阶段，对202</w:t>
      </w:r>
      <w:r>
        <w:rPr>
          <w:rFonts w:hint="eastAsia" w:ascii="仿宋_GB2312" w:hAnsi="仿宋_GB2312" w:cs="仿宋_GB2312"/>
          <w:b w:val="0"/>
          <w:bCs w:val="0"/>
          <w:sz w:val="30"/>
          <w:szCs w:val="30"/>
          <w:highlight w:val="none"/>
          <w:lang w:val="en-US" w:eastAsia="zh-CN"/>
        </w:rPr>
        <w:t>4</w:t>
      </w:r>
      <w:r>
        <w:rPr>
          <w:rFonts w:hint="eastAsia" w:ascii="仿宋_GB2312" w:hAnsi="仿宋_GB2312" w:eastAsia="仿宋_GB2312" w:cs="仿宋_GB2312"/>
          <w:b w:val="0"/>
          <w:bCs w:val="0"/>
          <w:sz w:val="30"/>
          <w:szCs w:val="30"/>
          <w:highlight w:val="none"/>
        </w:rPr>
        <w:t>年部门预算</w:t>
      </w:r>
      <w:r>
        <w:rPr>
          <w:rFonts w:hint="eastAsia" w:ascii="仿宋_GB2312" w:hAnsi="仿宋_GB2312" w:cs="仿宋_GB2312"/>
          <w:b w:val="0"/>
          <w:bCs w:val="0"/>
          <w:sz w:val="30"/>
          <w:szCs w:val="30"/>
          <w:highlight w:val="none"/>
          <w:lang w:eastAsia="zh-CN"/>
        </w:rPr>
        <w:t>项目</w:t>
      </w:r>
      <w:r>
        <w:rPr>
          <w:rFonts w:hint="eastAsia" w:ascii="仿宋_GB2312" w:hAnsi="仿宋_GB2312" w:eastAsia="仿宋_GB2312" w:cs="仿宋_GB2312"/>
          <w:b w:val="0"/>
          <w:bCs w:val="0"/>
          <w:sz w:val="30"/>
          <w:szCs w:val="30"/>
          <w:highlight w:val="none"/>
        </w:rPr>
        <w:t>预算执行和绩效目标实现程度开展绩效监控分析，形成监控报告。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_GB2312" w:hAnsi="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在预算支出绩效评价阶段</w:t>
      </w:r>
      <w:r>
        <w:rPr>
          <w:rFonts w:hint="eastAsia" w:ascii="仿宋_GB2312" w:hAnsi="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对202</w:t>
      </w:r>
      <w:r>
        <w:rPr>
          <w:rFonts w:hint="eastAsia" w:ascii="仿宋_GB2312" w:hAnsi="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年度项目</w:t>
      </w:r>
      <w:r>
        <w:rPr>
          <w:rFonts w:hint="eastAsia" w:ascii="仿宋_GB2312" w:hAnsi="仿宋_GB2312" w:cs="仿宋_GB2312"/>
          <w:b w:val="0"/>
          <w:bCs w:val="0"/>
          <w:sz w:val="32"/>
          <w:szCs w:val="32"/>
          <w:highlight w:val="none"/>
          <w:lang w:val="en-US" w:eastAsia="zh-CN"/>
        </w:rPr>
        <w:t>全部开展了绩效评价，形成了</w:t>
      </w:r>
      <w:r>
        <w:rPr>
          <w:rFonts w:hint="eastAsia" w:ascii="仿宋_GB2312" w:hAnsi="仿宋_GB2312" w:eastAsia="仿宋_GB2312" w:cs="仿宋_GB2312"/>
          <w:b w:val="0"/>
          <w:bCs w:val="0"/>
          <w:sz w:val="32"/>
          <w:szCs w:val="32"/>
          <w:highlight w:val="none"/>
        </w:rPr>
        <w:t>项目支出绩效自评表</w:t>
      </w:r>
      <w:r>
        <w:rPr>
          <w:rFonts w:hint="eastAsia" w:ascii="仿宋_GB2312" w:hAnsi="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对“农村实用人才培养和奖励经费”项目</w:t>
      </w:r>
      <w:r>
        <w:rPr>
          <w:rFonts w:hint="eastAsia" w:ascii="仿宋_GB2312" w:hAnsi="仿宋_GB2312" w:cs="仿宋_GB2312"/>
          <w:b w:val="0"/>
          <w:bCs w:val="0"/>
          <w:sz w:val="32"/>
          <w:szCs w:val="32"/>
          <w:highlight w:val="none"/>
          <w:lang w:val="en-US" w:eastAsia="zh-CN"/>
        </w:rPr>
        <w:t>开展部门重点项目自评</w:t>
      </w:r>
      <w:r>
        <w:rPr>
          <w:rFonts w:hint="eastAsia" w:ascii="仿宋_GB2312" w:hAnsi="仿宋_GB2312" w:eastAsia="仿宋_GB2312" w:cs="仿宋_GB2312"/>
          <w:b w:val="0"/>
          <w:bCs w:val="0"/>
          <w:sz w:val="32"/>
          <w:szCs w:val="32"/>
          <w:highlight w:val="none"/>
        </w:rPr>
        <w:t>，</w:t>
      </w:r>
      <w:r>
        <w:rPr>
          <w:rFonts w:hint="eastAsia" w:ascii="仿宋_GB2312" w:hAnsi="仿宋_GB2312" w:cs="仿宋_GB2312"/>
          <w:b w:val="0"/>
          <w:bCs w:val="0"/>
          <w:sz w:val="32"/>
          <w:szCs w:val="32"/>
          <w:highlight w:val="none"/>
          <w:lang w:val="en-US" w:eastAsia="zh-CN"/>
        </w:rPr>
        <w:t>形成</w:t>
      </w:r>
      <w:r>
        <w:rPr>
          <w:rFonts w:hint="eastAsia" w:ascii="仿宋_GB2312" w:hAnsi="仿宋_GB2312" w:eastAsia="仿宋_GB2312" w:cs="仿宋_GB2312"/>
          <w:b w:val="0"/>
          <w:bCs w:val="0"/>
          <w:sz w:val="32"/>
          <w:szCs w:val="32"/>
          <w:highlight w:val="none"/>
        </w:rPr>
        <w:t>了项目绩效评价报告。</w:t>
      </w:r>
      <w:r>
        <w:rPr>
          <w:rFonts w:hint="eastAsia" w:ascii="仿宋_GB2312" w:hAnsi="仿宋_GB2312" w:cs="仿宋_GB2312"/>
          <w:b w:val="0"/>
          <w:bCs w:val="0"/>
          <w:sz w:val="32"/>
          <w:szCs w:val="32"/>
          <w:highlight w:val="none"/>
          <w:lang w:val="en-US" w:eastAsia="zh-CN"/>
        </w:rPr>
        <w:t>同步开展了部门整体绩效评价，形成了部门整体绩效评价报告。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w:t>
      </w:r>
      <w:r>
        <w:rPr>
          <w:rFonts w:hint="eastAsia" w:ascii="仿宋_GB2312" w:hAnsi="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年部门预算绩效总体完成情况较好，财政资金的使用效益得到了应有的发挥。从评价结果看，项目立项符合部门职责和相关管理制度，制定的项目绩效目标较合理，各项工作有序开展，任务完成质量较高，保障了各项履职工作的正常开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1"/>
        <w:rPr>
          <w:rFonts w:hint="eastAsia" w:ascii="楷体_GB2312" w:hAnsi="Calibri" w:eastAsia="楷体_GB2312" w:cs="Times New Roman"/>
          <w:b w:val="0"/>
          <w:bCs w:val="0"/>
          <w:sz w:val="32"/>
          <w:szCs w:val="32"/>
          <w:highlight w:val="none"/>
        </w:rPr>
      </w:pPr>
      <w:bookmarkStart w:id="12" w:name="_Toc20015"/>
      <w:r>
        <w:rPr>
          <w:rFonts w:hint="eastAsia" w:ascii="楷体_GB2312" w:hAnsi="Calibri" w:eastAsia="楷体_GB2312" w:cs="Times New Roman"/>
          <w:b w:val="0"/>
          <w:bCs w:val="0"/>
          <w:sz w:val="32"/>
          <w:szCs w:val="32"/>
          <w:highlight w:val="none"/>
        </w:rPr>
        <w:t>（四）结转结余率</w:t>
      </w:r>
      <w:bookmarkEnd w:id="12"/>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年度，</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结转结余资金</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1"/>
        <w:rPr>
          <w:rFonts w:ascii="楷体_GB2312" w:hAnsi="Calibri" w:eastAsia="楷体_GB2312" w:cs="Times New Roman"/>
          <w:b w:val="0"/>
          <w:bCs w:val="0"/>
          <w:sz w:val="32"/>
          <w:szCs w:val="32"/>
          <w:highlight w:val="none"/>
        </w:rPr>
      </w:pPr>
      <w:bookmarkStart w:id="13" w:name="_Toc22352"/>
      <w:r>
        <w:rPr>
          <w:rFonts w:hint="eastAsia" w:ascii="楷体_GB2312" w:hAnsi="Calibri" w:eastAsia="楷体_GB2312" w:cs="Times New Roman"/>
          <w:b w:val="0"/>
          <w:bCs w:val="0"/>
          <w:sz w:val="32"/>
          <w:szCs w:val="32"/>
          <w:highlight w:val="none"/>
        </w:rPr>
        <w:t>（五）部门</w:t>
      </w:r>
      <w:r>
        <w:rPr>
          <w:rFonts w:ascii="楷体_GB2312" w:hAnsi="Calibri" w:eastAsia="楷体_GB2312" w:cs="Times New Roman"/>
          <w:b w:val="0"/>
          <w:bCs w:val="0"/>
          <w:sz w:val="32"/>
          <w:szCs w:val="32"/>
          <w:highlight w:val="none"/>
        </w:rPr>
        <w:t>预决算差异率</w:t>
      </w:r>
      <w:bookmarkEnd w:id="13"/>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20" w:firstLineChars="200"/>
        <w:jc w:val="both"/>
        <w:textAlignment w:val="auto"/>
        <w:rPr>
          <w:rFonts w:hint="default"/>
          <w:highlight w:val="none"/>
          <w:lang w:val="en-US"/>
        </w:rPr>
      </w:pPr>
      <w:r>
        <w:rPr>
          <w:rFonts w:hint="eastAsia" w:ascii="仿宋_GB2312" w:hAnsi="宋体" w:eastAsia="仿宋_GB2312" w:cs="仿宋_GB2312"/>
          <w:color w:val="000000"/>
          <w:kern w:val="0"/>
          <w:sz w:val="31"/>
          <w:szCs w:val="31"/>
          <w:highlight w:val="none"/>
          <w:lang w:val="en-US" w:eastAsia="zh-CN" w:bidi="ar"/>
        </w:rPr>
        <w:t>2024年初部门总体预算数为27102.50万元，全年预算数为50063.56万元，差异金额为22961.06万元，差异率为84.72%。</w:t>
      </w:r>
      <w:r>
        <w:rPr>
          <w:rFonts w:hint="eastAsia" w:ascii="仿宋_GB2312" w:hAnsi="宋体" w:cs="仿宋_GB2312"/>
          <w:color w:val="000000"/>
          <w:kern w:val="0"/>
          <w:sz w:val="31"/>
          <w:szCs w:val="31"/>
          <w:highlight w:val="none"/>
          <w:lang w:val="en-US" w:eastAsia="zh-CN" w:bidi="ar"/>
        </w:rPr>
        <w:t>主要为：1基本支出预决算差异主要原因是：年底退回部分剩余资金，包括人员经费（工资及社保剩余）及公用经费（公务用车运行维护费等）。2.项目支出预决算差异主要原因是：年中追加项目资金，主要包括耕地建设与利用资金-耕地地力保护补贴资金，煤改电电费补贴以前年度资金缺口及高标准农田建设资金等。</w:t>
      </w:r>
    </w:p>
    <w:p>
      <w:pPr>
        <w:keepNext w:val="0"/>
        <w:keepLines w:val="0"/>
        <w:pageBreakBefore w:val="0"/>
        <w:widowControl w:val="0"/>
        <w:kinsoku/>
        <w:wordWrap/>
        <w:overflowPunct/>
        <w:topLinePunct w:val="0"/>
        <w:autoSpaceDE/>
        <w:autoSpaceDN/>
        <w:bidi w:val="0"/>
        <w:adjustRightInd/>
        <w:snapToGrid/>
        <w:spacing w:line="600" w:lineRule="exact"/>
        <w:ind w:left="150" w:leftChars="50" w:firstLine="480" w:firstLineChars="150"/>
        <w:textAlignment w:val="auto"/>
        <w:outlineLvl w:val="0"/>
        <w:rPr>
          <w:rFonts w:ascii="黑体" w:hAnsi="黑体" w:eastAsia="黑体" w:cs="Times New Roman"/>
          <w:b w:val="0"/>
          <w:bCs w:val="0"/>
          <w:sz w:val="32"/>
          <w:szCs w:val="32"/>
          <w:highlight w:val="none"/>
        </w:rPr>
      </w:pPr>
      <w:bookmarkStart w:id="14" w:name="_Toc15199"/>
      <w:r>
        <w:rPr>
          <w:rFonts w:hint="eastAsia" w:ascii="黑体" w:hAnsi="黑体" w:eastAsia="黑体" w:cs="Times New Roman"/>
          <w:b w:val="0"/>
          <w:bCs w:val="0"/>
          <w:sz w:val="32"/>
          <w:szCs w:val="32"/>
          <w:highlight w:val="none"/>
        </w:rPr>
        <w:t>五、总体</w:t>
      </w:r>
      <w:r>
        <w:rPr>
          <w:rFonts w:ascii="黑体" w:hAnsi="黑体" w:eastAsia="黑体" w:cs="Times New Roman"/>
          <w:b w:val="0"/>
          <w:bCs w:val="0"/>
          <w:sz w:val="32"/>
          <w:szCs w:val="32"/>
          <w:highlight w:val="none"/>
        </w:rPr>
        <w:t>评价结论</w:t>
      </w:r>
      <w:bookmarkEnd w:id="14"/>
    </w:p>
    <w:p>
      <w:pPr>
        <w:keepNext w:val="0"/>
        <w:keepLines w:val="0"/>
        <w:pageBreakBefore w:val="0"/>
        <w:widowControl w:val="0"/>
        <w:kinsoku/>
        <w:wordWrap/>
        <w:overflowPunct/>
        <w:topLinePunct w:val="0"/>
        <w:autoSpaceDE/>
        <w:autoSpaceDN/>
        <w:bidi w:val="0"/>
        <w:spacing w:line="600" w:lineRule="exact"/>
        <w:ind w:left="150" w:leftChars="50" w:firstLine="480" w:firstLineChars="150"/>
        <w:textAlignment w:val="auto"/>
        <w:outlineLvl w:val="1"/>
        <w:rPr>
          <w:rFonts w:hint="eastAsia" w:ascii="楷体_GB2312" w:hAnsi="Calibri" w:eastAsia="楷体_GB2312" w:cs="Times New Roman"/>
          <w:b w:val="0"/>
          <w:bCs w:val="0"/>
          <w:sz w:val="32"/>
          <w:szCs w:val="32"/>
          <w:highlight w:val="none"/>
        </w:rPr>
      </w:pPr>
      <w:bookmarkStart w:id="15" w:name="_Toc23435"/>
      <w:r>
        <w:rPr>
          <w:rFonts w:hint="eastAsia" w:ascii="楷体_GB2312" w:hAnsi="Calibri" w:eastAsia="楷体_GB2312" w:cs="Times New Roman"/>
          <w:b w:val="0"/>
          <w:bCs w:val="0"/>
          <w:sz w:val="32"/>
          <w:szCs w:val="32"/>
          <w:highlight w:val="none"/>
        </w:rPr>
        <w:t>（一）评价</w:t>
      </w:r>
      <w:r>
        <w:rPr>
          <w:rFonts w:ascii="楷体_GB2312" w:hAnsi="Calibri" w:eastAsia="楷体_GB2312" w:cs="Times New Roman"/>
          <w:b w:val="0"/>
          <w:bCs w:val="0"/>
          <w:sz w:val="32"/>
          <w:szCs w:val="32"/>
          <w:highlight w:val="none"/>
        </w:rPr>
        <w:t>得分</w:t>
      </w:r>
      <w:r>
        <w:rPr>
          <w:rFonts w:hint="eastAsia" w:ascii="楷体_GB2312" w:hAnsi="Calibri" w:eastAsia="楷体_GB2312" w:cs="Times New Roman"/>
          <w:b w:val="0"/>
          <w:bCs w:val="0"/>
          <w:sz w:val="32"/>
          <w:szCs w:val="32"/>
          <w:highlight w:val="none"/>
        </w:rPr>
        <w:t>情况</w:t>
      </w:r>
      <w:bookmarkEnd w:id="15"/>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 w:eastAsia="仿宋_GB2312" w:cs="仿宋"/>
          <w:iCs/>
          <w:sz w:val="32"/>
          <w:szCs w:val="32"/>
          <w:highlight w:val="none"/>
        </w:rPr>
      </w:pPr>
      <w:r>
        <w:rPr>
          <w:rFonts w:hint="eastAsia" w:ascii="仿宋_GB2312" w:hAnsi="宋体" w:eastAsia="仿宋_GB2312" w:cs="宋体"/>
          <w:color w:val="000000"/>
          <w:kern w:val="0"/>
          <w:sz w:val="32"/>
          <w:szCs w:val="32"/>
          <w:highlight w:val="none"/>
        </w:rPr>
        <w:t>202</w:t>
      </w:r>
      <w:r>
        <w:rPr>
          <w:rFonts w:hint="eastAsia" w:ascii="仿宋_GB2312" w:hAnsi="宋体"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rPr>
        <w:t>年</w:t>
      </w:r>
      <w:r>
        <w:rPr>
          <w:rFonts w:hint="eastAsia" w:ascii="仿宋_GB2312" w:hAnsi="宋体" w:cs="宋体"/>
          <w:color w:val="000000"/>
          <w:kern w:val="0"/>
          <w:sz w:val="32"/>
          <w:szCs w:val="32"/>
          <w:highlight w:val="none"/>
          <w:lang w:eastAsia="zh-CN"/>
        </w:rPr>
        <w:t>我</w:t>
      </w:r>
      <w:r>
        <w:rPr>
          <w:rFonts w:hint="eastAsia" w:ascii="仿宋_GB2312" w:hAnsi="宋体" w:eastAsia="仿宋_GB2312" w:cs="宋体"/>
          <w:color w:val="000000"/>
          <w:kern w:val="0"/>
          <w:sz w:val="32"/>
          <w:szCs w:val="32"/>
          <w:highlight w:val="none"/>
        </w:rPr>
        <w:t>局推进“两高一智”示范区建设</w:t>
      </w:r>
      <w:r>
        <w:rPr>
          <w:rFonts w:hint="eastAsia" w:ascii="仿宋_GB2312" w:hAnsi="宋体" w:cs="宋体"/>
          <w:color w:val="000000"/>
          <w:kern w:val="0"/>
          <w:sz w:val="32"/>
          <w:szCs w:val="32"/>
          <w:highlight w:val="none"/>
          <w:lang w:eastAsia="zh-CN"/>
        </w:rPr>
        <w:t>，</w:t>
      </w:r>
      <w:r>
        <w:rPr>
          <w:rFonts w:hint="eastAsia" w:ascii="仿宋_GB2312" w:hAnsi="宋体" w:cs="宋体"/>
          <w:color w:val="000000"/>
          <w:kern w:val="0"/>
          <w:sz w:val="32"/>
          <w:szCs w:val="32"/>
          <w:highlight w:val="none"/>
          <w:lang w:val="en-US" w:eastAsia="zh-CN"/>
        </w:rPr>
        <w:t>推进高标准农田建设，</w:t>
      </w:r>
      <w:r>
        <w:rPr>
          <w:rFonts w:hint="eastAsia" w:ascii="仿宋_GB2312" w:hAnsi="宋体" w:eastAsia="仿宋_GB2312" w:cs="宋体"/>
          <w:color w:val="000000"/>
          <w:kern w:val="0"/>
          <w:sz w:val="32"/>
          <w:szCs w:val="32"/>
          <w:highlight w:val="none"/>
        </w:rPr>
        <w:t>成功举办第三十一届中国北京种业大会，推动国投种业等企业落户通州</w:t>
      </w:r>
      <w:r>
        <w:rPr>
          <w:rFonts w:hint="eastAsia" w:ascii="仿宋_GB2312" w:hAnsi="宋体"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扶持10家农民合作社开展</w:t>
      </w:r>
      <w:r>
        <w:rPr>
          <w:rFonts w:hint="eastAsia" w:ascii="仿宋_GB2312" w:hAnsi="宋体" w:cs="宋体"/>
          <w:color w:val="000000"/>
          <w:kern w:val="0"/>
          <w:sz w:val="32"/>
          <w:szCs w:val="32"/>
          <w:highlight w:val="none"/>
          <w:lang w:val="en-US" w:eastAsia="zh-CN"/>
        </w:rPr>
        <w:t>农产品初加工、</w:t>
      </w:r>
      <w:r>
        <w:rPr>
          <w:rFonts w:hint="eastAsia" w:ascii="仿宋_GB2312" w:hAnsi="宋体" w:eastAsia="仿宋_GB2312" w:cs="宋体"/>
          <w:color w:val="000000"/>
          <w:kern w:val="0"/>
          <w:sz w:val="32"/>
          <w:szCs w:val="32"/>
          <w:highlight w:val="none"/>
        </w:rPr>
        <w:t>仓储物流设施建设</w:t>
      </w:r>
      <w:r>
        <w:rPr>
          <w:rFonts w:hint="eastAsia" w:ascii="仿宋_GB2312" w:hAnsi="宋体" w:cs="宋体"/>
          <w:color w:val="000000"/>
          <w:kern w:val="0"/>
          <w:sz w:val="32"/>
          <w:szCs w:val="32"/>
          <w:highlight w:val="none"/>
          <w:lang w:val="en-US" w:eastAsia="zh-CN"/>
        </w:rPr>
        <w:t>和改善生产条件相关项目</w:t>
      </w:r>
      <w:r>
        <w:rPr>
          <w:rFonts w:hint="eastAsia" w:ascii="仿宋_GB2312" w:hAnsi="宋体" w:cs="宋体"/>
          <w:color w:val="000000"/>
          <w:kern w:val="0"/>
          <w:sz w:val="32"/>
          <w:szCs w:val="32"/>
          <w:highlight w:val="none"/>
          <w:lang w:eastAsia="zh-CN"/>
        </w:rPr>
        <w:t>，</w:t>
      </w:r>
      <w:r>
        <w:rPr>
          <w:rFonts w:hint="eastAsia" w:ascii="仿宋_GB2312" w:hAnsi="宋体" w:cs="宋体"/>
          <w:color w:val="000000"/>
          <w:kern w:val="0"/>
          <w:sz w:val="32"/>
          <w:szCs w:val="32"/>
          <w:highlight w:val="none"/>
          <w:lang w:val="en-US" w:eastAsia="zh-CN"/>
        </w:rPr>
        <w:t>年度工作任务基本保质保量完成。</w:t>
      </w:r>
      <w:r>
        <w:rPr>
          <w:rFonts w:hint="eastAsia" w:ascii="仿宋_GB2312" w:hAnsi="宋体" w:eastAsia="仿宋_GB2312" w:cs="宋体"/>
          <w:color w:val="000000"/>
          <w:kern w:val="0"/>
          <w:sz w:val="32"/>
          <w:szCs w:val="32"/>
          <w:highlight w:val="none"/>
        </w:rPr>
        <w:t>但还存在绩效目标和指标设置不够规范合理、</w:t>
      </w:r>
      <w:r>
        <w:rPr>
          <w:rFonts w:hint="eastAsia" w:ascii="仿宋_GB2312" w:hAnsi="宋体" w:cs="宋体"/>
          <w:color w:val="000000"/>
          <w:kern w:val="0"/>
          <w:sz w:val="32"/>
          <w:szCs w:val="32"/>
          <w:highlight w:val="none"/>
          <w:lang w:val="en-US" w:eastAsia="zh-CN"/>
        </w:rPr>
        <w:t>资产管理</w:t>
      </w:r>
      <w:r>
        <w:rPr>
          <w:rFonts w:hint="eastAsia" w:ascii="仿宋_GB2312" w:hAnsi="宋体" w:eastAsia="仿宋_GB2312" w:cs="宋体"/>
          <w:color w:val="000000"/>
          <w:kern w:val="0"/>
          <w:sz w:val="32"/>
          <w:szCs w:val="32"/>
          <w:highlight w:val="none"/>
        </w:rPr>
        <w:t>不够精细、反映项目实施效果、服务对象满意度方面的支撑资料不足等问题。202</w:t>
      </w:r>
      <w:r>
        <w:rPr>
          <w:rFonts w:hint="eastAsia" w:ascii="仿宋_GB2312" w:hAnsi="宋体"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rPr>
        <w:t>年部门整体支出综合评价得分为</w:t>
      </w:r>
      <w:r>
        <w:rPr>
          <w:rFonts w:hint="eastAsia" w:ascii="仿宋_GB2312" w:hAnsi="宋体" w:cs="宋体"/>
          <w:color w:val="000000"/>
          <w:kern w:val="0"/>
          <w:sz w:val="32"/>
          <w:szCs w:val="32"/>
          <w:highlight w:val="none"/>
          <w:lang w:val="en-US" w:eastAsia="zh-CN"/>
        </w:rPr>
        <w:t>95.5</w:t>
      </w:r>
      <w:r>
        <w:rPr>
          <w:rFonts w:hint="eastAsia" w:ascii="仿宋_GB2312" w:hAnsi="宋体" w:eastAsia="仿宋_GB2312" w:cs="宋体"/>
          <w:color w:val="000000"/>
          <w:kern w:val="0"/>
          <w:sz w:val="32"/>
          <w:szCs w:val="32"/>
          <w:highlight w:val="none"/>
        </w:rPr>
        <w:t>分，评价等级为“优”，得分情况见表2。</w:t>
      </w:r>
    </w:p>
    <w:p>
      <w:pPr>
        <w:spacing w:line="600" w:lineRule="exact"/>
        <w:ind w:left="150" w:leftChars="50" w:firstLine="480" w:firstLineChars="150"/>
        <w:jc w:val="center"/>
        <w:rPr>
          <w:rFonts w:hint="default" w:ascii="楷体_GB2312" w:hAnsi="Calibri" w:eastAsia="楷体_GB2312" w:cs="Times New Roman"/>
          <w:b w:val="0"/>
          <w:bCs w:val="0"/>
          <w:sz w:val="32"/>
          <w:szCs w:val="32"/>
          <w:highlight w:val="none"/>
          <w:lang w:val="en-US" w:eastAsia="zh-CN"/>
        </w:rPr>
      </w:pPr>
      <w:r>
        <w:rPr>
          <w:rFonts w:hint="eastAsia" w:ascii="楷体_GB2312" w:hAnsi="Calibri" w:eastAsia="楷体_GB2312" w:cs="Times New Roman"/>
          <w:b w:val="0"/>
          <w:bCs w:val="0"/>
          <w:sz w:val="32"/>
          <w:szCs w:val="32"/>
          <w:highlight w:val="none"/>
          <w:lang w:val="en-US" w:eastAsia="zh-CN"/>
        </w:rPr>
        <w:t>表2综合评价得分情况表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951"/>
        <w:gridCol w:w="145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0"/>
                <w:szCs w:val="20"/>
                <w:highlight w:val="none"/>
                <w:vertAlign w:val="baseline"/>
                <w:lang w:val="en-US" w:eastAsia="zh-CN"/>
              </w:rPr>
            </w:pPr>
            <w:r>
              <w:rPr>
                <w:rFonts w:hint="eastAsia" w:ascii="宋体" w:hAnsi="宋体" w:eastAsia="宋体" w:cs="宋体"/>
                <w:b/>
                <w:bCs/>
                <w:sz w:val="20"/>
                <w:szCs w:val="20"/>
                <w:highlight w:val="none"/>
                <w:vertAlign w:val="baseline"/>
                <w:lang w:val="en-US" w:eastAsia="zh-CN"/>
              </w:rPr>
              <w:t>一级指标</w:t>
            </w:r>
          </w:p>
        </w:tc>
        <w:tc>
          <w:tcPr>
            <w:tcW w:w="1144"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0"/>
                <w:szCs w:val="20"/>
                <w:highlight w:val="none"/>
                <w:vertAlign w:val="baseline"/>
                <w:lang w:val="en-US" w:eastAsia="zh-CN"/>
              </w:rPr>
            </w:pPr>
            <w:r>
              <w:rPr>
                <w:rFonts w:hint="eastAsia" w:ascii="宋体" w:hAnsi="宋体" w:eastAsia="宋体" w:cs="宋体"/>
                <w:b/>
                <w:bCs/>
                <w:sz w:val="20"/>
                <w:szCs w:val="20"/>
                <w:highlight w:val="none"/>
                <w:vertAlign w:val="baseline"/>
                <w:lang w:val="en-US" w:eastAsia="zh-CN"/>
              </w:rPr>
              <w:t>二级指标</w:t>
            </w:r>
          </w:p>
        </w:tc>
        <w:tc>
          <w:tcPr>
            <w:tcW w:w="855"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0"/>
                <w:szCs w:val="20"/>
                <w:highlight w:val="none"/>
                <w:vertAlign w:val="baseline"/>
                <w:lang w:val="en-US" w:eastAsia="zh-CN"/>
              </w:rPr>
            </w:pPr>
            <w:r>
              <w:rPr>
                <w:rFonts w:hint="eastAsia" w:ascii="宋体" w:hAnsi="宋体" w:eastAsia="宋体" w:cs="宋体"/>
                <w:b/>
                <w:bCs/>
                <w:sz w:val="20"/>
                <w:szCs w:val="20"/>
                <w:highlight w:val="none"/>
                <w:vertAlign w:val="baseline"/>
                <w:lang w:val="en-US" w:eastAsia="zh-CN"/>
              </w:rPr>
              <w:t>分值</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0"/>
                <w:szCs w:val="20"/>
                <w:highlight w:val="none"/>
                <w:vertAlign w:val="baseline"/>
                <w:lang w:val="en-US" w:eastAsia="zh-CN"/>
              </w:rPr>
            </w:pPr>
            <w:r>
              <w:rPr>
                <w:rFonts w:hint="eastAsia" w:ascii="宋体" w:hAnsi="宋体" w:eastAsia="宋体" w:cs="宋体"/>
                <w:b/>
                <w:bCs/>
                <w:sz w:val="20"/>
                <w:szCs w:val="20"/>
                <w:highlight w:val="none"/>
                <w:vertAlign w:val="baseline"/>
                <w:lang w:val="en-US" w:eastAsia="zh-CN"/>
              </w:rPr>
              <w:t>得分</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0"/>
                <w:szCs w:val="20"/>
                <w:highlight w:val="none"/>
                <w:vertAlign w:val="baseline"/>
                <w:lang w:val="en-US" w:eastAsia="zh-CN"/>
              </w:rPr>
            </w:pPr>
            <w:r>
              <w:rPr>
                <w:rFonts w:hint="eastAsia" w:ascii="宋体" w:hAnsi="宋体" w:eastAsia="宋体" w:cs="宋体"/>
                <w:b/>
                <w:bCs/>
                <w:sz w:val="20"/>
                <w:szCs w:val="20"/>
                <w:highlight w:val="none"/>
                <w:vertAlign w:val="baseline"/>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0"/>
                <w:szCs w:val="20"/>
                <w:highlight w:val="none"/>
                <w:vertAlign w:val="baseline"/>
                <w:lang w:eastAsia="zh-CN"/>
              </w:rPr>
            </w:pPr>
            <w:r>
              <w:rPr>
                <w:rFonts w:hint="eastAsia" w:ascii="宋体" w:hAnsi="宋体" w:eastAsia="宋体" w:cs="宋体"/>
                <w:snapToGrid w:val="0"/>
                <w:color w:val="000000"/>
                <w:spacing w:val="7"/>
                <w:kern w:val="0"/>
                <w:sz w:val="20"/>
                <w:szCs w:val="20"/>
                <w:highlight w:val="none"/>
                <w:lang w:val="en-US" w:eastAsia="en-US" w:bidi="ar-SA"/>
              </w:rPr>
              <w:t>当年预算执行情况</w:t>
            </w:r>
            <w:r>
              <w:rPr>
                <w:rFonts w:hint="eastAsia" w:ascii="宋体" w:hAnsi="宋体" w:eastAsia="宋体" w:cs="宋体"/>
                <w:snapToGrid w:val="0"/>
                <w:color w:val="000000"/>
                <w:spacing w:val="7"/>
                <w:kern w:val="0"/>
                <w:sz w:val="20"/>
                <w:szCs w:val="20"/>
                <w:highlight w:val="none"/>
                <w:lang w:val="en-US" w:eastAsia="zh-CN" w:bidi="ar-SA"/>
              </w:rPr>
              <w:t>（20）</w:t>
            </w:r>
          </w:p>
        </w:tc>
        <w:tc>
          <w:tcPr>
            <w:tcW w:w="1144"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w:t>
            </w:r>
          </w:p>
        </w:tc>
        <w:tc>
          <w:tcPr>
            <w:tcW w:w="855"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20</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20</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整体绩效目标实现情况（60）</w:t>
            </w:r>
          </w:p>
        </w:tc>
        <w:tc>
          <w:tcPr>
            <w:tcW w:w="1144"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产出</w:t>
            </w:r>
          </w:p>
        </w:tc>
        <w:tc>
          <w:tcPr>
            <w:tcW w:w="855"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30</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29</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Merge w:val="continue"/>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rPr>
            </w:pPr>
          </w:p>
        </w:tc>
        <w:tc>
          <w:tcPr>
            <w:tcW w:w="1144"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效果</w:t>
            </w:r>
          </w:p>
        </w:tc>
        <w:tc>
          <w:tcPr>
            <w:tcW w:w="855"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30</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29</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rPr>
            </w:pPr>
            <w:r>
              <w:rPr>
                <w:rFonts w:hint="eastAsia" w:ascii="宋体" w:hAnsi="宋体" w:eastAsia="宋体" w:cs="宋体"/>
                <w:b w:val="0"/>
                <w:bCs w:val="0"/>
                <w:sz w:val="20"/>
                <w:szCs w:val="20"/>
                <w:highlight w:val="none"/>
                <w:vertAlign w:val="baseline"/>
                <w:lang w:val="en-US" w:eastAsia="zh-CN"/>
              </w:rPr>
              <w:t>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预算管理情况（20）</w:t>
            </w:r>
          </w:p>
        </w:tc>
        <w:tc>
          <w:tcPr>
            <w:tcW w:w="1144"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财务管理</w:t>
            </w:r>
          </w:p>
        </w:tc>
        <w:tc>
          <w:tcPr>
            <w:tcW w:w="855"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4</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4</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rPr>
            </w:pPr>
            <w:r>
              <w:rPr>
                <w:rFonts w:hint="eastAsia" w:ascii="宋体" w:hAnsi="宋体" w:eastAsia="宋体" w:cs="宋体"/>
                <w:b w:val="0"/>
                <w:bCs w:val="0"/>
                <w:sz w:val="20"/>
                <w:szCs w:val="2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Merge w:val="continue"/>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rPr>
            </w:pPr>
          </w:p>
        </w:tc>
        <w:tc>
          <w:tcPr>
            <w:tcW w:w="1144"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资产管理</w:t>
            </w:r>
          </w:p>
        </w:tc>
        <w:tc>
          <w:tcPr>
            <w:tcW w:w="855"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4</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3.5</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Merge w:val="continue"/>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rPr>
            </w:pPr>
          </w:p>
        </w:tc>
        <w:tc>
          <w:tcPr>
            <w:tcW w:w="1144"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绩效管理</w:t>
            </w:r>
          </w:p>
        </w:tc>
        <w:tc>
          <w:tcPr>
            <w:tcW w:w="855"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4</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4</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rPr>
            </w:pPr>
            <w:r>
              <w:rPr>
                <w:rFonts w:hint="eastAsia" w:ascii="宋体" w:hAnsi="宋体" w:eastAsia="宋体" w:cs="宋体"/>
                <w:b w:val="0"/>
                <w:bCs w:val="0"/>
                <w:sz w:val="20"/>
                <w:szCs w:val="2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Merge w:val="continue"/>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rPr>
            </w:pPr>
          </w:p>
        </w:tc>
        <w:tc>
          <w:tcPr>
            <w:tcW w:w="1144"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结转结余率</w:t>
            </w:r>
          </w:p>
        </w:tc>
        <w:tc>
          <w:tcPr>
            <w:tcW w:w="855"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4</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4</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rPr>
            </w:pPr>
            <w:r>
              <w:rPr>
                <w:rFonts w:hint="eastAsia" w:ascii="宋体" w:hAnsi="宋体" w:eastAsia="宋体" w:cs="宋体"/>
                <w:b w:val="0"/>
                <w:bCs w:val="0"/>
                <w:sz w:val="20"/>
                <w:szCs w:val="2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Merge w:val="continue"/>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rPr>
            </w:pPr>
          </w:p>
        </w:tc>
        <w:tc>
          <w:tcPr>
            <w:tcW w:w="1144"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部门预决算差异率</w:t>
            </w:r>
          </w:p>
        </w:tc>
        <w:tc>
          <w:tcPr>
            <w:tcW w:w="855"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4</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2</w:t>
            </w:r>
          </w:p>
        </w:tc>
        <w:tc>
          <w:tcPr>
            <w:tcW w:w="1000" w:type="pct"/>
            <w:vAlign w:val="bottom"/>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0"/>
                <w:szCs w:val="20"/>
                <w:highlight w:val="none"/>
                <w:vertAlign w:val="baseline"/>
              </w:rPr>
            </w:pPr>
            <w:r>
              <w:rPr>
                <w:rFonts w:hint="eastAsia" w:ascii="宋体" w:hAnsi="宋体" w:eastAsia="宋体" w:cs="宋体"/>
                <w:b w:val="0"/>
                <w:bCs w:val="0"/>
                <w:sz w:val="20"/>
                <w:szCs w:val="20"/>
                <w:highlight w:val="none"/>
                <w:vertAlign w:val="baseline"/>
                <w:lang w:val="en-US" w:eastAsia="zh-CN"/>
              </w:rPr>
              <w:t>50%</w:t>
            </w:r>
          </w:p>
        </w:tc>
      </w:tr>
    </w:tbl>
    <w:p>
      <w:pPr>
        <w:keepNext w:val="0"/>
        <w:keepLines w:val="0"/>
        <w:pageBreakBefore w:val="0"/>
        <w:widowControl w:val="0"/>
        <w:numPr>
          <w:ilvl w:val="0"/>
          <w:numId w:val="0"/>
        </w:numPr>
        <w:kinsoku/>
        <w:wordWrap/>
        <w:overflowPunct/>
        <w:topLinePunct w:val="0"/>
        <w:autoSpaceDE/>
        <w:autoSpaceDN/>
        <w:bidi w:val="0"/>
        <w:spacing w:line="360" w:lineRule="auto"/>
        <w:ind w:left="150" w:leftChars="50" w:firstLine="640" w:firstLineChars="200"/>
        <w:textAlignment w:val="auto"/>
        <w:outlineLvl w:val="1"/>
        <w:rPr>
          <w:rFonts w:hint="eastAsia" w:ascii="楷体_GB2312" w:hAnsi="Calibri" w:eastAsia="楷体_GB2312" w:cs="Times New Roman"/>
          <w:b w:val="0"/>
          <w:bCs w:val="0"/>
          <w:sz w:val="32"/>
          <w:szCs w:val="32"/>
          <w:highlight w:val="none"/>
        </w:rPr>
      </w:pPr>
      <w:bookmarkStart w:id="16" w:name="_Toc30193"/>
      <w:r>
        <w:rPr>
          <w:rFonts w:hint="eastAsia" w:ascii="楷体_GB2312" w:hAnsi="Calibri" w:eastAsia="楷体_GB2312" w:cs="Times New Roman"/>
          <w:b w:val="0"/>
          <w:bCs w:val="0"/>
          <w:kern w:val="2"/>
          <w:sz w:val="32"/>
          <w:szCs w:val="32"/>
          <w:highlight w:val="none"/>
          <w:lang w:val="en-US" w:eastAsia="zh-CN" w:bidi="ar-SA"/>
        </w:rPr>
        <w:t>（二）</w:t>
      </w:r>
      <w:r>
        <w:rPr>
          <w:rFonts w:hint="eastAsia" w:ascii="楷体_GB2312" w:hAnsi="Calibri" w:eastAsia="楷体_GB2312" w:cs="Times New Roman"/>
          <w:b w:val="0"/>
          <w:bCs w:val="0"/>
          <w:sz w:val="32"/>
          <w:szCs w:val="32"/>
          <w:highlight w:val="none"/>
        </w:rPr>
        <w:t>存在的问题及原因分析</w:t>
      </w:r>
      <w:bookmarkEnd w:id="16"/>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通过部门整体绩效评价工作的开展，</w:t>
      </w:r>
      <w:r>
        <w:rPr>
          <w:rFonts w:hint="eastAsia" w:ascii="仿宋_GB2312" w:hAnsi="Times New Roman" w:cs="Times New Roman"/>
          <w:sz w:val="32"/>
          <w:szCs w:val="32"/>
          <w:highlight w:val="none"/>
          <w:lang w:eastAsia="zh-CN"/>
        </w:rPr>
        <w:t>我</w:t>
      </w:r>
      <w:r>
        <w:rPr>
          <w:rFonts w:hint="eastAsia" w:ascii="仿宋_GB2312" w:hAnsi="Times New Roman" w:eastAsia="仿宋_GB2312" w:cs="Times New Roman"/>
          <w:sz w:val="32"/>
          <w:szCs w:val="32"/>
          <w:highlight w:val="none"/>
        </w:rPr>
        <w:t>局在部门预算绩效管理工作中还存在</w:t>
      </w:r>
      <w:r>
        <w:rPr>
          <w:rFonts w:hint="eastAsia" w:ascii="仿宋_GB2312" w:hAnsi="Times New Roman" w:cs="Times New Roman"/>
          <w:sz w:val="32"/>
          <w:szCs w:val="32"/>
          <w:highlight w:val="none"/>
          <w:lang w:val="en-US" w:eastAsia="zh-CN"/>
        </w:rPr>
        <w:t>一些</w:t>
      </w:r>
      <w:r>
        <w:rPr>
          <w:rFonts w:hint="eastAsia" w:ascii="仿宋_GB2312" w:hAnsi="Times New Roman" w:eastAsia="仿宋_GB2312" w:cs="Times New Roman"/>
          <w:sz w:val="32"/>
          <w:szCs w:val="32"/>
          <w:highlight w:val="none"/>
        </w:rPr>
        <w:t>不足</w:t>
      </w:r>
      <w:r>
        <w:rPr>
          <w:rFonts w:hint="eastAsia" w:ascii="仿宋_GB2312" w:hAnsi="Times New Roman" w:cs="Times New Roman"/>
          <w:sz w:val="32"/>
          <w:szCs w:val="32"/>
          <w:highlight w:val="none"/>
          <w:lang w:eastAsia="zh-CN"/>
        </w:rPr>
        <w:t>，</w:t>
      </w:r>
      <w:r>
        <w:rPr>
          <w:rFonts w:hint="eastAsia" w:ascii="仿宋_GB2312" w:hAnsi="Times New Roman" w:cs="Times New Roman"/>
          <w:sz w:val="32"/>
          <w:szCs w:val="32"/>
          <w:highlight w:val="none"/>
          <w:lang w:val="en-US" w:eastAsia="zh-CN"/>
        </w:rPr>
        <w:t>具体如下</w:t>
      </w:r>
      <w:r>
        <w:rPr>
          <w:rFonts w:hint="eastAsia" w:ascii="仿宋_GB2312"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rPr>
        <w:t>1.绩效</w:t>
      </w:r>
      <w:r>
        <w:rPr>
          <w:rFonts w:hint="eastAsia" w:ascii="仿宋_GB2312" w:hAnsi="Times New Roman" w:cs="Times New Roman"/>
          <w:b w:val="0"/>
          <w:bCs w:val="0"/>
          <w:sz w:val="32"/>
          <w:szCs w:val="32"/>
          <w:highlight w:val="none"/>
          <w:lang w:val="en-US" w:eastAsia="zh-CN"/>
        </w:rPr>
        <w:t>目标和</w:t>
      </w:r>
      <w:r>
        <w:rPr>
          <w:rFonts w:hint="eastAsia" w:ascii="仿宋_GB2312" w:hAnsi="Times New Roman" w:eastAsia="仿宋_GB2312" w:cs="Times New Roman"/>
          <w:b w:val="0"/>
          <w:bCs w:val="0"/>
          <w:sz w:val="32"/>
          <w:szCs w:val="32"/>
          <w:highlight w:val="none"/>
        </w:rPr>
        <w:t>指标设置不够</w:t>
      </w:r>
      <w:r>
        <w:rPr>
          <w:rFonts w:hint="eastAsia" w:ascii="仿宋_GB2312" w:hAnsi="Times New Roman" w:cs="Times New Roman"/>
          <w:b w:val="0"/>
          <w:bCs w:val="0"/>
          <w:sz w:val="32"/>
          <w:szCs w:val="32"/>
          <w:highlight w:val="none"/>
          <w:lang w:val="en-US" w:eastAsia="zh-CN"/>
        </w:rPr>
        <w:t>规范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ascii="仿宋_GB2312" w:hAnsi="仿宋_GB2312" w:eastAsia="仿宋_GB2312" w:cs="仿宋_GB2312"/>
          <w:b w:val="0"/>
          <w:bCs w:val="0"/>
          <w:sz w:val="32"/>
          <w:szCs w:val="32"/>
          <w:highlight w:val="none"/>
        </w:rPr>
      </w:pPr>
      <w:r>
        <w:rPr>
          <w:rFonts w:hint="eastAsia" w:ascii="仿宋_GB2312" w:hAnsi="Times New Roman" w:eastAsia="仿宋_GB2312" w:cs="Times New Roman"/>
          <w:b w:val="0"/>
          <w:bCs w:val="0"/>
          <w:sz w:val="32"/>
          <w:szCs w:val="32"/>
          <w:highlight w:val="none"/>
        </w:rPr>
        <w:t>部门整体支出和部分项目绩效目标及指标设置不够科学规范，存在绩效目标及指标设置不够齐全、核心产出和效益未能充分体现、指标值不够清晰明确等问题</w:t>
      </w:r>
      <w:r>
        <w:rPr>
          <w:rFonts w:hint="eastAsia" w:ascii="仿宋_GB2312" w:hAnsi="Times New Roman" w:cs="Times New Roman"/>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具体内容不够明确，且缺少衡量标准。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2.</w:t>
      </w:r>
      <w:r>
        <w:rPr>
          <w:rFonts w:hint="eastAsia" w:ascii="仿宋_GB2312" w:hAnsi="仿宋_GB2312" w:cs="仿宋_GB2312"/>
          <w:b w:val="0"/>
          <w:bCs w:val="0"/>
          <w:sz w:val="32"/>
          <w:szCs w:val="32"/>
          <w:highlight w:val="none"/>
          <w:lang w:val="en-US" w:eastAsia="zh-CN"/>
        </w:rPr>
        <w:t>资产</w:t>
      </w:r>
      <w:r>
        <w:rPr>
          <w:rFonts w:hint="eastAsia" w:ascii="仿宋_GB2312" w:hAnsi="仿宋_GB2312" w:eastAsia="仿宋_GB2312" w:cs="仿宋_GB2312"/>
          <w:b w:val="0"/>
          <w:bCs w:val="0"/>
          <w:sz w:val="32"/>
          <w:szCs w:val="32"/>
          <w:highlight w:val="none"/>
        </w:rPr>
        <w:t>管理</w:t>
      </w:r>
      <w:r>
        <w:rPr>
          <w:rFonts w:hint="eastAsia" w:ascii="仿宋_GB2312" w:hAnsi="仿宋_GB2312" w:cs="仿宋_GB2312"/>
          <w:b w:val="0"/>
          <w:bCs w:val="0"/>
          <w:sz w:val="32"/>
          <w:szCs w:val="32"/>
          <w:highlight w:val="none"/>
          <w:lang w:val="en-US" w:eastAsia="zh-CN"/>
        </w:rPr>
        <w:t>有待加强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我局在资产管理中精细化程度有待提高。2024年度我局盘点工作中发现部分固定资产在资产管理系统中品牌及规格型号登记模糊，存在信息不明确的情况；同时，当固定资产的存放地点发生变更后，资产系统中的相关信息未能及时更新，导致账实不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3.部门履职效益佐证材料收集整理略有不足</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仿宋_GB2312" w:eastAsia="仿宋_GB2312" w:cs="仿宋_GB2312"/>
          <w:sz w:val="32"/>
          <w:szCs w:val="32"/>
          <w:highlight w:val="none"/>
        </w:rPr>
      </w:pPr>
      <w:r>
        <w:rPr>
          <w:rFonts w:hint="default" w:ascii="仿宋_GB2312" w:hAnsi="仿宋_GB2312" w:cs="仿宋_GB2312"/>
          <w:sz w:val="32"/>
          <w:szCs w:val="32"/>
          <w:highlight w:val="none"/>
        </w:rPr>
        <w:t>我局</w:t>
      </w:r>
      <w:r>
        <w:rPr>
          <w:rFonts w:hint="eastAsia" w:ascii="仿宋_GB2312" w:hAnsi="仿宋_GB2312" w:eastAsia="仿宋_GB2312" w:cs="仿宋_GB2312"/>
          <w:sz w:val="32"/>
          <w:szCs w:val="32"/>
          <w:highlight w:val="none"/>
        </w:rPr>
        <w:t>较好地完成了202</w:t>
      </w:r>
      <w:r>
        <w:rPr>
          <w:rFonts w:hint="default" w:ascii="仿宋_GB2312" w:hAnsi="仿宋_GB2312" w:cs="仿宋_GB2312"/>
          <w:sz w:val="32"/>
          <w:szCs w:val="32"/>
          <w:highlight w:val="none"/>
        </w:rPr>
        <w:t>4</w:t>
      </w:r>
      <w:r>
        <w:rPr>
          <w:rFonts w:hint="eastAsia" w:ascii="仿宋_GB2312" w:hAnsi="仿宋_GB2312" w:eastAsia="仿宋_GB2312" w:cs="仿宋_GB2312"/>
          <w:sz w:val="32"/>
          <w:szCs w:val="32"/>
          <w:highlight w:val="none"/>
        </w:rPr>
        <w:t>年度目标任务，</w:t>
      </w:r>
      <w:r>
        <w:rPr>
          <w:rFonts w:hint="eastAsia" w:ascii="仿宋_GB2312" w:hAnsi="仿宋_GB2312" w:cs="仿宋_GB2312"/>
          <w:sz w:val="32"/>
          <w:szCs w:val="32"/>
          <w:highlight w:val="none"/>
          <w:lang w:val="en-US" w:eastAsia="zh-CN"/>
        </w:rPr>
        <w:t>取得了</w:t>
      </w:r>
      <w:r>
        <w:rPr>
          <w:rFonts w:hint="eastAsia" w:ascii="仿宋_GB2312" w:hAnsi="仿宋_GB2312" w:eastAsia="仿宋_GB2312" w:cs="仿宋_GB2312"/>
          <w:sz w:val="32"/>
          <w:szCs w:val="32"/>
          <w:highlight w:val="none"/>
        </w:rPr>
        <w:t>一定的经济、社会和生态效益。但</w:t>
      </w:r>
      <w:r>
        <w:rPr>
          <w:rFonts w:hint="eastAsia" w:ascii="仿宋_GB2312" w:hAnsi="仿宋_GB2312" w:cs="仿宋_GB2312"/>
          <w:sz w:val="32"/>
          <w:szCs w:val="32"/>
          <w:highlight w:val="none"/>
          <w:lang w:val="en-US" w:eastAsia="zh-CN"/>
        </w:rPr>
        <w:t>部分项目完成后，未能及时开展满意度调查工作，</w:t>
      </w:r>
      <w:r>
        <w:rPr>
          <w:rFonts w:hint="eastAsia" w:ascii="仿宋_GB2312" w:hAnsi="仿宋_GB2312" w:eastAsia="仿宋_GB2312" w:cs="仿宋_GB2312"/>
          <w:sz w:val="32"/>
          <w:szCs w:val="32"/>
          <w:highlight w:val="none"/>
        </w:rPr>
        <w:t>缺少满意度调查相关资料，部门履职效益佐证材料收集整理略有不足，现有资料不能全面、客观地反映项目实施效果和绩效实现情况，也不利于部门对服务质量和改进方向进行评估。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ascii="Calibri" w:hAnsi="Calibri" w:eastAsia="宋体" w:cs="Times New Roman"/>
          <w:sz w:val="21"/>
          <w:highlight w:val="none"/>
        </w:rPr>
      </w:pPr>
      <w:bookmarkStart w:id="17" w:name="_Toc22065"/>
      <w:r>
        <w:rPr>
          <w:rFonts w:hint="eastAsia" w:ascii="黑体" w:hAnsi="黑体" w:eastAsia="黑体" w:cs="宋体"/>
          <w:b w:val="0"/>
          <w:bCs w:val="0"/>
          <w:color w:val="000000"/>
          <w:kern w:val="0"/>
          <w:sz w:val="32"/>
          <w:szCs w:val="32"/>
          <w:highlight w:val="none"/>
        </w:rPr>
        <w:t>六、措施建议</w:t>
      </w:r>
      <w:bookmarkEnd w:id="17"/>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ascii="仿宋_GB2312" w:hAnsi="Times New Roman" w:eastAsia="仿宋_GB2312" w:cs="Times New Roman"/>
          <w:sz w:val="32"/>
          <w:szCs w:val="32"/>
          <w:highlight w:val="none"/>
        </w:rPr>
      </w:pPr>
      <w:bookmarkStart w:id="18" w:name="_Toc15630"/>
      <w:bookmarkStart w:id="19" w:name="_Toc1676"/>
      <w:bookmarkStart w:id="20" w:name="_Toc950"/>
      <w:bookmarkStart w:id="21" w:name="_Toc6782"/>
      <w:bookmarkStart w:id="22" w:name="_Toc20371"/>
      <w:bookmarkStart w:id="23" w:name="_Toc31246"/>
      <w:bookmarkStart w:id="24" w:name="_Toc7440"/>
      <w:bookmarkStart w:id="25" w:name="_Toc14519"/>
      <w:r>
        <w:rPr>
          <w:rFonts w:hint="eastAsia" w:ascii="楷体_GB2312" w:hAnsi="楷体_GB2312" w:eastAsia="楷体_GB2312" w:cs="楷体_GB2312"/>
          <w:bCs/>
          <w:sz w:val="32"/>
          <w:szCs w:val="32"/>
          <w:highlight w:val="none"/>
        </w:rPr>
        <w:t>（一）合理编制绩效目标及指标</w:t>
      </w:r>
      <w:bookmarkEnd w:id="18"/>
      <w:bookmarkEnd w:id="19"/>
      <w:bookmarkEnd w:id="20"/>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ascii="仿宋_GB2312" w:hAnsi="仿宋_GB2312" w:eastAsia="仿宋_GB2312" w:cs="仿宋_GB2312"/>
          <w:sz w:val="32"/>
          <w:szCs w:val="32"/>
          <w:highlight w:val="none"/>
        </w:rPr>
      </w:pPr>
      <w:r>
        <w:rPr>
          <w:rFonts w:hint="default" w:ascii="仿宋_GB2312" w:hAnsi="Times New Roman" w:cs="Times New Roman"/>
          <w:sz w:val="32"/>
          <w:szCs w:val="32"/>
          <w:highlight w:val="none"/>
        </w:rPr>
        <w:t>我局将</w:t>
      </w:r>
      <w:r>
        <w:rPr>
          <w:rFonts w:hint="eastAsia" w:ascii="仿宋_GB2312" w:hAnsi="Times New Roman" w:eastAsia="仿宋_GB2312" w:cs="Times New Roman"/>
          <w:sz w:val="32"/>
          <w:szCs w:val="32"/>
          <w:highlight w:val="none"/>
        </w:rPr>
        <w:t>继续加强预算绩效管理相关人员对财政绩效目标管理有关文件的学习，根据部门职责、机构设置和项目年度计划开展内容设置绩效目标及指标，确保年度绩效目标与预算相匹配，绩效指标细化、量化、可考核。并加</w:t>
      </w:r>
      <w:r>
        <w:rPr>
          <w:rFonts w:hint="eastAsia" w:ascii="仿宋_GB2312" w:hAnsi="仿宋_GB2312" w:eastAsia="仿宋_GB2312" w:cs="仿宋_GB2312"/>
          <w:sz w:val="32"/>
          <w:szCs w:val="32"/>
          <w:highlight w:val="none"/>
        </w:rPr>
        <w:t>大绩效目标审核力度，进一步提升预算绩效管理水平。</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ascii="仿宋_GB2312" w:hAnsi="仿宋_GB2312" w:eastAsia="楷体_GB2312" w:cs="仿宋_GB2312"/>
          <w:sz w:val="32"/>
          <w:szCs w:val="32"/>
          <w:highlight w:val="none"/>
        </w:rPr>
      </w:pPr>
      <w:bookmarkStart w:id="26" w:name="_Toc67"/>
      <w:bookmarkStart w:id="27" w:name="_Toc9172"/>
      <w:bookmarkStart w:id="28" w:name="_Toc12332"/>
      <w:r>
        <w:rPr>
          <w:rFonts w:hint="eastAsia" w:ascii="楷体_GB2312" w:hAnsi="楷体_GB2312" w:eastAsia="楷体_GB2312" w:cs="楷体_GB2312"/>
          <w:bCs/>
          <w:sz w:val="32"/>
          <w:szCs w:val="32"/>
          <w:highlight w:val="none"/>
        </w:rPr>
        <w:t>（二）加强</w:t>
      </w:r>
      <w:r>
        <w:rPr>
          <w:rFonts w:hint="eastAsia" w:ascii="楷体_GB2312" w:hAnsi="楷体_GB2312" w:eastAsia="楷体_GB2312" w:cs="楷体_GB2312"/>
          <w:bCs/>
          <w:sz w:val="32"/>
          <w:szCs w:val="32"/>
          <w:highlight w:val="none"/>
          <w:lang w:val="en-US" w:eastAsia="zh-CN"/>
        </w:rPr>
        <w:t>资产</w:t>
      </w:r>
      <w:r>
        <w:rPr>
          <w:rFonts w:hint="eastAsia" w:ascii="楷体_GB2312" w:hAnsi="楷体_GB2312" w:eastAsia="楷体_GB2312" w:cs="楷体_GB2312"/>
          <w:bCs/>
          <w:sz w:val="32"/>
          <w:szCs w:val="32"/>
          <w:highlight w:val="none"/>
        </w:rPr>
        <w:t>管理，提高</w:t>
      </w:r>
      <w:r>
        <w:rPr>
          <w:rFonts w:hint="eastAsia" w:ascii="楷体_GB2312" w:hAnsi="楷体_GB2312" w:eastAsia="楷体_GB2312" w:cs="楷体_GB2312"/>
          <w:bCs/>
          <w:sz w:val="32"/>
          <w:szCs w:val="32"/>
          <w:highlight w:val="none"/>
          <w:lang w:val="en-US" w:eastAsia="zh-CN"/>
        </w:rPr>
        <w:t>管理</w:t>
      </w:r>
      <w:r>
        <w:rPr>
          <w:rFonts w:hint="eastAsia" w:ascii="楷体_GB2312" w:hAnsi="楷体_GB2312" w:eastAsia="楷体_GB2312" w:cs="楷体_GB2312"/>
          <w:bCs/>
          <w:sz w:val="32"/>
          <w:szCs w:val="32"/>
          <w:highlight w:val="none"/>
        </w:rPr>
        <w:t>质量</w:t>
      </w:r>
      <w:bookmarkEnd w:id="26"/>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Times New Roman" w:eastAsia="仿宋_GB2312" w:cs="Times New Roman"/>
          <w:sz w:val="32"/>
          <w:szCs w:val="32"/>
          <w:highlight w:val="none"/>
        </w:rPr>
      </w:pPr>
      <w:r>
        <w:rPr>
          <w:rFonts w:hint="default" w:ascii="仿宋_GB2312" w:hAnsi="Times New Roman" w:cs="Times New Roman"/>
          <w:sz w:val="32"/>
          <w:szCs w:val="32"/>
          <w:highlight w:val="none"/>
        </w:rPr>
        <w:t>我局将</w:t>
      </w:r>
      <w:r>
        <w:rPr>
          <w:rFonts w:hint="eastAsia" w:ascii="仿宋_GB2312" w:hAnsi="Times New Roman" w:eastAsia="仿宋_GB2312" w:cs="Times New Roman"/>
          <w:sz w:val="32"/>
          <w:szCs w:val="32"/>
          <w:highlight w:val="none"/>
        </w:rPr>
        <w:t>进一步提升</w:t>
      </w:r>
      <w:r>
        <w:rPr>
          <w:rFonts w:hint="eastAsia" w:ascii="仿宋_GB2312" w:hAnsi="Times New Roman" w:cs="Times New Roman"/>
          <w:sz w:val="32"/>
          <w:szCs w:val="32"/>
          <w:highlight w:val="none"/>
          <w:lang w:val="en-US" w:eastAsia="zh-CN"/>
        </w:rPr>
        <w:t>资产</w:t>
      </w:r>
      <w:r>
        <w:rPr>
          <w:rFonts w:hint="eastAsia" w:ascii="仿宋_GB2312" w:hAnsi="Times New Roman" w:eastAsia="仿宋_GB2312" w:cs="Times New Roman"/>
          <w:sz w:val="32"/>
          <w:szCs w:val="32"/>
          <w:highlight w:val="none"/>
        </w:rPr>
        <w:t>管理水平。</w:t>
      </w:r>
      <w:bookmarkStart w:id="29" w:name="_Toc13678"/>
      <w:bookmarkStart w:id="30" w:name="_Toc31089"/>
      <w:r>
        <w:rPr>
          <w:rFonts w:hint="eastAsia" w:ascii="仿宋_GB2312" w:hAnsi="Times New Roman" w:cs="Times New Roman"/>
          <w:sz w:val="32"/>
          <w:szCs w:val="32"/>
          <w:highlight w:val="none"/>
          <w:lang w:val="en-US" w:eastAsia="zh-CN"/>
        </w:rPr>
        <w:t>按照</w:t>
      </w:r>
      <w:r>
        <w:rPr>
          <w:rFonts w:hint="eastAsia" w:ascii="仿宋_GB2312" w:hAnsi="Times New Roman" w:eastAsia="仿宋_GB2312" w:cs="Times New Roman"/>
          <w:sz w:val="32"/>
          <w:szCs w:val="32"/>
          <w:highlight w:val="none"/>
        </w:rPr>
        <w:t>资产</w:t>
      </w:r>
      <w:r>
        <w:rPr>
          <w:rFonts w:hint="eastAsia" w:ascii="仿宋_GB2312" w:hAnsi="Times New Roman" w:cs="Times New Roman"/>
          <w:sz w:val="32"/>
          <w:szCs w:val="32"/>
          <w:highlight w:val="none"/>
          <w:lang w:val="en-US" w:eastAsia="zh-CN"/>
        </w:rPr>
        <w:t>管理相关规定要求，</w:t>
      </w:r>
      <w:r>
        <w:rPr>
          <w:rFonts w:hint="eastAsia" w:ascii="仿宋_GB2312" w:hAnsi="Times New Roman" w:eastAsia="仿宋_GB2312" w:cs="Times New Roman"/>
          <w:sz w:val="32"/>
          <w:szCs w:val="32"/>
          <w:highlight w:val="none"/>
        </w:rPr>
        <w:t>规范登记</w:t>
      </w:r>
      <w:r>
        <w:rPr>
          <w:rFonts w:hint="eastAsia" w:ascii="仿宋_GB2312" w:hAnsi="Times New Roman" w:cs="Times New Roman"/>
          <w:sz w:val="32"/>
          <w:szCs w:val="32"/>
          <w:highlight w:val="none"/>
          <w:lang w:val="en-US" w:eastAsia="zh-CN"/>
        </w:rPr>
        <w:t>资产</w:t>
      </w:r>
      <w:r>
        <w:rPr>
          <w:rFonts w:hint="eastAsia" w:ascii="仿宋_GB2312" w:hAnsi="Times New Roman" w:eastAsia="仿宋_GB2312" w:cs="Times New Roman"/>
          <w:sz w:val="32"/>
          <w:szCs w:val="32"/>
          <w:highlight w:val="none"/>
        </w:rPr>
        <w:t>信息，在资产入库时详细、准确填写品牌、规格型号等信息</w:t>
      </w:r>
      <w:r>
        <w:rPr>
          <w:rFonts w:hint="eastAsia" w:ascii="仿宋_GB2312" w:hAnsi="Times New Roman" w:cs="Times New Roman"/>
          <w:sz w:val="32"/>
          <w:szCs w:val="32"/>
          <w:highlight w:val="none"/>
          <w:lang w:eastAsia="zh-CN"/>
        </w:rPr>
        <w:t>；</w:t>
      </w:r>
      <w:r>
        <w:rPr>
          <w:rFonts w:hint="eastAsia" w:ascii="仿宋_GB2312" w:hAnsi="Times New Roman" w:eastAsia="仿宋_GB2312" w:cs="Times New Roman"/>
          <w:sz w:val="32"/>
          <w:szCs w:val="32"/>
          <w:highlight w:val="none"/>
        </w:rPr>
        <w:t>同时</w:t>
      </w:r>
      <w:r>
        <w:rPr>
          <w:rFonts w:hint="eastAsia" w:ascii="仿宋_GB2312" w:hAnsi="Times New Roman" w:cs="Times New Roman"/>
          <w:sz w:val="32"/>
          <w:szCs w:val="32"/>
          <w:highlight w:val="none"/>
          <w:lang w:val="en-US" w:eastAsia="zh-CN"/>
        </w:rPr>
        <w:t>针对资产管理相关信息存在变化的，定期查看并更新资产管理系统中资产相关信息</w:t>
      </w:r>
      <w:r>
        <w:rPr>
          <w:rFonts w:hint="eastAsia" w:ascii="仿宋_GB2312" w:hAnsi="Times New Roman" w:eastAsia="仿宋_GB2312" w:cs="Times New Roman"/>
          <w:sz w:val="32"/>
          <w:szCs w:val="32"/>
          <w:highlight w:val="none"/>
        </w:rPr>
        <w:t>，确保</w:t>
      </w:r>
      <w:r>
        <w:rPr>
          <w:rFonts w:hint="eastAsia" w:ascii="仿宋_GB2312" w:hAnsi="Times New Roman" w:cs="Times New Roman"/>
          <w:sz w:val="32"/>
          <w:szCs w:val="32"/>
          <w:highlight w:val="none"/>
          <w:lang w:val="en-US" w:eastAsia="zh-CN"/>
        </w:rPr>
        <w:t>资产“账、实、卡”保持一致</w:t>
      </w:r>
      <w:r>
        <w:rPr>
          <w:rFonts w:hint="eastAsia" w:ascii="仿宋_GB2312"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ascii="楷体_GB2312" w:hAnsi="楷体_GB2312" w:eastAsia="楷体_GB2312" w:cs="楷体_GB2312"/>
          <w:bCs/>
          <w:sz w:val="32"/>
          <w:szCs w:val="32"/>
          <w:highlight w:val="none"/>
        </w:rPr>
      </w:pPr>
      <w:bookmarkStart w:id="31" w:name="_Toc7135"/>
      <w:r>
        <w:rPr>
          <w:rFonts w:hint="eastAsia" w:ascii="楷体_GB2312" w:hAnsi="楷体_GB2312" w:eastAsia="楷体_GB2312" w:cs="楷体_GB2312"/>
          <w:bCs/>
          <w:sz w:val="32"/>
          <w:szCs w:val="32"/>
          <w:highlight w:val="none"/>
        </w:rPr>
        <w:t>（三）</w:t>
      </w:r>
      <w:r>
        <w:rPr>
          <w:rFonts w:hint="eastAsia" w:ascii="楷体_GB2312" w:hAnsi="楷体_GB2312" w:eastAsia="楷体_GB2312" w:cs="楷体_GB2312"/>
          <w:bCs/>
          <w:sz w:val="32"/>
          <w:szCs w:val="32"/>
          <w:highlight w:val="none"/>
          <w:lang w:val="en-US" w:eastAsia="zh-CN"/>
        </w:rPr>
        <w:t>及时开展满意度调查</w:t>
      </w:r>
      <w:r>
        <w:rPr>
          <w:rFonts w:hint="eastAsia" w:ascii="楷体_GB2312" w:hAnsi="楷体_GB2312" w:eastAsia="楷体_GB2312" w:cs="楷体_GB2312"/>
          <w:bCs/>
          <w:sz w:val="32"/>
          <w:szCs w:val="32"/>
          <w:highlight w:val="none"/>
        </w:rPr>
        <w:t>，</w:t>
      </w:r>
      <w:bookmarkEnd w:id="21"/>
      <w:bookmarkEnd w:id="22"/>
      <w:bookmarkEnd w:id="23"/>
      <w:bookmarkEnd w:id="24"/>
      <w:bookmarkEnd w:id="25"/>
      <w:r>
        <w:rPr>
          <w:rFonts w:hint="eastAsia" w:ascii="楷体_GB2312" w:hAnsi="楷体_GB2312" w:eastAsia="楷体_GB2312" w:cs="楷体_GB2312"/>
          <w:bCs/>
          <w:sz w:val="32"/>
          <w:szCs w:val="32"/>
          <w:highlight w:val="none"/>
          <w:lang w:val="en-US" w:eastAsia="zh-CN"/>
        </w:rPr>
        <w:t>完善</w:t>
      </w:r>
      <w:r>
        <w:rPr>
          <w:rFonts w:hint="eastAsia" w:ascii="楷体_GB2312" w:hAnsi="楷体_GB2312" w:eastAsia="楷体_GB2312" w:cs="楷体_GB2312"/>
          <w:bCs/>
          <w:sz w:val="32"/>
          <w:szCs w:val="32"/>
          <w:highlight w:val="none"/>
        </w:rPr>
        <w:t>效益支撑材料</w:t>
      </w:r>
      <w:bookmarkEnd w:id="29"/>
      <w:bookmarkEnd w:id="30"/>
      <w:bookmarkEnd w:id="31"/>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我局将尽快督导相关项目人员，及时开展满意度调查，对项目满意度情况进行分析，为下一步项目规范管理、工作优化提供支撑。同时，注重效益资料的收集整理，为</w:t>
      </w:r>
      <w:r>
        <w:rPr>
          <w:rFonts w:hint="eastAsia" w:ascii="仿宋_GB2312" w:hAnsi="仿宋_GB2312" w:eastAsia="仿宋_GB2312" w:cs="仿宋_GB2312"/>
          <w:sz w:val="32"/>
          <w:szCs w:val="32"/>
          <w:highlight w:val="none"/>
        </w:rPr>
        <w:t>展现</w:t>
      </w:r>
      <w:r>
        <w:rPr>
          <w:rFonts w:hint="eastAsia" w:ascii="仿宋_GB2312" w:hAnsi="仿宋_GB2312" w:cs="仿宋_GB2312"/>
          <w:sz w:val="32"/>
          <w:szCs w:val="32"/>
          <w:highlight w:val="none"/>
          <w:lang w:val="en-US" w:eastAsia="zh-CN"/>
        </w:rPr>
        <w:t>部门履职</w:t>
      </w:r>
      <w:r>
        <w:rPr>
          <w:rFonts w:hint="eastAsia" w:ascii="仿宋_GB2312" w:hAnsi="仿宋_GB2312" w:eastAsia="仿宋_GB2312" w:cs="仿宋_GB2312"/>
          <w:sz w:val="32"/>
          <w:szCs w:val="32"/>
          <w:highlight w:val="none"/>
        </w:rPr>
        <w:t>实际完成的影响力和效果</w:t>
      </w:r>
      <w:r>
        <w:rPr>
          <w:rFonts w:hint="eastAsia" w:ascii="仿宋_GB2312" w:hAnsi="仿宋_GB2312" w:cs="仿宋_GB2312"/>
          <w:sz w:val="32"/>
          <w:szCs w:val="32"/>
          <w:highlight w:val="none"/>
          <w:lang w:val="en-US" w:eastAsia="zh-CN"/>
        </w:rPr>
        <w:t>提供支撑。</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sz w:val="32"/>
          <w:szCs w:val="32"/>
          <w:highlight w:val="none"/>
        </w:rPr>
        <w:sectPr>
          <w:footerReference r:id="rId5" w:type="default"/>
          <w:pgSz w:w="11906" w:h="16838"/>
          <w:pgMar w:top="1440" w:right="1800" w:bottom="1440" w:left="1800" w:header="851" w:footer="992" w:gutter="0"/>
          <w:pgNumType w:start="1"/>
          <w:cols w:space="425" w:num="1"/>
          <w:docGrid w:type="lines" w:linePitch="312" w:charSpace="0"/>
        </w:sectPr>
      </w:pPr>
    </w:p>
    <w:tbl>
      <w:tblPr>
        <w:tblStyle w:val="6"/>
        <w:tblW w:w="143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5"/>
        <w:gridCol w:w="13"/>
        <w:gridCol w:w="1120"/>
        <w:gridCol w:w="1507"/>
        <w:gridCol w:w="1435"/>
        <w:gridCol w:w="1010"/>
        <w:gridCol w:w="632"/>
        <w:gridCol w:w="716"/>
        <w:gridCol w:w="3291"/>
        <w:gridCol w:w="3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4381" w:type="dxa"/>
            <w:gridSpan w:val="10"/>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outlineLvl w:val="0"/>
              <w:rPr>
                <w:rFonts w:hint="eastAsia" w:ascii="仿宋_GB2312" w:hAnsi="仿宋_GB2312" w:eastAsia="仿宋_GB2312" w:cs="仿宋_GB2312"/>
                <w:i w:val="0"/>
                <w:iCs w:val="0"/>
                <w:color w:val="000000"/>
                <w:kern w:val="0"/>
                <w:sz w:val="32"/>
                <w:szCs w:val="32"/>
                <w:highlight w:val="none"/>
                <w:u w:val="none"/>
                <w:lang w:val="en-US" w:eastAsia="zh-CN" w:bidi="ar"/>
              </w:rPr>
            </w:pPr>
            <w:bookmarkStart w:id="32" w:name="_Toc29511"/>
            <w:r>
              <w:rPr>
                <w:rFonts w:hint="eastAsia" w:ascii="仿宋_GB2312" w:hAnsi="仿宋_GB2312" w:eastAsia="仿宋_GB2312" w:cs="仿宋_GB2312"/>
                <w:i w:val="0"/>
                <w:iCs w:val="0"/>
                <w:color w:val="000000"/>
                <w:kern w:val="0"/>
                <w:sz w:val="32"/>
                <w:szCs w:val="32"/>
                <w:highlight w:val="none"/>
                <w:u w:val="none"/>
                <w:lang w:val="en-US" w:eastAsia="zh-CN" w:bidi="ar"/>
              </w:rPr>
              <w:t>附件：</w:t>
            </w:r>
            <w:bookmarkEnd w:id="32"/>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ascii="方正小标宋简体" w:hAnsi="方正小标宋简体" w:eastAsia="方正小标宋简体" w:cs="方正小标宋简体"/>
                <w:i w:val="0"/>
                <w:iCs w:val="0"/>
                <w:color w:val="000000"/>
                <w:sz w:val="32"/>
                <w:szCs w:val="32"/>
                <w:highlight w:val="none"/>
                <w:u w:val="none"/>
              </w:rPr>
            </w:pPr>
            <w:r>
              <w:rPr>
                <w:rFonts w:hint="default" w:ascii="方正小标宋简体" w:hAnsi="方正小标宋简体" w:eastAsia="方正小标宋简体" w:cs="方正小标宋简体"/>
                <w:i w:val="0"/>
                <w:iCs w:val="0"/>
                <w:color w:val="000000"/>
                <w:kern w:val="0"/>
                <w:sz w:val="32"/>
                <w:szCs w:val="32"/>
                <w:highlight w:val="none"/>
                <w:u w:val="none"/>
                <w:lang w:val="en-US" w:eastAsia="zh-CN" w:bidi="ar"/>
              </w:rPr>
              <w:t>202</w:t>
            </w:r>
            <w: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t>4</w:t>
            </w:r>
            <w:r>
              <w:rPr>
                <w:rFonts w:hint="default" w:ascii="方正小标宋简体" w:hAnsi="方正小标宋简体" w:eastAsia="方正小标宋简体" w:cs="方正小标宋简体"/>
                <w:i w:val="0"/>
                <w:iCs w:val="0"/>
                <w:color w:val="000000"/>
                <w:kern w:val="0"/>
                <w:sz w:val="32"/>
                <w:szCs w:val="32"/>
                <w:highlight w:val="none"/>
                <w:u w:val="none"/>
                <w:lang w:val="en-US" w:eastAsia="zh-CN" w:bidi="ar"/>
              </w:rPr>
              <w:t>年部门整体绩效评价指标体系评分表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43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一、当年预算执行情况（20分）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一级指标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二级指标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预算数（万元）</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执行数（万元）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预算执行率</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分值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得分</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指标解释</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当年预算执行情况（20）</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资金总体</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50063.5</w:t>
            </w:r>
            <w:r>
              <w:rPr>
                <w:rFonts w:hint="eastAsia" w:ascii="宋体" w:hAnsi="宋体" w:eastAsia="宋体" w:cs="宋体"/>
                <w:i w:val="0"/>
                <w:iCs w:val="0"/>
                <w:color w:val="000000"/>
                <w:sz w:val="20"/>
                <w:szCs w:val="20"/>
                <w:highlight w:val="none"/>
                <w:u w:val="none"/>
                <w:lang w:val="en-US" w:eastAsia="zh-CN"/>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50063.56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100%</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w:t>
            </w:r>
          </w:p>
        </w:tc>
        <w:tc>
          <w:tcPr>
            <w:tcW w:w="3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部门全年执行数与全年预算数的比率。资金总体=基本支出+项目支出+其他</w:t>
            </w:r>
          </w:p>
        </w:tc>
        <w:tc>
          <w:tcPr>
            <w:tcW w:w="3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得分一档最高不能超过该指标分值上限（20分）。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基本支出</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14183.75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14183.75</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3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宋体"/>
                <w:i w:val="0"/>
                <w:iCs w:val="0"/>
                <w:color w:val="000000"/>
                <w:sz w:val="20"/>
                <w:szCs w:val="20"/>
                <w:highlight w:val="none"/>
                <w:u w:val="none"/>
              </w:rPr>
            </w:pPr>
          </w:p>
        </w:tc>
        <w:tc>
          <w:tcPr>
            <w:tcW w:w="3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项目支出</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35879.8</w:t>
            </w:r>
            <w:r>
              <w:rPr>
                <w:rFonts w:hint="eastAsia" w:ascii="宋体" w:hAnsi="宋体" w:eastAsia="宋体" w:cs="宋体"/>
                <w:i w:val="0"/>
                <w:iCs w:val="0"/>
                <w:color w:val="000000"/>
                <w:sz w:val="20"/>
                <w:szCs w:val="20"/>
                <w:highlight w:val="none"/>
                <w:u w:val="none"/>
                <w:lang w:val="en-US" w:eastAsia="zh-CN"/>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rPr>
              <w:t>35879.8</w:t>
            </w:r>
            <w:r>
              <w:rPr>
                <w:rFonts w:hint="eastAsia" w:ascii="宋体" w:hAnsi="宋体" w:eastAsia="宋体" w:cs="宋体"/>
                <w:i w:val="0"/>
                <w:iCs w:val="0"/>
                <w:color w:val="000000"/>
                <w:sz w:val="20"/>
                <w:szCs w:val="20"/>
                <w:highlight w:val="none"/>
                <w:u w:val="none"/>
                <w:lang w:val="en-US" w:eastAsia="zh-CN"/>
              </w:rPr>
              <w:t>1</w:t>
            </w: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3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宋体"/>
                <w:i w:val="0"/>
                <w:iCs w:val="0"/>
                <w:color w:val="000000"/>
                <w:sz w:val="20"/>
                <w:szCs w:val="20"/>
                <w:highlight w:val="none"/>
                <w:u w:val="none"/>
              </w:rPr>
            </w:pPr>
          </w:p>
        </w:tc>
        <w:tc>
          <w:tcPr>
            <w:tcW w:w="3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2"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其他</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3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宋体"/>
                <w:i w:val="0"/>
                <w:iCs w:val="0"/>
                <w:color w:val="000000"/>
                <w:sz w:val="20"/>
                <w:szCs w:val="20"/>
                <w:highlight w:val="none"/>
                <w:u w:val="none"/>
              </w:rPr>
            </w:pPr>
          </w:p>
        </w:tc>
        <w:tc>
          <w:tcPr>
            <w:tcW w:w="3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3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二、整体绩效目标实现情况（60分）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一级指标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二级指标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三级指标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指标值</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完成值</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分值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得分</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指标解释</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整体绩效目标实现情况（60）</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产出（30）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产出数量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完成保障农业根基、构建现代农业新体系等几方面工作的产出数量要求</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按要求完成相应数量</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10 </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产出数量</w:t>
            </w:r>
            <w:r>
              <w:rPr>
                <w:rFonts w:hint="eastAsia" w:ascii="宋体" w:hAnsi="宋体" w:eastAsia="宋体" w:cs="宋体"/>
                <w:color w:val="000000"/>
                <w:sz w:val="20"/>
                <w:szCs w:val="20"/>
                <w:highlight w:val="none"/>
                <w:u w:val="none"/>
                <w:lang w:val="en-US" w:eastAsia="zh-CN" w:bidi="ar"/>
              </w:rPr>
              <w:t>：计划完成率=（实际完成工作数/计划工作数）×100%。实际完成工作数：一定时期（年度或规划期）内部门（单位）实际完成工作任务的数量。计划工作数：部门（单位）整体绩效目标确定的一定时期）内预计完成工作任务的数量。</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部门根据本单位情况自行确定并选择产出指标，合理确定各项指标权重。可量化的指标按照比率*单项指标分值即为该指标得分。如果不能定量评价，则以定性的方式进行自评。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一级指标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二级指标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三级指标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指标值</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完成值</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分值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得分</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指标解释</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6" w:hRule="atLeast"/>
        </w:trPr>
        <w:tc>
          <w:tcPr>
            <w:tcW w:w="1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整体绩效目标实现情况（60）</w:t>
            </w:r>
          </w:p>
        </w:tc>
        <w:tc>
          <w:tcPr>
            <w:tcW w:w="1133"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产出（30）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产出质量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保障各项工作正常运转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正常运转</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 </w:t>
            </w:r>
          </w:p>
        </w:tc>
        <w:tc>
          <w:tcPr>
            <w:tcW w:w="3291" w:type="dxa"/>
            <w:tcBorders>
              <w:top w:val="single" w:color="000000" w:sz="4" w:space="0"/>
              <w:left w:val="single" w:color="000000" w:sz="4" w:space="0"/>
              <w:right w:val="single" w:color="000000"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val="0"/>
              <w:snapToGrid w:val="0"/>
              <w:spacing w:before="139" w:line="236" w:lineRule="auto"/>
              <w:ind w:left="51" w:right="20" w:hanging="1"/>
              <w:rPr>
                <w:rFonts w:hint="eastAsia" w:ascii="宋体" w:hAnsi="宋体" w:eastAsia="宋体" w:cs="宋体"/>
                <w:sz w:val="20"/>
                <w:szCs w:val="20"/>
                <w:highlight w:val="none"/>
              </w:rPr>
            </w:pPr>
            <w:r>
              <w:rPr>
                <w:rFonts w:hint="eastAsia" w:ascii="宋体" w:hAnsi="宋体" w:eastAsia="宋体" w:cs="宋体"/>
                <w:b/>
                <w:bCs/>
                <w:spacing w:val="2"/>
                <w:sz w:val="20"/>
                <w:szCs w:val="20"/>
                <w:highlight w:val="none"/>
              </w:rPr>
              <w:t>产出质量：</w:t>
            </w:r>
            <w:r>
              <w:rPr>
                <w:rFonts w:hint="eastAsia" w:ascii="宋体" w:hAnsi="宋体" w:eastAsia="宋体" w:cs="宋体"/>
                <w:spacing w:val="-37"/>
                <w:sz w:val="20"/>
                <w:szCs w:val="20"/>
                <w:highlight w:val="none"/>
              </w:rPr>
              <w:t xml:space="preserve"> </w:t>
            </w:r>
            <w:r>
              <w:rPr>
                <w:rFonts w:hint="eastAsia" w:ascii="宋体" w:hAnsi="宋体" w:eastAsia="宋体" w:cs="宋体"/>
                <w:spacing w:val="2"/>
                <w:sz w:val="20"/>
                <w:szCs w:val="20"/>
                <w:highlight w:val="none"/>
              </w:rPr>
              <w:t>质量达标</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率=质量达标工作数/</w:t>
            </w:r>
            <w:r>
              <w:rPr>
                <w:rFonts w:hint="eastAsia" w:ascii="宋体" w:hAnsi="宋体" w:eastAsia="宋体" w:cs="宋体"/>
                <w:spacing w:val="3"/>
                <w:sz w:val="20"/>
                <w:szCs w:val="20"/>
                <w:highlight w:val="none"/>
              </w:rPr>
              <w:t xml:space="preserve"> </w:t>
            </w:r>
            <w:r>
              <w:rPr>
                <w:rFonts w:hint="eastAsia" w:ascii="宋体" w:hAnsi="宋体" w:eastAsia="宋体" w:cs="宋体"/>
                <w:spacing w:val="8"/>
                <w:sz w:val="20"/>
                <w:szCs w:val="20"/>
                <w:highlight w:val="none"/>
              </w:rPr>
              <w:t>实际完成工作数×</w:t>
            </w:r>
          </w:p>
          <w:p>
            <w:pPr>
              <w:pStyle w:val="9"/>
              <w:keepNext w:val="0"/>
              <w:keepLines w:val="0"/>
              <w:pageBreakBefore w:val="0"/>
              <w:widowControl w:val="0"/>
              <w:kinsoku/>
              <w:wordWrap/>
              <w:overflowPunct/>
              <w:topLinePunct w:val="0"/>
              <w:autoSpaceDE/>
              <w:autoSpaceDN/>
              <w:bidi w:val="0"/>
              <w:adjustRightInd w:val="0"/>
              <w:snapToGrid w:val="0"/>
              <w:spacing w:before="12" w:line="236" w:lineRule="auto"/>
              <w:ind w:left="51" w:right="32" w:firstLine="13"/>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100%。质量达标工作</w:t>
            </w:r>
            <w:r>
              <w:rPr>
                <w:rFonts w:hint="eastAsia" w:ascii="宋体" w:hAnsi="宋体" w:eastAsia="宋体" w:cs="宋体"/>
                <w:spacing w:val="6"/>
                <w:sz w:val="20"/>
                <w:szCs w:val="20"/>
                <w:highlight w:val="none"/>
              </w:rPr>
              <w:t xml:space="preserve"> </w:t>
            </w:r>
            <w:r>
              <w:rPr>
                <w:rFonts w:hint="eastAsia" w:ascii="宋体" w:hAnsi="宋体" w:eastAsia="宋体" w:cs="宋体"/>
                <w:spacing w:val="8"/>
                <w:sz w:val="20"/>
                <w:szCs w:val="20"/>
                <w:highlight w:val="none"/>
              </w:rPr>
              <w:t>数：一定时期（年度</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或规划期）内部门</w:t>
            </w:r>
          </w:p>
          <w:p>
            <w:pPr>
              <w:pStyle w:val="9"/>
              <w:keepNext w:val="0"/>
              <w:keepLines w:val="0"/>
              <w:pageBreakBefore w:val="0"/>
              <w:widowControl w:val="0"/>
              <w:kinsoku/>
              <w:wordWrap/>
              <w:overflowPunct/>
              <w:topLinePunct w:val="0"/>
              <w:autoSpaceDE/>
              <w:autoSpaceDN/>
              <w:bidi w:val="0"/>
              <w:adjustRightInd w:val="0"/>
              <w:snapToGrid w:val="0"/>
              <w:spacing w:before="13" w:line="237" w:lineRule="auto"/>
              <w:ind w:left="50" w:right="32" w:firstLine="9"/>
              <w:rPr>
                <w:rFonts w:hint="eastAsia" w:ascii="宋体" w:hAnsi="宋体" w:eastAsia="宋体" w:cs="宋体"/>
                <w:b/>
                <w:bCs/>
                <w:i w:val="0"/>
                <w:iCs w:val="0"/>
                <w:color w:val="000000"/>
                <w:sz w:val="20"/>
                <w:szCs w:val="20"/>
                <w:highlight w:val="none"/>
                <w:u w:val="none"/>
              </w:rPr>
            </w:pPr>
            <w:r>
              <w:rPr>
                <w:rFonts w:hint="eastAsia" w:ascii="宋体" w:hAnsi="宋体" w:eastAsia="宋体" w:cs="宋体"/>
                <w:spacing w:val="6"/>
                <w:sz w:val="20"/>
                <w:szCs w:val="20"/>
                <w:highlight w:val="none"/>
              </w:rPr>
              <w:t>（单位）实际完成工</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作数中达到部门绩效</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目标要求（绩效标准</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值）的工作任务数量</w:t>
            </w:r>
          </w:p>
        </w:tc>
        <w:tc>
          <w:tcPr>
            <w:tcW w:w="36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可量化的指标按照比率* 单项指标分值即为该指 标得分。如果不能定量 评价，则以定性的方式</w:t>
            </w:r>
          </w:p>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进行自评。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6"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产出进度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按期推进各项工作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按期推进，个别项目资金拨付略滞后</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val="0"/>
              <w:snapToGrid w:val="0"/>
              <w:spacing w:before="186" w:line="236" w:lineRule="auto"/>
              <w:ind w:left="51" w:right="32" w:hanging="1"/>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产出进度</w:t>
            </w:r>
            <w:r>
              <w:rPr>
                <w:rFonts w:hint="eastAsia" w:ascii="宋体" w:hAnsi="宋体" w:eastAsia="宋体" w:cs="宋体"/>
                <w:spacing w:val="7"/>
                <w:sz w:val="20"/>
                <w:szCs w:val="20"/>
                <w:highlight w:val="none"/>
              </w:rPr>
              <w:t>：按时完成</w:t>
            </w:r>
            <w:r>
              <w:rPr>
                <w:rFonts w:hint="eastAsia" w:ascii="宋体" w:hAnsi="宋体" w:eastAsia="宋体" w:cs="宋体"/>
                <w:spacing w:val="3"/>
                <w:sz w:val="20"/>
                <w:szCs w:val="20"/>
                <w:highlight w:val="none"/>
              </w:rPr>
              <w:t xml:space="preserve"> </w:t>
            </w:r>
            <w:r>
              <w:rPr>
                <w:rFonts w:hint="eastAsia" w:ascii="宋体" w:hAnsi="宋体" w:eastAsia="宋体" w:cs="宋体"/>
                <w:spacing w:val="6"/>
                <w:sz w:val="20"/>
                <w:szCs w:val="20"/>
                <w:highlight w:val="none"/>
              </w:rPr>
              <w:t>率=（按时完成工作</w:t>
            </w:r>
            <w:r>
              <w:rPr>
                <w:rFonts w:hint="eastAsia" w:ascii="宋体" w:hAnsi="宋体" w:eastAsia="宋体" w:cs="宋体"/>
                <w:spacing w:val="7"/>
                <w:sz w:val="20"/>
                <w:szCs w:val="20"/>
                <w:highlight w:val="none"/>
              </w:rPr>
              <w:t>数/实际完成工作</w:t>
            </w:r>
          </w:p>
          <w:p>
            <w:pPr>
              <w:pStyle w:val="9"/>
              <w:keepNext w:val="0"/>
              <w:keepLines w:val="0"/>
              <w:pageBreakBefore w:val="0"/>
              <w:widowControl w:val="0"/>
              <w:kinsoku/>
              <w:wordWrap/>
              <w:overflowPunct/>
              <w:topLinePunct w:val="0"/>
              <w:autoSpaceDE/>
              <w:autoSpaceDN/>
              <w:bidi w:val="0"/>
              <w:adjustRightInd w:val="0"/>
              <w:snapToGrid w:val="0"/>
              <w:spacing w:before="12" w:line="228" w:lineRule="auto"/>
              <w:ind w:left="5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数）×100%。按时完</w:t>
            </w:r>
          </w:p>
          <w:p>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0"/>
                <w:szCs w:val="20"/>
                <w:highlight w:val="none"/>
                <w:u w:val="none"/>
              </w:rPr>
            </w:pPr>
            <w:r>
              <w:rPr>
                <w:rFonts w:hint="eastAsia" w:ascii="宋体" w:hAnsi="宋体" w:eastAsia="宋体" w:cs="宋体"/>
                <w:spacing w:val="8"/>
                <w:sz w:val="20"/>
                <w:szCs w:val="20"/>
                <w:highlight w:val="none"/>
              </w:rPr>
              <w:t>成工作数：部门（单</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位）按照整体绩效目</w:t>
            </w:r>
            <w:r>
              <w:rPr>
                <w:rFonts w:hint="eastAsia" w:ascii="宋体" w:hAnsi="宋体" w:eastAsia="宋体" w:cs="宋体"/>
                <w:spacing w:val="2"/>
                <w:sz w:val="20"/>
                <w:szCs w:val="20"/>
                <w:highlight w:val="none"/>
              </w:rPr>
              <w:t xml:space="preserve"> </w:t>
            </w:r>
            <w:r>
              <w:rPr>
                <w:rFonts w:hint="eastAsia" w:ascii="宋体" w:hAnsi="宋体" w:eastAsia="宋体" w:cs="宋体"/>
                <w:spacing w:val="8"/>
                <w:sz w:val="20"/>
                <w:szCs w:val="20"/>
                <w:highlight w:val="none"/>
              </w:rPr>
              <w:t>标确定的时限实际完</w:t>
            </w:r>
            <w:r>
              <w:rPr>
                <w:rFonts w:hint="eastAsia" w:ascii="宋体" w:hAnsi="宋体" w:eastAsia="宋体" w:cs="宋体"/>
                <w:spacing w:val="2"/>
                <w:sz w:val="20"/>
                <w:szCs w:val="20"/>
                <w:highlight w:val="none"/>
              </w:rPr>
              <w:t xml:space="preserve"> </w:t>
            </w:r>
            <w:r>
              <w:rPr>
                <w:rFonts w:hint="eastAsia" w:ascii="宋体" w:hAnsi="宋体" w:eastAsia="宋体" w:cs="宋体"/>
                <w:spacing w:val="4"/>
                <w:sz w:val="20"/>
                <w:szCs w:val="20"/>
                <w:highlight w:val="none"/>
              </w:rPr>
              <w:t>成的工作任务数量。</w:t>
            </w:r>
          </w:p>
        </w:tc>
        <w:tc>
          <w:tcPr>
            <w:tcW w:w="3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成本控制情况</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控制在预算范围内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有效控制</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 </w:t>
            </w:r>
          </w:p>
        </w:tc>
        <w:tc>
          <w:tcPr>
            <w:tcW w:w="32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sz w:val="20"/>
                <w:szCs w:val="20"/>
                <w:highlight w:val="none"/>
                <w:u w:val="none"/>
              </w:rPr>
              <w:t>产出成本：</w:t>
            </w:r>
            <w:r>
              <w:rPr>
                <w:rFonts w:hint="eastAsia" w:ascii="宋体" w:hAnsi="宋体" w:eastAsia="宋体" w:cs="宋体"/>
                <w:b w:val="0"/>
                <w:bCs w:val="0"/>
                <w:i w:val="0"/>
                <w:iCs w:val="0"/>
                <w:color w:val="000000"/>
                <w:sz w:val="20"/>
                <w:szCs w:val="20"/>
                <w:highlight w:val="none"/>
                <w:u w:val="none"/>
              </w:rPr>
              <w:t>单位产出 相对于上一年度的节 约额；②单位产出相 对于市场同类产出的 节约额；③部门公用经费的控制情况。</w:t>
            </w:r>
          </w:p>
        </w:tc>
        <w:tc>
          <w:tcPr>
            <w:tcW w:w="363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效果（30）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经济效益</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效果显著</w:t>
            </w:r>
          </w:p>
        </w:tc>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效果显著</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329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经济效益</w:t>
            </w:r>
            <w:r>
              <w:rPr>
                <w:rFonts w:hint="eastAsia" w:ascii="宋体" w:hAnsi="宋体" w:eastAsia="宋体" w:cs="宋体"/>
                <w:color w:val="000000"/>
                <w:sz w:val="20"/>
                <w:szCs w:val="20"/>
                <w:highlight w:val="none"/>
                <w:u w:val="none"/>
                <w:lang w:val="en-US" w:eastAsia="zh-CN" w:bidi="ar"/>
              </w:rPr>
              <w:t>：部门（单位）履行职责对经济发展所带来的直接或间接影响。</w:t>
            </w:r>
          </w:p>
        </w:tc>
        <w:tc>
          <w:tcPr>
            <w:tcW w:w="363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部门根据实际情况选择指标进行填写，并将其细化为相应的个性化指标。对于效益类指标可从受益对象瞄准度、受益广度和受益深度上进行设计分析。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038"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整体绩效目标实现情况（60）</w:t>
            </w:r>
          </w:p>
        </w:tc>
        <w:tc>
          <w:tcPr>
            <w:tcW w:w="11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效果（30）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社会效益</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效果显著</w:t>
            </w:r>
          </w:p>
        </w:tc>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效果显著</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329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sz w:val="20"/>
                <w:szCs w:val="20"/>
                <w:highlight w:val="none"/>
                <w:u w:val="none"/>
              </w:rPr>
              <w:t>社会效益：</w:t>
            </w:r>
            <w:r>
              <w:rPr>
                <w:rFonts w:hint="eastAsia" w:ascii="宋体" w:hAnsi="宋体" w:eastAsia="宋体" w:cs="宋体"/>
                <w:b w:val="0"/>
                <w:bCs w:val="0"/>
                <w:i w:val="0"/>
                <w:iCs w:val="0"/>
                <w:color w:val="000000"/>
                <w:sz w:val="20"/>
                <w:szCs w:val="20"/>
                <w:highlight w:val="none"/>
                <w:u w:val="none"/>
              </w:rPr>
              <w:t>部门（单位）履行职责对社会发展所带来的直接或间接影响。</w:t>
            </w:r>
          </w:p>
        </w:tc>
        <w:tc>
          <w:tcPr>
            <w:tcW w:w="3632"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部门根据实际情况选择指标进行填写，并将其细化为相应的个性化指标。对于效益类指标可从受益对象瞄准度、受益广度和受益深度上进行设计分析。</w:t>
            </w:r>
          </w:p>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38" w:type="dxa"/>
            <w:gridSpan w:val="2"/>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c>
          <w:tcPr>
            <w:tcW w:w="112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生态效益</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效果显著</w:t>
            </w:r>
          </w:p>
        </w:tc>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效果显著</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6.00</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6.00</w:t>
            </w:r>
          </w:p>
        </w:tc>
        <w:tc>
          <w:tcPr>
            <w:tcW w:w="3291" w:type="dxa"/>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sz w:val="20"/>
                <w:szCs w:val="20"/>
                <w:highlight w:val="none"/>
                <w:u w:val="none"/>
                <w:lang w:val="en-US" w:eastAsia="zh-CN"/>
              </w:rPr>
              <w:t>生态</w:t>
            </w:r>
            <w:r>
              <w:rPr>
                <w:rFonts w:hint="eastAsia" w:ascii="宋体" w:hAnsi="宋体" w:eastAsia="宋体" w:cs="宋体"/>
                <w:b/>
                <w:bCs/>
                <w:i w:val="0"/>
                <w:iCs w:val="0"/>
                <w:color w:val="000000"/>
                <w:sz w:val="20"/>
                <w:szCs w:val="20"/>
                <w:highlight w:val="none"/>
                <w:u w:val="none"/>
              </w:rPr>
              <w:t>效益：</w:t>
            </w:r>
            <w:r>
              <w:rPr>
                <w:rFonts w:hint="eastAsia" w:ascii="宋体" w:hAnsi="宋体" w:eastAsia="宋体" w:cs="宋体"/>
                <w:b w:val="0"/>
                <w:bCs w:val="0"/>
                <w:i w:val="0"/>
                <w:iCs w:val="0"/>
                <w:color w:val="000000"/>
                <w:sz w:val="20"/>
                <w:szCs w:val="20"/>
                <w:highlight w:val="none"/>
                <w:u w:val="none"/>
              </w:rPr>
              <w:t>部门（单位）履行职责对</w:t>
            </w:r>
            <w:r>
              <w:rPr>
                <w:rFonts w:hint="eastAsia" w:ascii="宋体" w:hAnsi="宋体" w:eastAsia="宋体" w:cs="宋体"/>
                <w:b w:val="0"/>
                <w:bCs w:val="0"/>
                <w:i w:val="0"/>
                <w:iCs w:val="0"/>
                <w:color w:val="000000"/>
                <w:sz w:val="20"/>
                <w:szCs w:val="20"/>
                <w:highlight w:val="none"/>
                <w:u w:val="none"/>
                <w:lang w:val="en-US" w:eastAsia="zh-CN"/>
              </w:rPr>
              <w:t>环境</w:t>
            </w:r>
            <w:r>
              <w:rPr>
                <w:rFonts w:hint="eastAsia" w:ascii="宋体" w:hAnsi="宋体" w:eastAsia="宋体" w:cs="宋体"/>
                <w:b w:val="0"/>
                <w:bCs w:val="0"/>
                <w:i w:val="0"/>
                <w:iCs w:val="0"/>
                <w:color w:val="000000"/>
                <w:sz w:val="20"/>
                <w:szCs w:val="20"/>
                <w:highlight w:val="none"/>
                <w:u w:val="none"/>
              </w:rPr>
              <w:t>发展所带来的直接或间接影响。</w:t>
            </w:r>
          </w:p>
        </w:tc>
        <w:tc>
          <w:tcPr>
            <w:tcW w:w="3632" w:type="dxa"/>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038" w:type="dxa"/>
            <w:gridSpan w:val="2"/>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c>
          <w:tcPr>
            <w:tcW w:w="112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可持续影响</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效果显著</w:t>
            </w:r>
          </w:p>
        </w:tc>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效果显著</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3291" w:type="dxa"/>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b/>
                <w:bCs/>
                <w:i w:val="0"/>
                <w:iCs w:val="0"/>
                <w:color w:val="000000"/>
                <w:sz w:val="20"/>
                <w:szCs w:val="20"/>
                <w:highlight w:val="none"/>
                <w:u w:val="none"/>
              </w:rPr>
              <w:t>可持续性影响：</w:t>
            </w:r>
            <w:r>
              <w:rPr>
                <w:rFonts w:hint="eastAsia" w:ascii="宋体" w:hAnsi="宋体" w:eastAsia="宋体" w:cs="宋体"/>
                <w:b w:val="0"/>
                <w:bCs w:val="0"/>
                <w:i w:val="0"/>
                <w:iCs w:val="0"/>
                <w:color w:val="000000"/>
                <w:sz w:val="20"/>
                <w:szCs w:val="20"/>
                <w:highlight w:val="none"/>
                <w:u w:val="none"/>
              </w:rPr>
              <w:t>部门绩效目标实现的长效机制建设情况</w:t>
            </w:r>
            <w:r>
              <w:rPr>
                <w:rFonts w:hint="eastAsia" w:ascii="宋体" w:hAnsi="宋体" w:eastAsia="宋体" w:cs="宋体"/>
                <w:b w:val="0"/>
                <w:bCs w:val="0"/>
                <w:i w:val="0"/>
                <w:iCs w:val="0"/>
                <w:color w:val="000000"/>
                <w:sz w:val="20"/>
                <w:szCs w:val="20"/>
                <w:highlight w:val="none"/>
                <w:u w:val="none"/>
                <w:lang w:eastAsia="zh-CN"/>
              </w:rPr>
              <w:t>。</w:t>
            </w:r>
          </w:p>
        </w:tc>
        <w:tc>
          <w:tcPr>
            <w:tcW w:w="3632" w:type="dxa"/>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038"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12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满意度≥90%</w:t>
            </w:r>
          </w:p>
        </w:tc>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个别项目未及时开展满意度调查</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3291"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服务对象满意度</w:t>
            </w:r>
            <w:r>
              <w:rPr>
                <w:rFonts w:hint="eastAsia" w:ascii="宋体" w:hAnsi="宋体" w:eastAsia="宋体" w:cs="宋体"/>
                <w:color w:val="000000"/>
                <w:sz w:val="20"/>
                <w:szCs w:val="20"/>
                <w:highlight w:val="none"/>
                <w:u w:val="none"/>
                <w:lang w:val="en-US" w:eastAsia="zh-CN" w:bidi="ar"/>
              </w:rPr>
              <w:t>：部门（单位）的服务对象对部门履职效果的满意程度。</w:t>
            </w:r>
          </w:p>
        </w:tc>
        <w:tc>
          <w:tcPr>
            <w:tcW w:w="3632" w:type="dxa"/>
            <w:vMerge w:val="continue"/>
            <w:tcBorders>
              <w:left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43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三、预算管理情况（20分）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一级指标</w:t>
            </w:r>
          </w:p>
        </w:tc>
        <w:tc>
          <w:tcPr>
            <w:tcW w:w="11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二级指标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三级指标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指标值</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完成值</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分值</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得分</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指标解释</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7" w:hRule="atLeast"/>
        </w:trPr>
        <w:tc>
          <w:tcPr>
            <w:tcW w:w="10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预算管理情况（20）</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highlight w:val="none"/>
                <w:lang w:val="en-US" w:eastAsia="zh-CN" w:bidi="ar"/>
              </w:rPr>
            </w:pPr>
            <w:r>
              <w:rPr>
                <w:rFonts w:hint="eastAsia" w:ascii="宋体" w:hAnsi="宋体" w:eastAsia="宋体" w:cs="宋体"/>
                <w:color w:val="000000"/>
                <w:sz w:val="20"/>
                <w:szCs w:val="20"/>
                <w:highlight w:val="none"/>
                <w:u w:val="none"/>
                <w:lang w:val="en-US" w:eastAsia="zh-CN" w:bidi="ar"/>
              </w:rPr>
              <w:t>财务管理（4）</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c>
          <w:tcPr>
            <w:tcW w:w="15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财务管理制度健全性</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财务管理制度健全性:</w:t>
            </w:r>
            <w:r>
              <w:rPr>
                <w:rFonts w:hint="eastAsia" w:ascii="宋体" w:hAnsi="宋体" w:eastAsia="宋体" w:cs="宋体"/>
                <w:color w:val="000000"/>
                <w:sz w:val="20"/>
                <w:szCs w:val="20"/>
                <w:highlight w:val="none"/>
                <w:u w:val="none"/>
                <w:lang w:val="en-US" w:eastAsia="zh-CN" w:bidi="ar"/>
              </w:rPr>
              <w:t>部门（单位）为加强财务管理、规范财务行为而制定的管理制度。</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①预算资金管理办法、绩效跟踪管理办法、资产管理办法等各项制度是否健全；②部门内部财务管理制度是否完整、合规；③会计核算制度是否完整、合规。每有一项不合格扣0.5分，扣完为止。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1" w:hRule="atLeast"/>
        </w:trPr>
        <w:tc>
          <w:tcPr>
            <w:tcW w:w="1038" w:type="dxa"/>
            <w:gridSpan w:val="2"/>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预算管理情况（20）</w:t>
            </w:r>
          </w:p>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120"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highlight w:val="none"/>
                <w:lang w:val="en-US" w:eastAsia="zh-CN" w:bidi="ar"/>
              </w:rPr>
            </w:pPr>
            <w:r>
              <w:rPr>
                <w:rFonts w:hint="eastAsia" w:ascii="宋体" w:hAnsi="宋体" w:eastAsia="宋体" w:cs="宋体"/>
                <w:color w:val="000000"/>
                <w:sz w:val="20"/>
                <w:szCs w:val="20"/>
                <w:highlight w:val="none"/>
                <w:u w:val="none"/>
                <w:lang w:val="en-US" w:eastAsia="zh-CN" w:bidi="ar"/>
              </w:rPr>
              <w:t>财务管理（4）</w:t>
            </w:r>
          </w:p>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highlight w:val="none"/>
                <w:u w:val="none"/>
              </w:rPr>
            </w:pPr>
          </w:p>
        </w:tc>
        <w:tc>
          <w:tcPr>
            <w:tcW w:w="15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资金使用合规性和安全性</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合规</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合规</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2.00</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资金使用合规性和安全性:</w:t>
            </w:r>
            <w:r>
              <w:rPr>
                <w:rFonts w:hint="eastAsia" w:ascii="宋体" w:hAnsi="宋体" w:eastAsia="宋体" w:cs="宋体"/>
                <w:color w:val="000000"/>
                <w:sz w:val="20"/>
                <w:szCs w:val="20"/>
                <w:highlight w:val="none"/>
                <w:u w:val="none"/>
                <w:lang w:val="en-US" w:eastAsia="zh-CN" w:bidi="ar"/>
              </w:rPr>
              <w:t>部门（单位）使用预算资金是否符合相关的预算财务管理制度的规定，是否符合相关规定的开支范围，用以反映考核部门（单位）预算资金的规范运行和安全运行情况。</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1038"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c>
          <w:tcPr>
            <w:tcW w:w="1120"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p>
        </w:tc>
        <w:tc>
          <w:tcPr>
            <w:tcW w:w="15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会计基础信息完善性</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完善</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完善</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会计基础信息完善性:</w:t>
            </w:r>
            <w:r>
              <w:rPr>
                <w:rFonts w:hint="eastAsia" w:ascii="宋体" w:hAnsi="宋体" w:eastAsia="宋体" w:cs="宋体"/>
                <w:color w:val="000000"/>
                <w:sz w:val="20"/>
                <w:szCs w:val="20"/>
                <w:highlight w:val="none"/>
                <w:u w:val="none"/>
                <w:lang w:val="en-US" w:eastAsia="zh-CN" w:bidi="ar"/>
              </w:rPr>
              <w:t>部门（单位）会计基础信息情况。</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①基础数据信息和会计信息资料是否真实；②基础数据信息和会计信息资料是否完整；③基础数据信息和会计信息资料是否准确。每有一项不合格扣0.5分，扣完为止。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038" w:type="dxa"/>
            <w:gridSpan w:val="2"/>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highlight w:val="none"/>
                <w:u w:val="none"/>
                <w:lang w:val="en-US" w:eastAsia="zh-CN"/>
              </w:rPr>
            </w:pPr>
          </w:p>
        </w:tc>
        <w:tc>
          <w:tcPr>
            <w:tcW w:w="112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资产管理（4）</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资产管理规范性</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规范</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基本规范</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3.50</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资产管理规范性:</w:t>
            </w:r>
            <w:r>
              <w:rPr>
                <w:rFonts w:hint="eastAsia" w:ascii="宋体" w:hAnsi="宋体" w:eastAsia="宋体" w:cs="宋体"/>
                <w:color w:val="000000"/>
                <w:sz w:val="20"/>
                <w:szCs w:val="20"/>
                <w:highlight w:val="none"/>
                <w:u w:val="none"/>
                <w:lang w:val="en-US" w:eastAsia="zh-CN" w:bidi="ar"/>
              </w:rPr>
              <w:t>部门（单位）的资产是否保持安全完整，资产配置是否合理，资产使用和资产处理是否规范，用以反映和考核部门（单位）资产管理的整体水平。</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0.8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1" w:hRule="atLeast"/>
        </w:trPr>
        <w:tc>
          <w:tcPr>
            <w:tcW w:w="1038"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预算管理情况（20）</w:t>
            </w:r>
          </w:p>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highlight w:val="none"/>
                <w:u w:val="none"/>
              </w:rPr>
            </w:pPr>
          </w:p>
        </w:tc>
        <w:tc>
          <w:tcPr>
            <w:tcW w:w="11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绩效管理（4）</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绩效管理情况</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4.00</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color w:val="000000"/>
                <w:sz w:val="20"/>
                <w:szCs w:val="20"/>
                <w:highlight w:val="none"/>
                <w:u w:val="none"/>
                <w:lang w:val="en-US" w:eastAsia="zh-CN" w:bidi="ar"/>
              </w:rPr>
              <w:t>绩效管理情况:</w:t>
            </w:r>
            <w:r>
              <w:rPr>
                <w:rFonts w:hint="eastAsia" w:ascii="宋体" w:hAnsi="宋体" w:eastAsia="宋体" w:cs="宋体"/>
                <w:color w:val="000000"/>
                <w:sz w:val="20"/>
                <w:szCs w:val="20"/>
                <w:highlight w:val="none"/>
                <w:u w:val="none"/>
                <w:lang w:val="en-US" w:eastAsia="zh-CN" w:bidi="ar"/>
              </w:rPr>
              <w:t>考核部门（单位）在绩效管理信息的汇总和应用情况。</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①部门（单位）是否及时对绩效信息进行汇总分析整理；②部门（单位）是否对绩效目标偏离情况及时进行矫正。每有一项不合格扣2分。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038" w:type="dxa"/>
            <w:gridSpan w:val="2"/>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highlight w:val="none"/>
                <w:u w:val="none"/>
              </w:rPr>
            </w:pPr>
          </w:p>
        </w:tc>
        <w:tc>
          <w:tcPr>
            <w:tcW w:w="11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结转结余率（4）</w:t>
            </w:r>
          </w:p>
        </w:tc>
        <w:tc>
          <w:tcPr>
            <w:tcW w:w="2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结转结余率=结转结余总额/支出预算数×100%。</w:t>
            </w:r>
          </w:p>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结转结余总额：部门（单位）本年度的结转资金与结余资金之和。</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部门结转结余率低于上年的不扣分；高于上年结余率，每高出1个百分点扣0.4分，扣完为止。（说明：预算调整和结转结余指标，如非预算部门主观因素导致扣分的，在评分结果征求意见环节，经与相关部门预算主管处室共同研究，可作为例外情况酌情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038"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highlight w:val="none"/>
                <w:u w:val="none"/>
              </w:rPr>
            </w:pPr>
          </w:p>
        </w:tc>
        <w:tc>
          <w:tcPr>
            <w:tcW w:w="11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部门预决算差异率（4）</w:t>
            </w:r>
          </w:p>
        </w:tc>
        <w:tc>
          <w:tcPr>
            <w:tcW w:w="2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2.00</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通过年度部门决算与年初部门预算对比，对部门的年度支出情况进行考核，衡量部门预算的约束力。</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部门预决算差异率高于市级平均差异率（28.3%）的，每高出10%（含），扣0.4分，扣完为止。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lang w:val="en-US" w:eastAsia="zh-CN" w:bidi="ar"/>
              </w:rPr>
              <w:t>合计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95.5</w:t>
            </w:r>
          </w:p>
        </w:tc>
        <w:tc>
          <w:tcPr>
            <w:tcW w:w="6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sz w:val="32"/>
          <w:szCs w:val="32"/>
          <w:highlight w:val="none"/>
        </w:rPr>
      </w:pPr>
    </w:p>
    <w:p>
      <w:pPr>
        <w:rPr>
          <w:highlight w:val="none"/>
        </w:rPr>
      </w:pPr>
    </w:p>
    <w:sectPr>
      <w:pgSz w:w="16838" w:h="11906" w:orient="landscape"/>
      <w:pgMar w:top="1803" w:right="1440" w:bottom="1803" w:left="1440" w:header="851" w:footer="992" w:gutter="0"/>
      <w:cols w:space="0" w:num="1"/>
      <w:rtlGutter w:val="0"/>
      <w:docGrid w:type="lines" w:linePitch="4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C6092B3-A275-4F20-AAB9-90DA61D0AEB2}"/>
  </w:font>
  <w:font w:name="黑体">
    <w:panose1 w:val="02010609060101010101"/>
    <w:charset w:val="86"/>
    <w:family w:val="auto"/>
    <w:pitch w:val="default"/>
    <w:sig w:usb0="800002BF" w:usb1="38CF7CFA" w:usb2="00000016" w:usb3="00000000" w:csb0="00040001" w:csb1="00000000"/>
    <w:embedRegular r:id="rId2" w:fontKey="{980A59FE-AF69-4FB8-9929-AAE6755263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13CC100A-030E-4D28-B87A-A880D7D03565}"/>
  </w:font>
  <w:font w:name="仿宋_GB2312">
    <w:panose1 w:val="02010609030101010101"/>
    <w:charset w:val="86"/>
    <w:family w:val="modern"/>
    <w:pitch w:val="default"/>
    <w:sig w:usb0="00000001" w:usb1="080E0000" w:usb2="00000000" w:usb3="00000000" w:csb0="00040000" w:csb1="00000000"/>
    <w:embedRegular r:id="rId4" w:fontKey="{B9B5E56C-084A-4849-A372-B94C7EB93375}"/>
  </w:font>
  <w:font w:name="楷体">
    <w:panose1 w:val="02010609060101010101"/>
    <w:charset w:val="86"/>
    <w:family w:val="modern"/>
    <w:pitch w:val="default"/>
    <w:sig w:usb0="800002BF" w:usb1="38CF7CFA" w:usb2="00000016" w:usb3="00000000" w:csb0="00040001" w:csb1="00000000"/>
    <w:embedRegular r:id="rId5" w:fontKey="{185DC241-5DC8-4FA2-A66A-D93ACF63387F}"/>
  </w:font>
  <w:font w:name="方正小标宋简体">
    <w:panose1 w:val="02000000000000000000"/>
    <w:charset w:val="86"/>
    <w:family w:val="auto"/>
    <w:pitch w:val="default"/>
    <w:sig w:usb0="00000001" w:usb1="08000000" w:usb2="00000000" w:usb3="00000000" w:csb0="00040000" w:csb1="00000000"/>
    <w:embedRegular r:id="rId6" w:fontKey="{3E96BF2F-68BF-4333-9F2B-C8B9D07DD44E}"/>
  </w:font>
  <w:font w:name="仿宋">
    <w:panose1 w:val="02010609060101010101"/>
    <w:charset w:val="86"/>
    <w:family w:val="modern"/>
    <w:pitch w:val="default"/>
    <w:sig w:usb0="800002BF" w:usb1="38CF7CFA" w:usb2="00000016" w:usb3="00000000" w:csb0="00040001" w:csb1="00000000"/>
    <w:embedRegular r:id="rId7" w:fontKey="{02DEE66A-CB78-4042-897F-66798AE4FF9A}"/>
  </w:font>
  <w:font w:name="楷体_GB2312">
    <w:panose1 w:val="02010609030101010101"/>
    <w:charset w:val="86"/>
    <w:family w:val="auto"/>
    <w:pitch w:val="default"/>
    <w:sig w:usb0="00000001" w:usb1="080E0000" w:usb2="00000000" w:usb3="00000000" w:csb0="00040000" w:csb1="00000000"/>
    <w:embedRegular r:id="rId8" w:fontKey="{15701591-ADB9-4E4B-ACB4-636BD944FF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- 9 -</w:t>
                          </w:r>
                          <w:r>
                            <w:rPr>
                              <w:rFonts w:ascii="Calibri" w:hAnsi="Calibri"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- 9 -</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E4ED1"/>
    <w:multiLevelType w:val="multilevel"/>
    <w:tmpl w:val="5A7E4ED1"/>
    <w:lvl w:ilvl="0" w:tentative="0">
      <w:start w:val="1"/>
      <w:numFmt w:val="bullet"/>
      <w:pStyle w:val="2"/>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Y2NkZmJhNzU3NWNiN2U2MTJiNjMwMzViMDhhZWIifQ=="/>
  </w:docVars>
  <w:rsids>
    <w:rsidRoot w:val="248F60D7"/>
    <w:rsid w:val="00FF244E"/>
    <w:rsid w:val="02BF5C6F"/>
    <w:rsid w:val="03337C91"/>
    <w:rsid w:val="05720B50"/>
    <w:rsid w:val="06197A31"/>
    <w:rsid w:val="08723853"/>
    <w:rsid w:val="0B192278"/>
    <w:rsid w:val="117D0024"/>
    <w:rsid w:val="13C22CA3"/>
    <w:rsid w:val="16195202"/>
    <w:rsid w:val="1A7016AA"/>
    <w:rsid w:val="1AE16104"/>
    <w:rsid w:val="1DDA6CC7"/>
    <w:rsid w:val="24400A0F"/>
    <w:rsid w:val="248F60D7"/>
    <w:rsid w:val="26141C75"/>
    <w:rsid w:val="265D61FC"/>
    <w:rsid w:val="283B06BE"/>
    <w:rsid w:val="28FF7E28"/>
    <w:rsid w:val="2D7E27FE"/>
    <w:rsid w:val="30731A9A"/>
    <w:rsid w:val="331947C2"/>
    <w:rsid w:val="34E66EEB"/>
    <w:rsid w:val="3CFA0EDB"/>
    <w:rsid w:val="418018AB"/>
    <w:rsid w:val="481775B9"/>
    <w:rsid w:val="4C83676C"/>
    <w:rsid w:val="4D5325E2"/>
    <w:rsid w:val="4F597A60"/>
    <w:rsid w:val="52F05AD8"/>
    <w:rsid w:val="53520360"/>
    <w:rsid w:val="5765363E"/>
    <w:rsid w:val="5A002153"/>
    <w:rsid w:val="5BAA48BD"/>
    <w:rsid w:val="5CAF054C"/>
    <w:rsid w:val="61833C6F"/>
    <w:rsid w:val="676D56DB"/>
    <w:rsid w:val="687C26D6"/>
    <w:rsid w:val="6A633A0D"/>
    <w:rsid w:val="6B6854A3"/>
    <w:rsid w:val="6E6A31AD"/>
    <w:rsid w:val="717144C8"/>
    <w:rsid w:val="73215DA7"/>
    <w:rsid w:val="73A62BBC"/>
    <w:rsid w:val="743E61D4"/>
    <w:rsid w:val="752A6035"/>
    <w:rsid w:val="77600961"/>
    <w:rsid w:val="7AE014A2"/>
    <w:rsid w:val="7E281CD6"/>
    <w:rsid w:val="7FEA5BDF"/>
    <w:rsid w:val="7FFE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0"/>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numPr>
        <w:ilvl w:val="0"/>
        <w:numId w:val="1"/>
      </w:numPr>
      <w:spacing w:after="12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next w:val="1"/>
    <w:qFormat/>
    <w:uiPriority w:val="0"/>
    <w:pPr>
      <w:widowControl w:val="0"/>
      <w:jc w:val="both"/>
    </w:pPr>
    <w:rPr>
      <w:rFonts w:eastAsia="仿宋_GB2312" w:asciiTheme="minorAscii" w:hAnsiTheme="minorAscii" w:cstheme="minorBidi"/>
      <w:kern w:val="2"/>
      <w:sz w:val="30"/>
      <w:szCs w:val="24"/>
      <w:lang w:val="en-US" w:eastAsia="zh-CN" w:bidi="ar-SA"/>
    </w:rPr>
  </w:style>
  <w:style w:type="paragraph" w:styleId="5">
    <w:name w:val="toc 2"/>
    <w:next w:val="1"/>
    <w:qFormat/>
    <w:uiPriority w:val="0"/>
    <w:pPr>
      <w:widowControl w:val="0"/>
      <w:ind w:left="420" w:leftChars="200"/>
      <w:jc w:val="both"/>
    </w:pPr>
    <w:rPr>
      <w:rFonts w:eastAsia="仿宋_GB2312" w:asciiTheme="minorAscii" w:hAnsiTheme="minorAscii" w:cstheme="minorBidi"/>
      <w:kern w:val="2"/>
      <w:sz w:val="30"/>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semiHidden/>
    <w:qFormat/>
    <w:uiPriority w:val="0"/>
    <w:pPr>
      <w:widowControl w:val="0"/>
      <w:jc w:val="both"/>
    </w:pPr>
    <w:rPr>
      <w:rFonts w:ascii="宋体" w:hAnsi="宋体" w:eastAsia="宋体" w:cs="宋体"/>
      <w:kern w:val="2"/>
      <w:sz w:val="19"/>
      <w:szCs w:val="19"/>
      <w:lang w:val="en-US" w:eastAsia="en-US" w:bidi="ar-SA"/>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paragraph" w:customStyle="1" w:styleId="1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8684</Words>
  <Characters>9046</Characters>
  <Lines>0</Lines>
  <Paragraphs>0</Paragraphs>
  <TotalTime>80</TotalTime>
  <ScaleCrop>false</ScaleCrop>
  <LinksUpToDate>false</LinksUpToDate>
  <CharactersWithSpaces>9110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2025-02-21T07:53:00Z</dcterms:created>
  <dc:creator>刘敏</dc:creator>
  <cp:lastModifiedBy>Administrator</cp:lastModifiedBy>
  <cp:lastPrinted>2025-03-07T07:27:00Z</cp:lastPrinted>
  <dcterms:modified xsi:type="dcterms:W3CDTF">2025-03-10T01:56:40Z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E7275EE0FB8E405CA61427D9423BFF0E</vt:lpwstr>
  </property>
  <property fmtid="{D5CDD505-2E9C-101B-9397-08002B2CF9AE}" pid="4" name="KSOTemplateDocerSaveRecord">
    <vt:lpwstr>eyJoZGlkIjoiYjYwOGM3MzYxYWU3NGUyZGU5NTM0NDI5ZGZiNDhjMDYiLCJ1c2VySWQiOiI1NTAxNTU0MTkifQ==</vt:lpwstr>
  </property>
</Properties>
</file>