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z w:val="40"/>
          <w:szCs w:val="40"/>
        </w:rPr>
      </w:pPr>
      <w:r>
        <w:rPr>
          <w:rFonts w:hint="eastAsia" w:ascii="方正小标宋简体" w:hAnsi="方正小标宋简体" w:eastAsia="方正小标宋简体" w:cs="方正小标宋简体"/>
          <w:b w:val="0"/>
          <w:bCs w:val="0"/>
          <w:color w:val="auto"/>
          <w:sz w:val="40"/>
          <w:szCs w:val="40"/>
          <w:lang w:eastAsia="zh-CN"/>
        </w:rPr>
        <w:t>中途之家</w:t>
      </w:r>
      <w:r>
        <w:rPr>
          <w:rFonts w:hint="eastAsia" w:ascii="方正小标宋简体" w:hAnsi="方正小标宋简体" w:eastAsia="方正小标宋简体" w:cs="方正小标宋简体"/>
          <w:b w:val="0"/>
          <w:bCs w:val="0"/>
          <w:color w:val="auto"/>
          <w:sz w:val="40"/>
          <w:szCs w:val="40"/>
          <w:lang w:val="en-US" w:eastAsia="zh-CN"/>
        </w:rPr>
        <w:t>运维经费</w:t>
      </w:r>
      <w:r>
        <w:rPr>
          <w:rFonts w:hint="eastAsia" w:ascii="方正小标宋简体" w:hAnsi="方正小标宋简体" w:eastAsia="方正小标宋简体" w:cs="方正小标宋简体"/>
          <w:b w:val="0"/>
          <w:bCs w:val="0"/>
          <w:color w:val="auto"/>
          <w:sz w:val="40"/>
          <w:szCs w:val="40"/>
        </w:rPr>
        <w:t>项目支出绩效评价报告</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00"/>
        <w:textAlignment w:val="auto"/>
        <w:rPr>
          <w:rFonts w:hint="eastAsia" w:ascii="楷体" w:hAnsi="楷体" w:eastAsia="楷体" w:cs="楷体"/>
          <w:color w:val="auto"/>
          <w:kern w:val="0"/>
          <w:sz w:val="32"/>
          <w:szCs w:val="32"/>
        </w:rPr>
      </w:pPr>
      <w:r>
        <w:rPr>
          <w:rFonts w:hint="eastAsia" w:ascii="楷体" w:hAnsi="楷体" w:eastAsia="楷体" w:cs="楷体"/>
          <w:color w:val="auto"/>
          <w:kern w:val="0"/>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州区阳光中途之家运维经费101.47万元。中途之家系区司法局所属全额拨款一类事业单位，编制8人，主要承担对社区服刑人员进行集中教育、为有需求的“两类”人员（社区矫正和刑满释放人员）提供社会适应指导、心理咨询和心理辅导、为无家可归、无亲可投、无生活来源的“两类”人员进行临时安置、为“两类”人员提供就业帮助以及为社区服刑人员提供公益劳动项目等职能。</w:t>
      </w:r>
    </w:p>
    <w:p>
      <w:pPr>
        <w:keepNext w:val="0"/>
        <w:keepLines w:val="0"/>
        <w:pageBreakBefore w:val="0"/>
        <w:kinsoku/>
        <w:wordWrap/>
        <w:overflowPunct/>
        <w:topLinePunct w:val="0"/>
        <w:autoSpaceDE/>
        <w:autoSpaceDN/>
        <w:bidi w:val="0"/>
        <w:adjustRightInd/>
        <w:snapToGrid/>
        <w:spacing w:line="560" w:lineRule="exact"/>
        <w:ind w:firstLine="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关于运维经费项目：阳光中途之家经区机关事务服务中心协助选址，现址位于通州区安顺路2号院（悦澜水岸家园底商），系租用北京庆兴商务服务有限公司房屋，面积531平米，阳光中途之家现建有办公室、登记报到室、宣告室、值班室、档案室等办公和功能用房。运维经费涉及房屋租金、取暖、物业等保障。</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kern w:val="0"/>
          <w:sz w:val="32"/>
          <w:szCs w:val="32"/>
        </w:rPr>
      </w:pPr>
      <w:r>
        <w:rPr>
          <w:rFonts w:hint="eastAsia" w:ascii="楷体" w:hAnsi="楷体" w:eastAsia="楷体" w:cs="楷体"/>
          <w:color w:val="auto"/>
          <w:kern w:val="0"/>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color w:val="auto"/>
          <w:kern w:val="0"/>
          <w:sz w:val="32"/>
          <w:szCs w:val="32"/>
          <w:lang w:val="en-US" w:eastAsia="zh-CN"/>
        </w:rPr>
        <w:t>1.总体目标。</w:t>
      </w:r>
      <w:r>
        <w:rPr>
          <w:rFonts w:hint="eastAsia" w:ascii="仿宋" w:hAnsi="仿宋" w:eastAsia="仿宋" w:cs="仿宋"/>
          <w:sz w:val="32"/>
          <w:szCs w:val="32"/>
          <w:lang w:val="en-US" w:eastAsia="zh-CN"/>
        </w:rPr>
        <w:t>一是区阳光中途之家提供租房、物业、取暖、水电、保安、设备维修等费用保障，支撑区阳光中途之家正常运转，为工作人员及有需求的“两类”人员提供相应场所。阳光中途之家为“两类”人员顺利回归社会开展集中教育、心理辅导和社会适应指导等多项指导。二是按合同约定支付相关费用，按工作计划及需求人员进行集中教育和心理疏导支付相关授课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color w:val="auto"/>
          <w:kern w:val="0"/>
          <w:sz w:val="32"/>
          <w:szCs w:val="32"/>
          <w:lang w:val="en-US" w:eastAsia="zh-CN"/>
        </w:rPr>
        <w:t>2.阶段性目标。</w:t>
      </w:r>
      <w:r>
        <w:rPr>
          <w:rFonts w:hint="eastAsia" w:ascii="仿宋" w:hAnsi="仿宋" w:eastAsia="仿宋" w:cs="仿宋"/>
          <w:sz w:val="32"/>
          <w:szCs w:val="32"/>
          <w:lang w:val="en-US" w:eastAsia="zh-CN"/>
        </w:rPr>
        <w:t>经费，保障工作场所正常运转和工作业务有序开展。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kern w:val="0"/>
          <w:sz w:val="32"/>
          <w:szCs w:val="32"/>
        </w:rPr>
      </w:pPr>
      <w:r>
        <w:rPr>
          <w:rFonts w:hint="eastAsia" w:ascii="楷体" w:hAnsi="楷体" w:eastAsia="楷体" w:cs="楷体"/>
          <w:color w:val="auto"/>
          <w:kern w:val="0"/>
          <w:sz w:val="32"/>
          <w:szCs w:val="32"/>
        </w:rPr>
        <w:t>（一）绩效评价目的、对象和范围</w:t>
      </w:r>
    </w:p>
    <w:p>
      <w:pPr>
        <w:keepNext w:val="0"/>
        <w:keepLines w:val="0"/>
        <w:pageBreakBefore w:val="0"/>
        <w:kinsoku/>
        <w:wordWrap/>
        <w:overflowPunct/>
        <w:topLinePunct w:val="0"/>
        <w:autoSpaceDE/>
        <w:autoSpaceDN/>
        <w:bidi w:val="0"/>
        <w:adjustRightInd/>
        <w:snapToGrid/>
        <w:spacing w:line="560" w:lineRule="exact"/>
        <w:ind w:firstLine="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全面分析和综合评价阳光中途之家财政预算资金的使用和管理情况，为切实提高财政资金使用效益，强化预算支出责任和效率。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kern w:val="0"/>
          <w:sz w:val="32"/>
          <w:szCs w:val="32"/>
        </w:rPr>
      </w:pPr>
      <w:r>
        <w:rPr>
          <w:rFonts w:hint="eastAsia" w:ascii="楷体" w:hAnsi="楷体" w:eastAsia="楷体" w:cs="楷体"/>
          <w:color w:val="auto"/>
          <w:kern w:val="0"/>
          <w:sz w:val="32"/>
          <w:szCs w:val="32"/>
        </w:rPr>
        <w:t>（二）绩效评价原则、评价指标体系（附表说明）、评价方法、评价标准等</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kern w:val="0"/>
          <w:sz w:val="32"/>
          <w:szCs w:val="32"/>
          <w:lang w:val="en-US" w:eastAsia="zh-CN"/>
        </w:rPr>
      </w:pPr>
      <w:r>
        <w:rPr>
          <w:rFonts w:hint="eastAsia" w:ascii="仿宋" w:hAnsi="仿宋" w:eastAsia="仿宋" w:cs="仿宋"/>
          <w:b/>
          <w:bCs/>
          <w:color w:val="auto"/>
          <w:kern w:val="0"/>
          <w:sz w:val="32"/>
          <w:szCs w:val="32"/>
          <w:lang w:val="en-US" w:eastAsia="zh-CN"/>
        </w:rPr>
        <w:t>1.绩效评价原则</w:t>
      </w:r>
    </w:p>
    <w:p>
      <w:pPr>
        <w:keepNext w:val="0"/>
        <w:keepLines w:val="0"/>
        <w:pageBreakBefore w:val="0"/>
        <w:kinsoku/>
        <w:wordWrap/>
        <w:overflowPunct/>
        <w:topLinePunct w:val="0"/>
        <w:autoSpaceDE/>
        <w:autoSpaceDN/>
        <w:bidi w:val="0"/>
        <w:adjustRightInd/>
        <w:snapToGrid/>
        <w:spacing w:line="560" w:lineRule="exact"/>
        <w:ind w:firstLine="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本次评价本着问题导向、系统评价、科学客观、讲求绩效的原则，采取定性分析与定量分析相结合的方式，进行综合评价。</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kern w:val="0"/>
          <w:sz w:val="32"/>
          <w:szCs w:val="32"/>
          <w:lang w:val="en-US" w:eastAsia="zh-CN"/>
        </w:rPr>
      </w:pPr>
      <w:r>
        <w:rPr>
          <w:rFonts w:hint="eastAsia" w:ascii="仿宋" w:hAnsi="仿宋" w:eastAsia="仿宋" w:cs="仿宋"/>
          <w:b/>
          <w:bCs/>
          <w:color w:val="auto"/>
          <w:kern w:val="0"/>
          <w:sz w:val="32"/>
          <w:szCs w:val="32"/>
          <w:lang w:val="en-US" w:eastAsia="zh-CN"/>
        </w:rPr>
        <w:t>2.评价方法</w:t>
      </w:r>
    </w:p>
    <w:p>
      <w:pPr>
        <w:keepNext w:val="0"/>
        <w:keepLines w:val="0"/>
        <w:pageBreakBefore w:val="0"/>
        <w:kinsoku/>
        <w:wordWrap/>
        <w:overflowPunct/>
        <w:topLinePunct w:val="0"/>
        <w:autoSpaceDE/>
        <w:autoSpaceDN/>
        <w:bidi w:val="0"/>
        <w:adjustRightInd/>
        <w:snapToGrid/>
        <w:spacing w:line="560" w:lineRule="exact"/>
        <w:ind w:firstLine="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本着客观公正和有效性原则，按照设定的预算目标体系，评价工作的具体组织实施由办公室负责，过程中由中途之家提供项目资料梳理分析、撰写评价报告初稿等。</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kern w:val="0"/>
          <w:sz w:val="32"/>
          <w:szCs w:val="32"/>
          <w:lang w:val="en-US" w:eastAsia="zh-CN"/>
        </w:rPr>
      </w:pPr>
      <w:r>
        <w:rPr>
          <w:rFonts w:hint="eastAsia" w:ascii="仿宋" w:hAnsi="仿宋" w:eastAsia="仿宋" w:cs="仿宋"/>
          <w:b/>
          <w:bCs/>
          <w:color w:val="auto"/>
          <w:kern w:val="0"/>
          <w:sz w:val="32"/>
          <w:szCs w:val="32"/>
          <w:lang w:val="en-US" w:eastAsia="zh-CN"/>
        </w:rPr>
        <w:t>3.评价标准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自评主要采用定量与定性评价相结合的比较法，总分由各项指标得分汇总形成。定量指标得分按照以下方法评定：与年初指标值相比，完成指标值的，记该指标所赋全部分值；如果是由于年初指标值设定明显偏低造成的，要按照偏离度适度调减分值；未完成指标值的，按照完成值在指标值中所占比例记分。定性指标得分按照以下方法评定：根据指标完成情况分为达成年度指标、部分达成年度指标且有一定效果、未达成年度指标且效果较差3档，分别按照该指标对应分值区间</w:t>
      </w:r>
      <w:r>
        <w:rPr>
          <w:rFonts w:hint="eastAsia" w:ascii="FangSong_GB2312" w:hAnsi="FangSong_GB2312" w:eastAsia="FangSong_GB2312"/>
          <w:sz w:val="32"/>
          <w:szCs w:val="32"/>
        </w:rPr>
        <w:t>100%-80%（含80%）、80-60%（含60%）、60%-0%</w:t>
      </w:r>
      <w:r>
        <w:rPr>
          <w:rFonts w:hint="eastAsia" w:ascii="仿宋" w:hAnsi="仿宋" w:eastAsia="仿宋" w:cs="仿宋"/>
          <w:sz w:val="32"/>
          <w:szCs w:val="32"/>
          <w:lang w:val="en-US" w:eastAsia="zh-CN"/>
        </w:rPr>
        <w:t>合理确定分值。各项绩效指标得分汇总成该项目自评的总分。</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color w:val="auto"/>
          <w:kern w:val="0"/>
          <w:sz w:val="32"/>
          <w:szCs w:val="32"/>
        </w:rPr>
      </w:pPr>
      <w:r>
        <w:rPr>
          <w:rFonts w:hint="eastAsia" w:ascii="楷体" w:hAnsi="楷体" w:eastAsia="楷体" w:cs="楷体"/>
          <w:color w:val="auto"/>
          <w:kern w:val="0"/>
          <w:sz w:val="32"/>
          <w:szCs w:val="32"/>
        </w:rPr>
        <w:t>绩效评价工作过程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自评过程中由各业务科室根据各自业务开展情况填写绩效指标完成情况，财务人员通过办公室获取本单位年度工作总结，并对照总结情况对科室材料进行初步审核并反馈完善意见，业务科室修改完善并经财务人员审核通过后确定绩效自评表。</w:t>
      </w:r>
    </w:p>
    <w:p>
      <w:pPr>
        <w:pStyle w:val="18"/>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1.准备阶段  2月25日组织业务科室开展项目自评工作，确定重点自评项目。</w:t>
      </w:r>
    </w:p>
    <w:p>
      <w:pPr>
        <w:pStyle w:val="18"/>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2.实施阶段  2月25日-2月28日业务科室填报《项目支出绩效自评表》。</w:t>
      </w:r>
    </w:p>
    <w:p>
      <w:pPr>
        <w:pStyle w:val="18"/>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3.评价分析阶段  3月初，由办公室收集重点项目自评报告、汇总各项目自评表，编制《部门整体绩效报告》。3月10日前完成部门自评相关工作，并上报区财政。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lang w:eastAsia="zh-CN"/>
        </w:rPr>
        <w:t>三、</w:t>
      </w:r>
      <w:r>
        <w:rPr>
          <w:rFonts w:hint="eastAsia" w:ascii="黑体" w:hAnsi="黑体" w:eastAsia="黑体" w:cs="黑体"/>
          <w:b w:val="0"/>
          <w:bCs/>
          <w:color w:val="auto"/>
          <w:kern w:val="0"/>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阳光中途之家发挥着教育帮扶“两类”人员重要职责，从源头上预防和减少重新违法犯罪。加强社区服刑人员和安置帮教对象这“两类”人员的教育、管理和帮扶工作，是积极推进基层社会治理创新的重要举措，是维护保障副中心安全稳定的重要基础。中途之家运维经费主要提供租房、物业、取暖、水电、保安、设备维修等费用保障，支撑区阳光中途之家正常运转，为工作人员及有需求的“两类”人员提供相应场所。为阳光中途之家为“两类”人员顺利回归社会开展集中教育、心理辅导和社会适应指导等多项指导。政策决策依据充分，目标明确，资金使用较为合规，管理制度较为健全，制度执行较为有效，较好地保障了中途之家工作的开展，矫正对象及工作人员满意度较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b w:val="0"/>
          <w:bCs w:val="0"/>
          <w:color w:val="auto"/>
          <w:kern w:val="0"/>
          <w:sz w:val="32"/>
          <w:szCs w:val="32"/>
        </w:rPr>
      </w:pPr>
      <w:r>
        <w:rPr>
          <w:rFonts w:hint="eastAsia" w:ascii="楷体_GB2312" w:hAnsi="楷体_GB2312" w:eastAsia="楷体_GB2312" w:cs="楷体_GB2312"/>
          <w:b w:val="0"/>
          <w:bCs w:val="0"/>
          <w:color w:val="auto"/>
          <w:kern w:val="0"/>
          <w:sz w:val="32"/>
          <w:szCs w:val="32"/>
        </w:rPr>
        <w:t>（一）项目决策情况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中途之家运维经费101.47万元。其中全年租金69.80万元，占部门预算68.79%。运维费31.67万元/年，占部门预算31.21%。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b w:val="0"/>
          <w:bCs w:val="0"/>
          <w:color w:val="auto"/>
          <w:kern w:val="0"/>
          <w:sz w:val="32"/>
          <w:szCs w:val="32"/>
        </w:rPr>
      </w:pPr>
      <w:r>
        <w:rPr>
          <w:rFonts w:hint="eastAsia" w:ascii="楷体_GB2312" w:hAnsi="楷体_GB2312" w:eastAsia="楷体_GB2312" w:cs="楷体_GB2312"/>
          <w:b w:val="0"/>
          <w:bCs w:val="0"/>
          <w:color w:val="auto"/>
          <w:kern w:val="0"/>
          <w:sz w:val="32"/>
          <w:szCs w:val="32"/>
          <w:lang w:eastAsia="zh-CN"/>
        </w:rPr>
        <w:t>（二）</w:t>
      </w:r>
      <w:r>
        <w:rPr>
          <w:rFonts w:hint="eastAsia" w:ascii="楷体_GB2312" w:hAnsi="楷体_GB2312" w:eastAsia="楷体_GB2312" w:cs="楷体_GB2312"/>
          <w:b w:val="0"/>
          <w:bCs w:val="0"/>
          <w:color w:val="auto"/>
          <w:kern w:val="0"/>
          <w:sz w:val="32"/>
          <w:szCs w:val="32"/>
        </w:rPr>
        <w:t>项目过程情况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按年初预算情况，依据合同进行支出。租金全年支出69.80万元，支出进度100%。运维费全年支出24.22万元，支出进度76.49%（未支出部分为水电费剩余、其他维修费剩余）。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b w:val="0"/>
          <w:bCs w:val="0"/>
          <w:color w:val="auto"/>
          <w:kern w:val="0"/>
          <w:sz w:val="32"/>
          <w:szCs w:val="32"/>
        </w:rPr>
      </w:pPr>
      <w:r>
        <w:rPr>
          <w:rFonts w:hint="eastAsia" w:ascii="楷体_GB2312" w:hAnsi="楷体_GB2312" w:eastAsia="楷体_GB2312" w:cs="楷体_GB2312"/>
          <w:b w:val="0"/>
          <w:bCs w:val="0"/>
          <w:color w:val="auto"/>
          <w:kern w:val="0"/>
          <w:sz w:val="32"/>
          <w:szCs w:val="32"/>
          <w:lang w:eastAsia="zh-CN"/>
        </w:rPr>
        <w:t>（三）</w:t>
      </w:r>
      <w:r>
        <w:rPr>
          <w:rFonts w:hint="eastAsia" w:ascii="楷体_GB2312" w:hAnsi="楷体_GB2312" w:eastAsia="楷体_GB2312" w:cs="楷体_GB2312"/>
          <w:b w:val="0"/>
          <w:bCs w:val="0"/>
          <w:color w:val="auto"/>
          <w:kern w:val="0"/>
          <w:sz w:val="32"/>
          <w:szCs w:val="32"/>
        </w:rPr>
        <w:t>项目产出情况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资金及时拨付到位，各项任务圆满完成。二是严格遵守财务审批制度，财务管理进一步规范。项目资金严格按预算批复用途支付，支出符合财务管理制度。资金拨付程序规范，并定期对资金使用情况进行检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b w:val="0"/>
          <w:bCs w:val="0"/>
          <w:color w:val="auto"/>
          <w:kern w:val="0"/>
          <w:sz w:val="32"/>
          <w:szCs w:val="32"/>
        </w:rPr>
      </w:pPr>
      <w:r>
        <w:rPr>
          <w:rFonts w:hint="eastAsia" w:ascii="楷体_GB2312" w:hAnsi="楷体_GB2312" w:eastAsia="楷体_GB2312" w:cs="楷体_GB2312"/>
          <w:b w:val="0"/>
          <w:bCs w:val="0"/>
          <w:color w:val="auto"/>
          <w:kern w:val="0"/>
          <w:sz w:val="32"/>
          <w:szCs w:val="32"/>
        </w:rPr>
        <w:t>（四）项目效益情况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中途之家工作场所得到保障、工作秩序及安全得到保障，矫正工作人员满意率100.00</w:t>
      </w:r>
      <w:bookmarkStart w:id="0" w:name="_GoBack"/>
      <w:bookmarkEnd w:id="0"/>
      <w:r>
        <w:rPr>
          <w:rFonts w:hint="eastAsia" w:ascii="仿宋" w:hAnsi="仿宋" w:eastAsia="仿宋" w:cs="仿宋"/>
          <w:sz w:val="32"/>
          <w:szCs w:val="32"/>
          <w:lang w:val="en-US" w:eastAsia="zh-CN"/>
        </w:rPr>
        <w:t>%，2024年度认真开展社区矫正对象和安置帮教对象接收登记、转出衔接等。中途之家进行深入开展教育帮扶，邀请监狱局教育骨干对社区矫正对象进行授课5期，邀请人社局为社区矫正对象开展社保专题讲解，有力丰富了专业教育师资力量。为强化关键节点安全稳定，组织开展警示教育活动，参与集中教育700余人次，发放《社区矫正对象行为规范和警示教育案例》读本600余本。落实通武廊司法行政系统服务北京城市副中心建设和京津冀协同发展合作协议，建立通武廊联合教育机制，组织开展了座谈会和通武廊专场联合集中教育活动，持续开展与廊坊、武清共同开展“三地共上一堂课、共学一部法”集中教育活动。通过内部挖潜和外部引进的形式建立社区矫正专家库，努力维护社会谐稳定发展。</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五、主要经验及做法、存在问题及原因分析</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严格遵守财务审批制度，项目资金严格按预算批复用途支付，超1万元提请党组会议审议，通过后再支出。</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六、有关建议</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无</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七、其他需要说明的问题</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无</w:t>
      </w:r>
    </w:p>
    <w:sectPr>
      <w:footerReference r:id="rId3" w:type="default"/>
      <w:pgSz w:w="11906" w:h="16838"/>
      <w:pgMar w:top="2098" w:right="1474" w:bottom="1984" w:left="1587"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FangSong_GB2312">
    <w:altName w:val="仿宋_GB2312"/>
    <w:panose1 w:val="02010609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1426EB"/>
    <w:multiLevelType w:val="singleLevel"/>
    <w:tmpl w:val="FF1426E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04E64AF"/>
    <w:rsid w:val="008E6A68"/>
    <w:rsid w:val="01002FC9"/>
    <w:rsid w:val="01534994"/>
    <w:rsid w:val="01D00465"/>
    <w:rsid w:val="01FE47D3"/>
    <w:rsid w:val="02296D80"/>
    <w:rsid w:val="06565EE9"/>
    <w:rsid w:val="06F044B2"/>
    <w:rsid w:val="0C2B46BA"/>
    <w:rsid w:val="0C7E513C"/>
    <w:rsid w:val="0C8165E0"/>
    <w:rsid w:val="0D813BD8"/>
    <w:rsid w:val="0DDD26E9"/>
    <w:rsid w:val="0E102ABC"/>
    <w:rsid w:val="0F285BA4"/>
    <w:rsid w:val="10534AA9"/>
    <w:rsid w:val="10642567"/>
    <w:rsid w:val="10B844D4"/>
    <w:rsid w:val="11C41792"/>
    <w:rsid w:val="11E3367D"/>
    <w:rsid w:val="1210175E"/>
    <w:rsid w:val="124D1BCA"/>
    <w:rsid w:val="13705B52"/>
    <w:rsid w:val="159E3DDC"/>
    <w:rsid w:val="172420D5"/>
    <w:rsid w:val="17B61F1B"/>
    <w:rsid w:val="18317390"/>
    <w:rsid w:val="191810FF"/>
    <w:rsid w:val="192A5EA0"/>
    <w:rsid w:val="1CE87219"/>
    <w:rsid w:val="1EA60A5E"/>
    <w:rsid w:val="20063FBB"/>
    <w:rsid w:val="2146176B"/>
    <w:rsid w:val="216E59ED"/>
    <w:rsid w:val="21B81667"/>
    <w:rsid w:val="22B3723A"/>
    <w:rsid w:val="23755E3B"/>
    <w:rsid w:val="238804D4"/>
    <w:rsid w:val="23DD13F6"/>
    <w:rsid w:val="25EE6A0C"/>
    <w:rsid w:val="25FC52D5"/>
    <w:rsid w:val="289154F8"/>
    <w:rsid w:val="29D41B35"/>
    <w:rsid w:val="29F9716F"/>
    <w:rsid w:val="2A996C08"/>
    <w:rsid w:val="2AEE7F3F"/>
    <w:rsid w:val="2C365DDC"/>
    <w:rsid w:val="2C394128"/>
    <w:rsid w:val="2CA7770E"/>
    <w:rsid w:val="2CBD1298"/>
    <w:rsid w:val="2CBF8107"/>
    <w:rsid w:val="2D354B24"/>
    <w:rsid w:val="2D3A0D2B"/>
    <w:rsid w:val="2DFF6A18"/>
    <w:rsid w:val="2EB70209"/>
    <w:rsid w:val="2F10330A"/>
    <w:rsid w:val="2FD523EE"/>
    <w:rsid w:val="2FFB1D8E"/>
    <w:rsid w:val="30EB3688"/>
    <w:rsid w:val="30FF2B40"/>
    <w:rsid w:val="331B57FA"/>
    <w:rsid w:val="34690041"/>
    <w:rsid w:val="3490646D"/>
    <w:rsid w:val="35295780"/>
    <w:rsid w:val="353E3693"/>
    <w:rsid w:val="356B66A4"/>
    <w:rsid w:val="357F157A"/>
    <w:rsid w:val="35D339CB"/>
    <w:rsid w:val="36167ADA"/>
    <w:rsid w:val="36543279"/>
    <w:rsid w:val="36664A62"/>
    <w:rsid w:val="380906E9"/>
    <w:rsid w:val="381036F8"/>
    <w:rsid w:val="38643D5E"/>
    <w:rsid w:val="38D001B5"/>
    <w:rsid w:val="39257C24"/>
    <w:rsid w:val="39A2033C"/>
    <w:rsid w:val="3A690DB0"/>
    <w:rsid w:val="3BA43EBB"/>
    <w:rsid w:val="3CB8274A"/>
    <w:rsid w:val="3DB6666E"/>
    <w:rsid w:val="3E3D3552"/>
    <w:rsid w:val="3FB402A5"/>
    <w:rsid w:val="3FF79B31"/>
    <w:rsid w:val="4072592F"/>
    <w:rsid w:val="40AD117A"/>
    <w:rsid w:val="419A6FCA"/>
    <w:rsid w:val="4256784B"/>
    <w:rsid w:val="42C24864"/>
    <w:rsid w:val="4342115E"/>
    <w:rsid w:val="434B417C"/>
    <w:rsid w:val="43A9333A"/>
    <w:rsid w:val="43D453B3"/>
    <w:rsid w:val="441B5E39"/>
    <w:rsid w:val="448E1CCC"/>
    <w:rsid w:val="44BE1ACD"/>
    <w:rsid w:val="45AF0E6B"/>
    <w:rsid w:val="46AC5760"/>
    <w:rsid w:val="474C5080"/>
    <w:rsid w:val="48C11A65"/>
    <w:rsid w:val="4A272101"/>
    <w:rsid w:val="4A286FD9"/>
    <w:rsid w:val="4BA31FDB"/>
    <w:rsid w:val="4BEC27F7"/>
    <w:rsid w:val="4BFF9656"/>
    <w:rsid w:val="4CFB7AFE"/>
    <w:rsid w:val="4D493227"/>
    <w:rsid w:val="4D5A1A0F"/>
    <w:rsid w:val="4D8116F4"/>
    <w:rsid w:val="4D866B4B"/>
    <w:rsid w:val="4E5A1F47"/>
    <w:rsid w:val="4E792590"/>
    <w:rsid w:val="4EA04AB2"/>
    <w:rsid w:val="4EE76C02"/>
    <w:rsid w:val="4F0C6219"/>
    <w:rsid w:val="4F32794A"/>
    <w:rsid w:val="4FA160D3"/>
    <w:rsid w:val="50BF5F88"/>
    <w:rsid w:val="51582917"/>
    <w:rsid w:val="515F72AB"/>
    <w:rsid w:val="517A16A6"/>
    <w:rsid w:val="51915A94"/>
    <w:rsid w:val="51DC15D3"/>
    <w:rsid w:val="537B9DA3"/>
    <w:rsid w:val="54CA5783"/>
    <w:rsid w:val="55941F5F"/>
    <w:rsid w:val="58AD79C7"/>
    <w:rsid w:val="58C42806"/>
    <w:rsid w:val="58CF04C3"/>
    <w:rsid w:val="59AE770C"/>
    <w:rsid w:val="5A3715E5"/>
    <w:rsid w:val="5A474F5C"/>
    <w:rsid w:val="5A8B42B6"/>
    <w:rsid w:val="5B3375C9"/>
    <w:rsid w:val="5BBE5F55"/>
    <w:rsid w:val="5BFF30DD"/>
    <w:rsid w:val="5C0A24D0"/>
    <w:rsid w:val="5DDF52D1"/>
    <w:rsid w:val="5E791EE0"/>
    <w:rsid w:val="5EDB0B63"/>
    <w:rsid w:val="5F9F33EB"/>
    <w:rsid w:val="5FF27C92"/>
    <w:rsid w:val="61927397"/>
    <w:rsid w:val="6255376A"/>
    <w:rsid w:val="62B3385D"/>
    <w:rsid w:val="64A770CE"/>
    <w:rsid w:val="655647C6"/>
    <w:rsid w:val="66217B4A"/>
    <w:rsid w:val="67982537"/>
    <w:rsid w:val="6798258D"/>
    <w:rsid w:val="68F85CCE"/>
    <w:rsid w:val="69454BAB"/>
    <w:rsid w:val="6ABA0C32"/>
    <w:rsid w:val="6AC7B1A3"/>
    <w:rsid w:val="6B77FB6F"/>
    <w:rsid w:val="6B893C78"/>
    <w:rsid w:val="6E7D1FE0"/>
    <w:rsid w:val="6EE9A86C"/>
    <w:rsid w:val="6F463287"/>
    <w:rsid w:val="6F4806EB"/>
    <w:rsid w:val="6FD43E60"/>
    <w:rsid w:val="70611CF2"/>
    <w:rsid w:val="70B52F98"/>
    <w:rsid w:val="727D1A92"/>
    <w:rsid w:val="729D7E6B"/>
    <w:rsid w:val="730F7072"/>
    <w:rsid w:val="733350AD"/>
    <w:rsid w:val="74F41102"/>
    <w:rsid w:val="75060C15"/>
    <w:rsid w:val="76375C33"/>
    <w:rsid w:val="763E871D"/>
    <w:rsid w:val="76FD544C"/>
    <w:rsid w:val="780067F1"/>
    <w:rsid w:val="7917589B"/>
    <w:rsid w:val="799C5814"/>
    <w:rsid w:val="79EBFCAD"/>
    <w:rsid w:val="7B5254E4"/>
    <w:rsid w:val="7BBD97BD"/>
    <w:rsid w:val="7BFE4A5B"/>
    <w:rsid w:val="7BFFEC6B"/>
    <w:rsid w:val="7C536D45"/>
    <w:rsid w:val="7C881672"/>
    <w:rsid w:val="7DB23D50"/>
    <w:rsid w:val="7DBF4FBB"/>
    <w:rsid w:val="7DCD9330"/>
    <w:rsid w:val="7DD758A1"/>
    <w:rsid w:val="7E562264"/>
    <w:rsid w:val="7E5EB5A1"/>
    <w:rsid w:val="7F2773F9"/>
    <w:rsid w:val="7F3909BD"/>
    <w:rsid w:val="7F6A260D"/>
    <w:rsid w:val="7F7C49BA"/>
    <w:rsid w:val="7F9B2643"/>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font81"/>
    <w:basedOn w:val="9"/>
    <w:qFormat/>
    <w:uiPriority w:val="0"/>
    <w:rPr>
      <w:rFonts w:hint="eastAsia" w:ascii="宋体" w:hAnsi="宋体" w:eastAsia="宋体" w:cs="宋体"/>
      <w:color w:val="000000"/>
      <w:sz w:val="20"/>
      <w:szCs w:val="20"/>
      <w:u w:val="none"/>
    </w:rPr>
  </w:style>
  <w:style w:type="character" w:customStyle="1" w:styleId="12">
    <w:name w:val="font11"/>
    <w:basedOn w:val="9"/>
    <w:qFormat/>
    <w:uiPriority w:val="0"/>
    <w:rPr>
      <w:rFonts w:hint="eastAsia" w:ascii="仿宋_GB2312" w:eastAsia="仿宋_GB2312" w:cs="仿宋_GB2312"/>
      <w:color w:val="000000"/>
      <w:sz w:val="24"/>
      <w:szCs w:val="24"/>
      <w:u w:val="none"/>
    </w:rPr>
  </w:style>
  <w:style w:type="character" w:customStyle="1" w:styleId="13">
    <w:name w:val="font61"/>
    <w:basedOn w:val="9"/>
    <w:qFormat/>
    <w:uiPriority w:val="0"/>
    <w:rPr>
      <w:rFonts w:hint="eastAsia" w:ascii="仿宋_GB2312" w:eastAsia="仿宋_GB2312" w:cs="仿宋_GB2312"/>
      <w:color w:val="000000"/>
      <w:sz w:val="24"/>
      <w:szCs w:val="24"/>
      <w:u w:val="none"/>
    </w:rPr>
  </w:style>
  <w:style w:type="character" w:customStyle="1" w:styleId="14">
    <w:name w:val="font71"/>
    <w:basedOn w:val="9"/>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qFormat/>
    <w:uiPriority w:val="0"/>
    <w:pPr>
      <w:ind w:firstLine="480"/>
    </w:pPr>
    <w:rPr>
      <w:szCs w:val="20"/>
      <w:lang w:val="zh-CN"/>
    </w:rPr>
  </w:style>
  <w:style w:type="paragraph" w:customStyle="1" w:styleId="17">
    <w:name w:val="北京市正文"/>
    <w:basedOn w:val="1"/>
    <w:qFormat/>
    <w:uiPriority w:val="0"/>
    <w:pPr>
      <w:shd w:val="clear" w:color="auto" w:fill="FFFFFF"/>
      <w:adjustRightInd w:val="0"/>
      <w:snapToGrid w:val="0"/>
      <w:spacing w:line="560" w:lineRule="exact"/>
      <w:ind w:firstLine="640" w:firstLineChars="200"/>
    </w:pPr>
    <w:rPr>
      <w:rFonts w:ascii="仿宋_GB2312"/>
      <w:sz w:val="32"/>
      <w:szCs w:val="32"/>
      <w:shd w:val="clear" w:color="auto" w:fill="FFFFFF"/>
    </w:rPr>
  </w:style>
  <w:style w:type="paragraph" w:customStyle="1" w:styleId="18">
    <w:name w:val="北京市三级"/>
    <w:basedOn w:val="1"/>
    <w:qFormat/>
    <w:uiPriority w:val="0"/>
    <w:pPr>
      <w:adjustRightInd w:val="0"/>
      <w:snapToGrid w:val="0"/>
      <w:spacing w:line="560" w:lineRule="exact"/>
      <w:ind w:firstLine="640" w:firstLineChars="200"/>
      <w:outlineLvl w:val="2"/>
    </w:pPr>
    <w:rPr>
      <w:rFonts w:ascii="仿宋_GB2312" w:hAnsi="宋体" w:cs="宋体"/>
      <w:kern w:val="0"/>
      <w:sz w:val="32"/>
      <w:szCs w:val="32"/>
    </w:rPr>
  </w:style>
  <w:style w:type="paragraph" w:customStyle="1" w:styleId="19">
    <w:name w:val="北京市图标"/>
    <w:basedOn w:val="1"/>
    <w:qFormat/>
    <w:uiPriority w:val="0"/>
    <w:pPr>
      <w:adjustRightInd w:val="0"/>
      <w:snapToGrid w:val="0"/>
      <w:spacing w:line="560" w:lineRule="exact"/>
      <w:jc w:val="center"/>
    </w:pPr>
    <w:rPr>
      <w:rFonts w:ascii="黑体" w:hAnsi="黑体" w:eastAsia="黑体"/>
      <w:sz w:val="28"/>
      <w:szCs w:val="28"/>
      <w:shd w:val="clear" w:color="auto"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Win7</cp:lastModifiedBy>
  <cp:lastPrinted>2024-03-30T01:59:00Z</cp:lastPrinted>
  <dcterms:modified xsi:type="dcterms:W3CDTF">2025-09-25T07:32:13Z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