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hint="default" w:ascii="仿宋_GB2312" w:eastAsia="黑体"/>
          <w:color w:val="auto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color w:val="auto"/>
          <w:sz w:val="32"/>
          <w:szCs w:val="32"/>
        </w:rPr>
        <w:t>附件1</w:t>
      </w:r>
      <w:r>
        <w:rPr>
          <w:rFonts w:hint="eastAsia" w:ascii="黑体" w:hAnsi="黑体" w:eastAsia="黑体"/>
          <w:color w:val="auto"/>
          <w:sz w:val="32"/>
          <w:szCs w:val="32"/>
          <w:lang w:val="en-US" w:eastAsia="zh-CN"/>
        </w:rPr>
        <w:t>-1</w:t>
      </w:r>
    </w:p>
    <w:tbl>
      <w:tblPr>
        <w:tblStyle w:val="8"/>
        <w:tblW w:w="892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9"/>
        <w:gridCol w:w="1086"/>
        <w:gridCol w:w="718"/>
        <w:gridCol w:w="1114"/>
        <w:gridCol w:w="169"/>
        <w:gridCol w:w="938"/>
        <w:gridCol w:w="848"/>
        <w:gridCol w:w="202"/>
        <w:gridCol w:w="355"/>
        <w:gridCol w:w="416"/>
        <w:gridCol w:w="141"/>
        <w:gridCol w:w="695"/>
        <w:gridCol w:w="69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noWrap w:val="0"/>
            <w:vAlign w:val="top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 xml:space="preserve">（  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  <w:lang w:val="en-US" w:eastAsia="zh-CN"/>
              </w:rPr>
              <w:t>2024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 xml:space="preserve">  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1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运河商务区办公区办公用房修缮工程</w:t>
            </w:r>
            <w:bookmarkStart w:id="0" w:name="_GoBack"/>
            <w:bookmarkEnd w:id="0"/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2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北京市通州区机关事务服务中心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30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北京市通州区机关事务服务中心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2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张晶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30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80857300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exact"/>
          <w:jc w:val="center"/>
        </w:trPr>
        <w:tc>
          <w:tcPr>
            <w:tcW w:w="154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项目资金（万元）</w:t>
            </w: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年初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执行数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44.45 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44.45 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44.45 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44.45 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44.45 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44.45 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99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5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5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99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  <w:t>目标1：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  <w:t>完成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运河商务区办公区办公用房修缮工程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  <w:t>。</w:t>
            </w:r>
          </w:p>
          <w:p>
            <w:pPr>
              <w:pStyle w:val="2"/>
              <w:ind w:left="0" w:leftChars="0" w:firstLine="0" w:firstLineChars="0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目标2：符合《党政机关办公用房建设标准》。符合工程质量验收标准。</w:t>
            </w:r>
          </w:p>
        </w:tc>
        <w:tc>
          <w:tcPr>
            <w:tcW w:w="335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完成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运河商务区办公区办公用房修缮工程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。两年质保期满，支付至合同约定金额100%。</w:t>
            </w:r>
          </w:p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标</w:t>
            </w:r>
          </w:p>
        </w:tc>
        <w:tc>
          <w:tcPr>
            <w:tcW w:w="9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按照合同约定支付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≥100%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已按合同支付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完成全部装修内容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≥100%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  <w:t>已完成全部装修内容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0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竣工验收合格率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东文宋体" w:hAnsi="东文宋体" w:eastAsia="东文宋体" w:cs="东文宋体"/>
                <w:color w:val="auto"/>
                <w:kern w:val="0"/>
                <w:sz w:val="18"/>
                <w:szCs w:val="18"/>
                <w:lang w:eastAsia="zh-CN"/>
              </w:rPr>
              <w:t>≥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80%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东文宋体" w:hAnsi="东文宋体" w:eastAsia="东文宋体" w:cs="东文宋体"/>
                <w:color w:val="auto"/>
                <w:kern w:val="0"/>
                <w:sz w:val="18"/>
                <w:szCs w:val="18"/>
                <w:lang w:eastAsia="zh-CN"/>
              </w:rPr>
              <w:t>竣工验收完成</w:t>
            </w:r>
            <w:r>
              <w:rPr>
                <w:rFonts w:hint="eastAsia" w:ascii="东文宋体" w:hAnsi="东文宋体" w:eastAsia="东文宋体" w:cs="东文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项目按期完成率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≥100%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项目按期完成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5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按照合同约定时间按时付款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东文宋体" w:hAnsi="东文宋体" w:eastAsia="东文宋体" w:cs="东文宋体"/>
                <w:color w:val="auto"/>
                <w:kern w:val="0"/>
                <w:sz w:val="18"/>
                <w:szCs w:val="18"/>
                <w:lang w:eastAsia="zh-CN"/>
              </w:rPr>
              <w:t>≥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80%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按照合同约定付款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5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以财政评审为依据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Arial" w:hAnsi="Arial" w:cs="Arial"/>
                <w:color w:val="auto"/>
                <w:kern w:val="0"/>
                <w:sz w:val="18"/>
                <w:szCs w:val="18"/>
                <w:lang w:val="en-US" w:eastAsia="zh-CN"/>
              </w:rPr>
              <w:t>≤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800万元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688.93万元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提高办公用房安全性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有所提升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有所提升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提升办公用房环境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东文宋体" w:hAnsi="东文宋体" w:eastAsia="东文宋体" w:cs="东文宋体"/>
                <w:color w:val="auto"/>
                <w:kern w:val="0"/>
                <w:sz w:val="18"/>
                <w:szCs w:val="18"/>
                <w:lang w:eastAsia="zh-CN"/>
              </w:rPr>
              <w:t>≥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80%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东文宋体" w:hAnsi="东文宋体" w:eastAsia="东文宋体" w:cs="东文宋体"/>
                <w:color w:val="auto"/>
                <w:kern w:val="0"/>
                <w:sz w:val="18"/>
                <w:szCs w:val="18"/>
                <w:lang w:eastAsia="zh-CN"/>
              </w:rPr>
              <w:t>已提升</w:t>
            </w:r>
            <w:r>
              <w:rPr>
                <w:rFonts w:hint="eastAsia" w:ascii="东文宋体" w:hAnsi="东文宋体" w:eastAsia="东文宋体" w:cs="东文宋体"/>
                <w:color w:val="auto"/>
                <w:kern w:val="0"/>
                <w:sz w:val="18"/>
                <w:szCs w:val="18"/>
                <w:lang w:val="en-US" w:eastAsia="zh-CN"/>
              </w:rPr>
              <w:t>9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5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绿色环保工程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东文宋体" w:hAnsi="东文宋体" w:eastAsia="东文宋体" w:cs="东文宋体"/>
                <w:color w:val="auto"/>
                <w:kern w:val="0"/>
                <w:sz w:val="18"/>
                <w:szCs w:val="18"/>
                <w:lang w:eastAsia="zh-CN"/>
              </w:rPr>
              <w:t>≥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80%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东文宋体" w:hAnsi="东文宋体" w:eastAsia="东文宋体" w:cs="东文宋体"/>
                <w:color w:val="auto"/>
                <w:kern w:val="0"/>
                <w:sz w:val="18"/>
                <w:szCs w:val="18"/>
                <w:lang w:eastAsia="zh-CN"/>
              </w:rPr>
              <w:t>绿色建材使用率达到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80%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9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108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职工满意度</w:t>
            </w:r>
          </w:p>
        </w:tc>
        <w:tc>
          <w:tcPr>
            <w:tcW w:w="9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≥80%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满意度90%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</w:tbl>
    <w:p>
      <w:pPr>
        <w:widowControl/>
        <w:spacing w:line="480" w:lineRule="exact"/>
        <w:ind w:firstLine="440" w:firstLineChars="200"/>
        <w:jc w:val="left"/>
        <w:outlineLvl w:val="0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填报注意事项：</w:t>
      </w:r>
    </w:p>
    <w:p>
      <w:pPr>
        <w:widowControl/>
        <w:spacing w:line="480" w:lineRule="exact"/>
        <w:ind w:firstLine="440" w:firstLineChars="200"/>
        <w:jc w:val="left"/>
        <w:outlineLvl w:val="0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1.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评价方法说明</w:t>
      </w:r>
      <w:r>
        <w:rPr>
          <w:rFonts w:hint="eastAsia" w:ascii="宋体" w:hAnsi="宋体" w:cs="宋体"/>
          <w:color w:val="auto"/>
          <w:kern w:val="0"/>
          <w:sz w:val="22"/>
          <w:szCs w:val="24"/>
          <w:lang w:eastAsia="zh-CN"/>
        </w:rPr>
        <w:t>：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采取打分的形式，满分为100分。单位自评指标的权重由各单位根据项目实际情况确定。原则上预算执行率和一级指标权重统一设置为：预算执行率10%、产出指标50%、效益指标30%、服务对象满意度指标10%。如有特殊情况，一级指标权重可做适当调整。二、三级指标应当根据指标重要程度、项目实施阶段等因素综合确定，准确反映项目的产出和效益。</w:t>
      </w:r>
    </w:p>
    <w:p>
      <w:pPr>
        <w:widowControl/>
        <w:numPr>
          <w:ilvl w:val="0"/>
          <w:numId w:val="0"/>
        </w:numPr>
        <w:spacing w:line="480" w:lineRule="exact"/>
        <w:ind w:firstLine="440" w:firstLineChars="200"/>
        <w:jc w:val="left"/>
        <w:outlineLvl w:val="0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2.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评价的得分评定方法分为两类：一是定量指标。与年初指标值相比，完成指标值的，记该指标所赋全部分值；如果是由于年初指标值设定明显偏低造成的，要按照偏离度适度调减分值；未完成指标值的，按照完成值在指标值中所占比例记分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eastAsia="zh-CN"/>
        </w:rPr>
        <w:t>，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得分一档最高不能超过该指标分值上限。定量指标若为正向指标，则得分计算方法应用全年实际值（B）/年度指标值（A）*该指标分值；若定量指标为反向指标，则得分计算方法应用年度指标值（A）/全年实际值（B）*该指标分值。若年初指标值设定偏低，则得分计算方法应用（全年实际值（B）—年度指标值（A））/年度指标值（A）*100%。若计算结果在200%-300%（含200%）区间，则按照该指标分值的10%扣分；计算结果在300%-500%（含300%）区间，则按照该指标分值的20%扣分；计算结果高于500%（含500%），则按照该指标分值的30%扣分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480" w:lineRule="exact"/>
        <w:ind w:firstLine="440" w:firstLineChars="200"/>
        <w:textAlignment w:val="auto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二是定性指标。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highlight w:val="none"/>
        </w:rPr>
        <w:t>定性指标得分按照以下方法评定：根据指标完成情况分为达成年度指标、部分达成年度指标且有一定效果、未达成年度指标且效果较差3档，分别按照该指标对应分值区间100%-80%（含80%）、80-60%（含60%）、60%-0%合理确定分值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480" w:lineRule="exact"/>
        <w:ind w:firstLine="440" w:firstLineChars="200"/>
        <w:textAlignment w:val="auto"/>
        <w:rPr>
          <w:rFonts w:hint="eastAsia" w:ascii="宋体" w:hAnsi="宋体" w:eastAsia="宋体" w:cs="宋体"/>
          <w:color w:val="auto"/>
          <w:kern w:val="0"/>
          <w:sz w:val="22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kern w:val="0"/>
          <w:sz w:val="22"/>
          <w:szCs w:val="24"/>
          <w:highlight w:val="none"/>
        </w:rPr>
        <w:t>各项绩效指标得分汇总成该项目自评的总分。</w:t>
      </w:r>
    </w:p>
    <w:p>
      <w:pPr>
        <w:widowControl/>
        <w:numPr>
          <w:ilvl w:val="0"/>
          <w:numId w:val="0"/>
        </w:numPr>
        <w:spacing w:line="480" w:lineRule="exact"/>
        <w:ind w:firstLine="440" w:firstLineChars="200"/>
        <w:jc w:val="left"/>
        <w:outlineLvl w:val="0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3.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各部门在收集、分析上述绩效执行信息的基础上，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针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对未完成绩效目标及指标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eastAsia="zh-CN"/>
        </w:rPr>
        <w:t>，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需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在“偏差原因分析及改进措施”中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逐条分析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说明偏离目标、不能完成目标的原因及拟采取的措施。</w:t>
      </w:r>
    </w:p>
    <w:p>
      <w:pPr>
        <w:widowControl/>
        <w:numPr>
          <w:ilvl w:val="0"/>
          <w:numId w:val="0"/>
        </w:numPr>
        <w:spacing w:line="480" w:lineRule="exact"/>
        <w:ind w:firstLine="440" w:firstLineChars="200"/>
        <w:jc w:val="left"/>
        <w:outlineLvl w:val="0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4.</w:t>
      </w:r>
      <w:r>
        <w:rPr>
          <w:rFonts w:hint="eastAsia" w:ascii="宋体" w:hAnsi="宋体" w:cs="宋体"/>
          <w:color w:val="auto"/>
          <w:kern w:val="0"/>
          <w:sz w:val="22"/>
          <w:szCs w:val="24"/>
          <w:lang w:val="en-US" w:eastAsia="zh-CN"/>
        </w:rPr>
        <w:t>等级划分：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90（含）-100分为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优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、80（含）-90分为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良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、60（含）-80分为</w:t>
      </w:r>
      <w:r>
        <w:rPr>
          <w:rFonts w:hint="eastAsia" w:ascii="宋体" w:hAnsi="宋体" w:cs="宋体"/>
          <w:color w:val="auto"/>
          <w:kern w:val="0"/>
          <w:sz w:val="22"/>
          <w:szCs w:val="24"/>
          <w:lang w:val="en-US" w:eastAsia="zh-CN"/>
        </w:rPr>
        <w:t>中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、60分以下为差。</w:t>
      </w:r>
    </w:p>
    <w:p>
      <w:pPr>
        <w:spacing w:line="600" w:lineRule="exact"/>
      </w:pPr>
    </w:p>
    <w:p>
      <w:pPr>
        <w:keepNext w:val="0"/>
        <w:keepLines w:val="0"/>
        <w:pageBreakBefore w:val="0"/>
        <w:numPr>
          <w:ilvl w:val="0"/>
          <w:numId w:val="0"/>
        </w:numPr>
        <w:pBdr>
          <w:bottom w:val="single" w:color="FFFFFF" w:sz="4" w:space="17"/>
        </w:pBd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6" w:firstLineChars="0"/>
        <w:textAlignment w:val="auto"/>
        <w:rPr>
          <w:rFonts w:hint="eastAsia" w:ascii="仿宋_GB2312" w:hAnsi="Calibri" w:eastAsia="仿宋_GB2312" w:cs="Times New Roman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-SA"/>
        </w:rPr>
      </w:pPr>
    </w:p>
    <w:p>
      <w:pPr>
        <w:rPr>
          <w:rFonts w:hint="eastAsia" w:eastAsia="宋体"/>
          <w:b w:val="0"/>
          <w:bCs w:val="0"/>
          <w:lang w:val="en-US" w:eastAsia="zh-CN"/>
        </w:rPr>
      </w:pPr>
    </w:p>
    <w:sectPr>
      <w:footerReference r:id="rId3" w:type="default"/>
      <w:pgSz w:w="11906" w:h="16838"/>
      <w:pgMar w:top="1440" w:right="1803" w:bottom="1440" w:left="1803" w:header="851" w:footer="992" w:gutter="0"/>
      <w:pgNumType w:fmt="decimal"/>
      <w:cols w:space="720" w:num="1"/>
      <w:rtlGutter w:val="0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微软雅黑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Verdana">
    <w:altName w:val="DejaVu Sans"/>
    <w:panose1 w:val="020B0604030504040204"/>
    <w:charset w:val="00"/>
    <w:family w:val="swiss"/>
    <w:pitch w:val="default"/>
    <w:sig w:usb0="00000000" w:usb1="00000000" w:usb2="00000010" w:usb3="00000000" w:csb0="2000019F" w:csb1="00000000"/>
  </w:font>
  <w:font w:name="东文宋体">
    <w:altName w:val="方正书宋_GBK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微软雅黑">
    <w:panose1 w:val="020B0503020204020204"/>
    <w:charset w:val="86"/>
    <w:family w:val="auto"/>
    <w:pitch w:val="default"/>
    <w:sig w:usb0="80000287" w:usb1="28CF3C52" w:usb2="00000016" w:usb3="00000000" w:csb0="0004001F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>
                          <w:pPr>
                            <w:pStyle w:val="5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anchor="t" anchorCtr="false" upright="fals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2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false"/>
  <w:bordersDoNotSurroundFooter w:val="false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true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EDB0B63"/>
    <w:rsid w:val="01534994"/>
    <w:rsid w:val="0C8165E0"/>
    <w:rsid w:val="0F11A66B"/>
    <w:rsid w:val="205E5CB9"/>
    <w:rsid w:val="28AFE83A"/>
    <w:rsid w:val="2CBF8107"/>
    <w:rsid w:val="2D7DB677"/>
    <w:rsid w:val="2EB70209"/>
    <w:rsid w:val="30FF2B40"/>
    <w:rsid w:val="35D339CB"/>
    <w:rsid w:val="35FE9459"/>
    <w:rsid w:val="3736ADB1"/>
    <w:rsid w:val="3ADC4A70"/>
    <w:rsid w:val="3BE96097"/>
    <w:rsid w:val="3E5F57D3"/>
    <w:rsid w:val="3EEE114D"/>
    <w:rsid w:val="3FDFB0CB"/>
    <w:rsid w:val="3FF79B31"/>
    <w:rsid w:val="3FFFBDC9"/>
    <w:rsid w:val="479B9309"/>
    <w:rsid w:val="4BA31FDB"/>
    <w:rsid w:val="4BFF9656"/>
    <w:rsid w:val="537B9DA3"/>
    <w:rsid w:val="57ED7B6E"/>
    <w:rsid w:val="5A474F5C"/>
    <w:rsid w:val="5BD131A6"/>
    <w:rsid w:val="5BDFE757"/>
    <w:rsid w:val="5DDF52D1"/>
    <w:rsid w:val="5E7E458A"/>
    <w:rsid w:val="5EDB0B63"/>
    <w:rsid w:val="5F9F33EB"/>
    <w:rsid w:val="5FFBC165"/>
    <w:rsid w:val="63BF58C5"/>
    <w:rsid w:val="67085E53"/>
    <w:rsid w:val="67DDBD6F"/>
    <w:rsid w:val="6AC7B1A3"/>
    <w:rsid w:val="6B77FB6F"/>
    <w:rsid w:val="6EE9A86C"/>
    <w:rsid w:val="6FD43E60"/>
    <w:rsid w:val="72FBC7B6"/>
    <w:rsid w:val="763E871D"/>
    <w:rsid w:val="76F7A08B"/>
    <w:rsid w:val="77967276"/>
    <w:rsid w:val="77FF04D7"/>
    <w:rsid w:val="793DA9D1"/>
    <w:rsid w:val="797731A6"/>
    <w:rsid w:val="79EBFCAD"/>
    <w:rsid w:val="7B4FC02B"/>
    <w:rsid w:val="7BBD97BD"/>
    <w:rsid w:val="7BCEE390"/>
    <w:rsid w:val="7BEF17D9"/>
    <w:rsid w:val="7BFE4A5B"/>
    <w:rsid w:val="7BFFEC6B"/>
    <w:rsid w:val="7DBF4FBB"/>
    <w:rsid w:val="7DCD9330"/>
    <w:rsid w:val="7DD758A1"/>
    <w:rsid w:val="7E376954"/>
    <w:rsid w:val="7E562264"/>
    <w:rsid w:val="7E5EB5A1"/>
    <w:rsid w:val="7F2773F9"/>
    <w:rsid w:val="7F3909BD"/>
    <w:rsid w:val="7F3B2809"/>
    <w:rsid w:val="7F5F40ED"/>
    <w:rsid w:val="7F7C49BA"/>
    <w:rsid w:val="7F7EAFDA"/>
    <w:rsid w:val="7F9ADAF9"/>
    <w:rsid w:val="7FB758B6"/>
    <w:rsid w:val="7FBF70D0"/>
    <w:rsid w:val="7FF719AD"/>
    <w:rsid w:val="7FFFD071"/>
    <w:rsid w:val="9BFD2FEF"/>
    <w:rsid w:val="A8D15A4F"/>
    <w:rsid w:val="AED6D471"/>
    <w:rsid w:val="AFDDEFDC"/>
    <w:rsid w:val="AFFB6584"/>
    <w:rsid w:val="AFFF6669"/>
    <w:rsid w:val="B2DFF942"/>
    <w:rsid w:val="B5FC34C6"/>
    <w:rsid w:val="B7EA63A2"/>
    <w:rsid w:val="BAEFCA12"/>
    <w:rsid w:val="BD5D8A02"/>
    <w:rsid w:val="BF7775D4"/>
    <w:rsid w:val="BF9BFEA5"/>
    <w:rsid w:val="BFDC364D"/>
    <w:rsid w:val="D4CEDA1A"/>
    <w:rsid w:val="D5A31DC0"/>
    <w:rsid w:val="D7FF1616"/>
    <w:rsid w:val="DF5E812D"/>
    <w:rsid w:val="DFBF8962"/>
    <w:rsid w:val="DFEAA56F"/>
    <w:rsid w:val="DFFD2A18"/>
    <w:rsid w:val="E6922BE3"/>
    <w:rsid w:val="EB5BB730"/>
    <w:rsid w:val="EDFF835A"/>
    <w:rsid w:val="EEBB59E1"/>
    <w:rsid w:val="EF7BCF04"/>
    <w:rsid w:val="EFCF022D"/>
    <w:rsid w:val="EFF72C1B"/>
    <w:rsid w:val="F37B3AB2"/>
    <w:rsid w:val="F5DEA408"/>
    <w:rsid w:val="F6FF4047"/>
    <w:rsid w:val="F7E365DE"/>
    <w:rsid w:val="F879FD49"/>
    <w:rsid w:val="F9BE313E"/>
    <w:rsid w:val="FA5A168B"/>
    <w:rsid w:val="FB6F281D"/>
    <w:rsid w:val="FBF55592"/>
    <w:rsid w:val="FC9B90E9"/>
    <w:rsid w:val="FD3F40DC"/>
    <w:rsid w:val="FDFF1777"/>
    <w:rsid w:val="FEF8056D"/>
    <w:rsid w:val="FEF82787"/>
    <w:rsid w:val="FEFD3F0E"/>
    <w:rsid w:val="FFA547D9"/>
    <w:rsid w:val="FFB63D47"/>
    <w:rsid w:val="FFBDEA55"/>
    <w:rsid w:val="FFBFB4ED"/>
    <w:rsid w:val="FFEFC64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1"/>
    <w:qFormat/>
    <w:uiPriority w:val="0"/>
    <w:pPr>
      <w:ind w:firstLine="200" w:firstLineChars="200"/>
    </w:pPr>
  </w:style>
  <w:style w:type="paragraph" w:styleId="4">
    <w:name w:val="Body Text"/>
    <w:basedOn w:val="1"/>
    <w:next w:val="1"/>
    <w:qFormat/>
    <w:uiPriority w:val="0"/>
    <w:pPr>
      <w:spacing w:before="0" w:after="140" w:line="276" w:lineRule="auto"/>
    </w:p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7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10">
    <w:name w:val="Hyperlink"/>
    <w:basedOn w:val="9"/>
    <w:qFormat/>
    <w:uiPriority w:val="0"/>
    <w:rPr>
      <w:color w:val="0000FF"/>
      <w:u w:val="single"/>
    </w:rPr>
  </w:style>
  <w:style w:type="character" w:customStyle="1" w:styleId="11">
    <w:name w:val="font81"/>
    <w:basedOn w:val="9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12">
    <w:name w:val="font11"/>
    <w:basedOn w:val="9"/>
    <w:qFormat/>
    <w:uiPriority w:val="0"/>
    <w:rPr>
      <w:rFonts w:hint="eastAsia" w:ascii="仿宋_GB2312" w:eastAsia="仿宋_GB2312" w:cs="仿宋_GB2312"/>
      <w:color w:val="000000"/>
      <w:sz w:val="24"/>
      <w:szCs w:val="24"/>
      <w:u w:val="none"/>
    </w:rPr>
  </w:style>
  <w:style w:type="character" w:customStyle="1" w:styleId="13">
    <w:name w:val="font61"/>
    <w:basedOn w:val="9"/>
    <w:qFormat/>
    <w:uiPriority w:val="0"/>
    <w:rPr>
      <w:rFonts w:hint="eastAsia" w:ascii="仿宋_GB2312" w:eastAsia="仿宋_GB2312" w:cs="仿宋_GB2312"/>
      <w:color w:val="000000"/>
      <w:sz w:val="24"/>
      <w:szCs w:val="24"/>
      <w:u w:val="none"/>
    </w:rPr>
  </w:style>
  <w:style w:type="character" w:customStyle="1" w:styleId="14">
    <w:name w:val="font71"/>
    <w:basedOn w:val="9"/>
    <w:qFormat/>
    <w:uiPriority w:val="0"/>
    <w:rPr>
      <w:rFonts w:hint="eastAsia" w:ascii="宋体" w:hAnsi="宋体" w:eastAsia="宋体" w:cs="宋体"/>
      <w:color w:val="FF0000"/>
      <w:sz w:val="20"/>
      <w:szCs w:val="20"/>
      <w:u w:val="none"/>
    </w:rPr>
  </w:style>
  <w:style w:type="paragraph" w:customStyle="1" w:styleId="15">
    <w:name w:val="表格"/>
    <w:basedOn w:val="1"/>
    <w:qFormat/>
    <w:uiPriority w:val="0"/>
    <w:pPr>
      <w:autoSpaceDN w:val="0"/>
      <w:jc w:val="center"/>
    </w:pPr>
    <w:rPr>
      <w:rFonts w:ascii="Verdana" w:hAnsi="Verdana" w:eastAsia="仿宋_GB2312" w:cs="Times New Roman"/>
      <w:bCs/>
      <w:sz w:val="24"/>
      <w:szCs w:val="21"/>
      <w:lang w:eastAsia="en-US"/>
    </w:rPr>
  </w:style>
  <w:style w:type="paragraph" w:customStyle="1" w:styleId="16">
    <w:name w:val="首行缩进"/>
    <w:basedOn w:val="1"/>
    <w:qFormat/>
    <w:uiPriority w:val="0"/>
    <w:pPr>
      <w:ind w:firstLine="480"/>
    </w:pPr>
    <w:rPr>
      <w:szCs w:val="20"/>
      <w:lang w:val="zh-C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Office_11.8.2.10229_F1E327BC-269C-435d-A152-05C5408002CA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2024-03-15T03:08:00Z</dcterms:created>
  <dc:creator>user</dc:creator>
  <cp:lastModifiedBy>user</cp:lastModifiedBy>
  <cp:lastPrinted>2024-04-12T11:37:00Z</cp:lastPrinted>
  <dcterms:modified xsi:type="dcterms:W3CDTF">2025-03-10T18:02:12Z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2052-11.8.2.10229</vt:lpwstr>
  </property>
</Properties>
</file>