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b w:val="0"/>
          <w:bCs w:val="0"/>
          <w:color w:val="auto"/>
          <w:szCs w:val="30"/>
        </w:rPr>
      </w:pPr>
      <w:r>
        <w:rPr>
          <w:rFonts w:hint="eastAsia" w:ascii="方正小标宋简体" w:hAnsi="方正小标宋简体" w:eastAsia="方正小标宋简体" w:cs="方正小标宋简体"/>
          <w:b w:val="0"/>
          <w:bCs w:val="0"/>
          <w:color w:val="auto"/>
          <w:sz w:val="44"/>
          <w:szCs w:val="44"/>
          <w:lang w:val="en-US" w:eastAsia="zh-CN"/>
        </w:rPr>
        <w:t>2024年通州区财政绩效考评服务项目</w:t>
      </w:r>
      <w:r>
        <w:rPr>
          <w:rFonts w:hint="eastAsia" w:ascii="方正小标宋简体" w:hAnsi="方正小标宋简体" w:eastAsia="方正小标宋简体" w:cs="方正小标宋简体"/>
          <w:b w:val="0"/>
          <w:bCs w:val="0"/>
          <w:color w:val="auto"/>
          <w:sz w:val="44"/>
          <w:szCs w:val="44"/>
        </w:rPr>
        <w:t>绩效评价报告</w:t>
      </w:r>
    </w:p>
    <w:p>
      <w:pPr>
        <w:spacing w:line="600" w:lineRule="exact"/>
        <w:ind w:firstLine="642" w:firstLineChars="200"/>
        <w:rPr>
          <w:rFonts w:hint="eastAsia" w:ascii="方正黑体_GBK" w:hAnsi="方正黑体_GBK" w:eastAsia="方正黑体_GBK" w:cs="方正黑体_GBK"/>
          <w:b/>
          <w:color w:val="auto"/>
          <w:kern w:val="0"/>
          <w:sz w:val="32"/>
          <w:szCs w:val="32"/>
        </w:rPr>
      </w:pPr>
      <w:r>
        <w:rPr>
          <w:rFonts w:hint="eastAsia" w:ascii="黑体" w:hAnsi="黑体" w:eastAsia="黑体" w:cs="黑体"/>
          <w:b/>
          <w:color w:val="auto"/>
          <w:kern w:val="0"/>
          <w:sz w:val="32"/>
          <w:szCs w:val="32"/>
        </w:rPr>
        <w:t>一、基本情况</w:t>
      </w:r>
    </w:p>
    <w:p>
      <w:pPr>
        <w:spacing w:line="600" w:lineRule="exact"/>
        <w:ind w:firstLine="640" w:firstLineChars="200"/>
        <w:outlineLvl w:val="0"/>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（一）项目概况</w:t>
      </w:r>
    </w:p>
    <w:p>
      <w:pPr>
        <w:spacing w:line="600" w:lineRule="exact"/>
        <w:ind w:firstLine="640" w:firstLineChars="200"/>
        <w:outlineLvl w:val="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1.项目背景</w:t>
      </w:r>
    </w:p>
    <w:p>
      <w:pPr>
        <w:spacing w:line="600" w:lineRule="exact"/>
        <w:ind w:firstLine="640" w:firstLineChars="200"/>
        <w:outlineLvl w:val="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为全面落实北京市及我区全面实施预算绩效管理工作要求，进一步加强预算绩效管理，深化全成本预算绩效管理改革，实现预算和绩效管理一体化，着力提高财政资源配置效率和使用效益，根据《财政部关于贯彻落实〈中共中央 国务院关于全面实施预算绩效管理的意见〉的通知》（财预〔2018〕167号）的工作要求，以及《北京市人民政府办公厅关于推进本市预算绩效管理的意见》（京政办发〔2011〕53号）等文件规定，通州区财政局（以下简区财政局）继续开展2024年度绩效考评服务工作。</w:t>
      </w:r>
    </w:p>
    <w:p>
      <w:pPr>
        <w:numPr>
          <w:ilvl w:val="0"/>
          <w:numId w:val="1"/>
        </w:numPr>
        <w:spacing w:line="600" w:lineRule="exact"/>
        <w:ind w:firstLine="640" w:firstLineChars="200"/>
        <w:outlineLvl w:val="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项目主要内容及实施情况</w:t>
      </w:r>
    </w:p>
    <w:p>
      <w:pPr>
        <w:pStyle w:val="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由区财政局负责实施，在绩效考评工作开展过程中，通过公开招标委托专业会计师事务所或咨询公司，作为第三方中介服务机构，协助开展考评工作。项目主要内容包括：开展成本绩效分析工作、事前绩效评估、事后绩效评价等工作。</w:t>
      </w:r>
    </w:p>
    <w:p>
      <w:pPr>
        <w:pStyle w:val="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资金投入和使用情況</w:t>
      </w:r>
    </w:p>
    <w:p>
      <w:pPr>
        <w:pStyle w:val="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通州区绩效考评工作经费项目申报资金 1100.00万元，为区级财政专项资金全额拨款，区财政局财政预算批复资金1100.00万元。</w:t>
      </w:r>
    </w:p>
    <w:p>
      <w:pPr>
        <w:pStyle w:val="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项目年初预算安排1100.00万，实际支出资金1100.00万元，预算执行率为100.00%。</w:t>
      </w:r>
    </w:p>
    <w:p>
      <w:pPr>
        <w:ind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（二）绩效目标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1.总体绩效目标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按照</w:t>
      </w:r>
      <w:r>
        <w:rPr>
          <w:rFonts w:hint="eastAsia" w:ascii="仿宋_GB2312" w:hAnsi="仿宋_GB2312" w:eastAsia="仿宋_GB2312" w:cs="仿宋_GB2312"/>
          <w:kern w:val="2"/>
          <w:sz w:val="32"/>
          <w:szCs w:val="32"/>
          <w:lang w:val="en-US" w:eastAsia="zh-CN" w:bidi="ar-SA"/>
        </w:rPr>
        <w:t>通州区</w:t>
      </w:r>
      <w:r>
        <w:rPr>
          <w:rFonts w:hint="default" w:ascii="仿宋_GB2312" w:hAnsi="仿宋_GB2312" w:eastAsia="仿宋_GB2312" w:cs="仿宋_GB2312"/>
          <w:kern w:val="2"/>
          <w:sz w:val="32"/>
          <w:szCs w:val="32"/>
          <w:lang w:val="en-US" w:eastAsia="zh-CN" w:bidi="ar-SA"/>
        </w:rPr>
        <w:t>财政局党</w:t>
      </w:r>
      <w:r>
        <w:rPr>
          <w:rFonts w:hint="eastAsia" w:ascii="仿宋_GB2312" w:hAnsi="仿宋_GB2312" w:eastAsia="仿宋_GB2312" w:cs="仿宋_GB2312"/>
          <w:kern w:val="2"/>
          <w:sz w:val="32"/>
          <w:szCs w:val="32"/>
          <w:lang w:val="en-US" w:eastAsia="zh-CN" w:bidi="ar-SA"/>
        </w:rPr>
        <w:t>组</w:t>
      </w:r>
      <w:r>
        <w:rPr>
          <w:rFonts w:hint="default" w:ascii="仿宋_GB2312" w:hAnsi="仿宋_GB2312" w:eastAsia="仿宋_GB2312" w:cs="仿宋_GB2312"/>
          <w:kern w:val="2"/>
          <w:sz w:val="32"/>
          <w:szCs w:val="32"/>
          <w:lang w:val="en-US" w:eastAsia="zh-CN" w:bidi="ar-SA"/>
        </w:rPr>
        <w:t>要求，按时、保质完成 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年各项绩效考评工作任务，进一步扩大考评规模，推进预算绩效管理，提高财政资金使用效益与效果。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2.绩效指标</w:t>
      </w:r>
    </w:p>
    <w:tbl>
      <w:tblPr>
        <w:tblStyle w:val="9"/>
        <w:tblW w:w="88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956"/>
        <w:gridCol w:w="702"/>
        <w:gridCol w:w="2270"/>
        <w:gridCol w:w="4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Align w:val="center"/>
          </w:tcPr>
          <w:p>
            <w:pPr>
              <w:jc w:val="center"/>
              <w:rPr>
                <w:rFonts w:hint="eastAsia" w:asciiTheme="minorEastAsia" w:hAnsiTheme="minorEastAsia"/>
                <w:b/>
                <w:bCs/>
                <w:szCs w:val="21"/>
              </w:rPr>
            </w:pPr>
            <w:r>
              <w:rPr>
                <w:rFonts w:hint="eastAsia" w:asciiTheme="minorEastAsia" w:hAnsiTheme="minorEastAsia"/>
                <w:b/>
                <w:bCs/>
                <w:szCs w:val="21"/>
              </w:rPr>
              <w:t>一级指标</w:t>
            </w:r>
          </w:p>
        </w:tc>
        <w:tc>
          <w:tcPr>
            <w:tcW w:w="956" w:type="dxa"/>
            <w:vAlign w:val="center"/>
          </w:tcPr>
          <w:p>
            <w:pPr>
              <w:jc w:val="center"/>
              <w:rPr>
                <w:rFonts w:hint="eastAsia" w:asciiTheme="minorEastAsia" w:hAnsiTheme="minorEastAsia"/>
                <w:b/>
                <w:bCs/>
                <w:szCs w:val="21"/>
              </w:rPr>
            </w:pPr>
            <w:r>
              <w:rPr>
                <w:rFonts w:hint="eastAsia" w:asciiTheme="minorEastAsia" w:hAnsiTheme="minorEastAsia"/>
                <w:b/>
                <w:bCs/>
                <w:szCs w:val="21"/>
              </w:rPr>
              <w:t>二级指标</w:t>
            </w:r>
          </w:p>
        </w:tc>
        <w:tc>
          <w:tcPr>
            <w:tcW w:w="702" w:type="dxa"/>
            <w:vAlign w:val="center"/>
          </w:tcPr>
          <w:p>
            <w:pPr>
              <w:jc w:val="center"/>
              <w:rPr>
                <w:rFonts w:hint="eastAsia" w:asciiTheme="minorEastAsia" w:hAnsiTheme="minorEastAsia"/>
                <w:b/>
                <w:bCs/>
                <w:szCs w:val="21"/>
              </w:rPr>
            </w:pPr>
            <w:r>
              <w:rPr>
                <w:rFonts w:hint="eastAsia" w:asciiTheme="minorEastAsia" w:hAnsiTheme="minorEastAsia"/>
                <w:b/>
                <w:bCs/>
                <w:szCs w:val="21"/>
                <w:lang w:val="en-US" w:eastAsia="zh-CN"/>
              </w:rPr>
              <w:t>分值</w:t>
            </w:r>
          </w:p>
        </w:tc>
        <w:tc>
          <w:tcPr>
            <w:tcW w:w="2270" w:type="dxa"/>
            <w:vAlign w:val="center"/>
          </w:tcPr>
          <w:p>
            <w:pPr>
              <w:jc w:val="center"/>
              <w:rPr>
                <w:rFonts w:hint="eastAsia" w:asciiTheme="minorEastAsia" w:hAnsiTheme="minorEastAsia"/>
                <w:b/>
                <w:bCs/>
                <w:szCs w:val="21"/>
              </w:rPr>
            </w:pPr>
            <w:r>
              <w:rPr>
                <w:rFonts w:hint="eastAsia" w:asciiTheme="minorEastAsia" w:hAnsiTheme="minorEastAsia"/>
                <w:b/>
                <w:bCs/>
                <w:szCs w:val="21"/>
              </w:rPr>
              <w:t>三级指标</w:t>
            </w:r>
          </w:p>
        </w:tc>
        <w:tc>
          <w:tcPr>
            <w:tcW w:w="4040" w:type="dxa"/>
            <w:vAlign w:val="center"/>
          </w:tcPr>
          <w:p>
            <w:pPr>
              <w:jc w:val="center"/>
              <w:rPr>
                <w:rFonts w:hint="default" w:eastAsia="宋体" w:asciiTheme="minorEastAsia" w:hAnsiTheme="minorEastAsia"/>
                <w:b/>
                <w:bCs/>
                <w:szCs w:val="21"/>
                <w:lang w:val="en-US" w:eastAsia="zh-CN"/>
              </w:rPr>
            </w:pPr>
            <w:r>
              <w:rPr>
                <w:rFonts w:hint="eastAsia" w:asciiTheme="minorEastAsia" w:hAnsiTheme="minorEastAsia"/>
                <w:b/>
                <w:bCs/>
                <w:szCs w:val="21"/>
                <w:lang w:val="en-US" w:eastAsia="zh-CN"/>
              </w:rPr>
              <w:t>指标解释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restart"/>
            <w:vAlign w:val="center"/>
          </w:tcPr>
          <w:p>
            <w:pPr>
              <w:jc w:val="center"/>
              <w:rPr>
                <w:rFonts w:hint="eastAsia" w:asciiTheme="minorEastAsia" w:hAnsiTheme="minorEastAsia"/>
                <w:szCs w:val="21"/>
              </w:rPr>
            </w:pPr>
            <w:r>
              <w:rPr>
                <w:rFonts w:hint="eastAsia" w:asciiTheme="minorEastAsia" w:hAnsiTheme="minorEastAsia"/>
                <w:szCs w:val="21"/>
              </w:rPr>
              <w:t>决策</w:t>
            </w:r>
          </w:p>
          <w:p>
            <w:pPr>
              <w:jc w:val="center"/>
              <w:rPr>
                <w:rFonts w:hint="eastAsia" w:cs="宋体" w:asciiTheme="minorEastAsia" w:hAnsiTheme="minorEastAsia"/>
                <w:b/>
                <w:bCs/>
                <w:color w:val="000000"/>
                <w:kern w:val="0"/>
                <w:szCs w:val="21"/>
              </w:rPr>
            </w:pPr>
            <w:r>
              <w:rPr>
                <w:rFonts w:hint="eastAsia" w:asciiTheme="minorEastAsia" w:hAnsiTheme="minorEastAsia"/>
                <w:szCs w:val="21"/>
              </w:rPr>
              <w:t>（</w:t>
            </w:r>
            <w:r>
              <w:rPr>
                <w:rFonts w:hint="eastAsia" w:asciiTheme="minorEastAsia" w:hAnsiTheme="minorEastAsia"/>
                <w:szCs w:val="21"/>
                <w:lang w:val="en-US" w:eastAsia="zh-CN"/>
              </w:rPr>
              <w:t>10</w:t>
            </w:r>
            <w:r>
              <w:rPr>
                <w:rFonts w:hint="eastAsia" w:asciiTheme="minorEastAsia" w:hAnsiTheme="minorEastAsia"/>
                <w:szCs w:val="21"/>
              </w:rPr>
              <w:t>分）</w:t>
            </w:r>
          </w:p>
        </w:tc>
        <w:tc>
          <w:tcPr>
            <w:tcW w:w="956"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项目立项</w:t>
            </w: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1</w:t>
            </w:r>
          </w:p>
        </w:tc>
        <w:tc>
          <w:tcPr>
            <w:tcW w:w="2270"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立项依据充分性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项目立项是否符合法律法规、相关政策、发展规划以及部门职责，用以反映和考核项目立项依据情况。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1</w:t>
            </w:r>
          </w:p>
        </w:tc>
        <w:tc>
          <w:tcPr>
            <w:tcW w:w="2270"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立项程序规范性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项目申请、设定过程是否符合相关要求，用以反映和考核项目立项的规范情况。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绩效目标</w:t>
            </w: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2</w:t>
            </w:r>
          </w:p>
        </w:tc>
        <w:tc>
          <w:tcPr>
            <w:tcW w:w="2270"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绩效目标合理性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项目所设定的绩效目标是否依据充分，是否符合客观实际，用以反映和考核项目绩效目标与项目实施的相符情况。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2</w:t>
            </w:r>
          </w:p>
        </w:tc>
        <w:tc>
          <w:tcPr>
            <w:tcW w:w="2270"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绩效指标明确性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依据绩效目标设定的绩效指标是否清晰、细化、可衡量等，用以反映和考核项目绩效目标的明细化情况。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资金投入</w:t>
            </w: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2</w:t>
            </w:r>
          </w:p>
        </w:tc>
        <w:tc>
          <w:tcPr>
            <w:tcW w:w="2270" w:type="dxa"/>
            <w:vAlign w:val="center"/>
          </w:tcPr>
          <w:p>
            <w:pPr>
              <w:jc w:val="center"/>
              <w:rPr>
                <w:rFonts w:hint="eastAsia" w:asciiTheme="minorEastAsia" w:hAnsiTheme="minorEastAsia"/>
                <w:szCs w:val="21"/>
              </w:rPr>
            </w:pPr>
            <w:r>
              <w:rPr>
                <w:rFonts w:hint="eastAsia" w:asciiTheme="minorEastAsia" w:hAnsiTheme="minorEastAsia"/>
                <w:szCs w:val="21"/>
              </w:rPr>
              <w:t>预算编制科学性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项目预算编制是否经过科学论证、有明确标准，资金额度与年度目标是否相适应，用以反映和考核项目预算编制的科学性、合理性情况。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asciiTheme="minorEastAsia" w:hAnsiTheme="minorEastAsia"/>
                <w:szCs w:val="21"/>
              </w:rPr>
            </w:pPr>
          </w:p>
        </w:tc>
        <w:tc>
          <w:tcPr>
            <w:tcW w:w="702" w:type="dxa"/>
            <w:vAlign w:val="center"/>
          </w:tcPr>
          <w:p>
            <w:pPr>
              <w:jc w:val="center"/>
              <w:rPr>
                <w:rFonts w:hint="eastAsia" w:asciiTheme="minorEastAsia" w:hAnsiTheme="minorEastAsia"/>
                <w:szCs w:val="21"/>
                <w:lang w:val="en-US" w:eastAsia="zh-CN"/>
              </w:rPr>
            </w:pPr>
            <w:r>
              <w:rPr>
                <w:rFonts w:hint="eastAsia" w:cs="宋体" w:asciiTheme="minorEastAsia" w:hAnsiTheme="minorEastAsia"/>
                <w:bCs/>
                <w:color w:val="000000"/>
                <w:kern w:val="0"/>
                <w:szCs w:val="21"/>
                <w:lang w:val="en-US" w:eastAsia="zh-CN"/>
              </w:rPr>
              <w:t>2</w:t>
            </w:r>
          </w:p>
        </w:tc>
        <w:tc>
          <w:tcPr>
            <w:tcW w:w="2270" w:type="dxa"/>
            <w:vAlign w:val="center"/>
          </w:tcPr>
          <w:p>
            <w:pPr>
              <w:jc w:val="center"/>
              <w:rPr>
                <w:rFonts w:hint="default" w:eastAsia="宋体" w:asciiTheme="minorEastAsia" w:hAnsiTheme="minorEastAsia"/>
                <w:szCs w:val="21"/>
                <w:lang w:val="en-US" w:eastAsia="zh-CN"/>
              </w:rPr>
            </w:pPr>
            <w:r>
              <w:rPr>
                <w:rFonts w:hint="eastAsia" w:asciiTheme="minorEastAsia" w:hAnsiTheme="minorEastAsia"/>
                <w:szCs w:val="21"/>
                <w:lang w:val="en-US" w:eastAsia="zh-CN"/>
              </w:rPr>
              <w:t>资金分配合理性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项目预算资金分配是否有测算依据，与单位或地方实际相适应，用以反映和考核项目预算资金分配的科学性、合理性情况。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过程</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cs="宋体" w:asciiTheme="minorEastAsia" w:hAnsiTheme="minorEastAsia"/>
                <w:color w:val="000000"/>
                <w:kern w:val="0"/>
                <w:szCs w:val="21"/>
                <w:lang w:val="en-US" w:eastAsia="zh-CN"/>
              </w:rPr>
              <w:t>20</w:t>
            </w:r>
            <w:r>
              <w:rPr>
                <w:rFonts w:hint="eastAsia" w:asciiTheme="minorEastAsia" w:hAnsiTheme="minorEastAsia"/>
                <w:szCs w:val="21"/>
              </w:rPr>
              <w:t>分</w:t>
            </w:r>
            <w:r>
              <w:rPr>
                <w:rFonts w:hint="eastAsia" w:cs="宋体" w:asciiTheme="minorEastAsia" w:hAnsiTheme="minorEastAsia"/>
                <w:color w:val="000000"/>
                <w:kern w:val="0"/>
                <w:szCs w:val="21"/>
              </w:rPr>
              <w:t>）</w:t>
            </w:r>
          </w:p>
        </w:tc>
        <w:tc>
          <w:tcPr>
            <w:tcW w:w="956"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资金管理</w:t>
            </w:r>
          </w:p>
        </w:tc>
        <w:tc>
          <w:tcPr>
            <w:tcW w:w="702" w:type="dxa"/>
            <w:vAlign w:val="center"/>
          </w:tcPr>
          <w:p>
            <w:pPr>
              <w:jc w:val="center"/>
              <w:rPr>
                <w:rFonts w:hint="eastAsia" w:asciiTheme="minorEastAsia" w:hAnsiTheme="minorEastAsia"/>
                <w:szCs w:val="21"/>
                <w:lang w:val="en-US" w:eastAsia="zh-CN"/>
              </w:rPr>
            </w:pPr>
            <w:r>
              <w:rPr>
                <w:rFonts w:hint="eastAsia" w:cs="宋体" w:asciiTheme="minorEastAsia" w:hAnsiTheme="minorEastAsia"/>
                <w:bCs/>
                <w:color w:val="000000"/>
                <w:kern w:val="0"/>
                <w:szCs w:val="21"/>
                <w:lang w:val="en-US" w:eastAsia="zh-CN"/>
              </w:rPr>
              <w:t>2</w:t>
            </w:r>
          </w:p>
        </w:tc>
        <w:tc>
          <w:tcPr>
            <w:tcW w:w="2270" w:type="dxa"/>
            <w:vAlign w:val="center"/>
          </w:tcPr>
          <w:p>
            <w:pPr>
              <w:jc w:val="center"/>
              <w:rPr>
                <w:rFonts w:hint="default" w:eastAsia="宋体" w:asciiTheme="minorEastAsia" w:hAnsiTheme="minorEastAsia"/>
                <w:szCs w:val="21"/>
                <w:lang w:val="en-US" w:eastAsia="zh-CN"/>
              </w:rPr>
            </w:pPr>
            <w:r>
              <w:rPr>
                <w:rFonts w:hint="eastAsia" w:asciiTheme="minorEastAsia" w:hAnsiTheme="minorEastAsia"/>
                <w:szCs w:val="21"/>
                <w:lang w:val="en-US" w:eastAsia="zh-CN"/>
              </w:rPr>
              <w:t>资金到位率</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实际到位资金与预算资金的比率，用以反映和考核资金落实情况对项目实施的总体保障程度。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4</w:t>
            </w:r>
          </w:p>
        </w:tc>
        <w:tc>
          <w:tcPr>
            <w:tcW w:w="2270"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预算执行率</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项目预算资金是否按照计划执行，用以反映或考核项目预算执行情况。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4</w:t>
            </w:r>
          </w:p>
        </w:tc>
        <w:tc>
          <w:tcPr>
            <w:tcW w:w="2270"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资金使用合规性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项目资金使用是否符合相关的财务管理制度规定，用以反映和考核项目资金的规范运行情况。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restart"/>
            <w:vAlign w:val="center"/>
          </w:tcPr>
          <w:p>
            <w:pPr>
              <w:jc w:val="center"/>
              <w:rPr>
                <w:rFonts w:hint="default" w:eastAsia="宋体" w:asciiTheme="minorEastAsia" w:hAnsiTheme="minorEastAsia"/>
                <w:kern w:val="0"/>
                <w:szCs w:val="21"/>
                <w:lang w:val="en-US" w:eastAsia="zh-CN"/>
              </w:rPr>
            </w:pPr>
            <w:r>
              <w:rPr>
                <w:rFonts w:hint="eastAsia" w:asciiTheme="minorEastAsia" w:hAnsiTheme="minorEastAsia"/>
                <w:szCs w:val="21"/>
                <w:lang w:val="en-US" w:eastAsia="zh-CN"/>
              </w:rPr>
              <w:t>组织实施</w:t>
            </w: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3</w:t>
            </w:r>
          </w:p>
        </w:tc>
        <w:tc>
          <w:tcPr>
            <w:tcW w:w="2270"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管理制度健全性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项目实施单位的财务和业务管理制度是否健全，用以反映和考核财务和业务管理制度对项目顺利实施的保障程度。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Theme="minorEastAsia" w:hAnsiTheme="minorEastAsia"/>
                <w:szCs w:val="21"/>
              </w:rPr>
            </w:pPr>
            <w:r>
              <w:rPr>
                <w:rFonts w:hint="eastAsia" w:cs="宋体" w:asciiTheme="minorEastAsia" w:hAnsiTheme="minorEastAsia"/>
                <w:bCs/>
                <w:color w:val="000000"/>
                <w:kern w:val="0"/>
                <w:szCs w:val="21"/>
                <w:lang w:val="en-US" w:eastAsia="zh-CN"/>
              </w:rPr>
              <w:t>7</w:t>
            </w:r>
          </w:p>
        </w:tc>
        <w:tc>
          <w:tcPr>
            <w:tcW w:w="2270" w:type="dxa"/>
            <w:vAlign w:val="center"/>
          </w:tcPr>
          <w:p>
            <w:pPr>
              <w:jc w:val="center"/>
              <w:rPr>
                <w:rFonts w:hint="eastAsia" w:asciiTheme="minorEastAsia" w:hAnsiTheme="minorEastAsia"/>
                <w:szCs w:val="21"/>
              </w:rPr>
            </w:pPr>
            <w:r>
              <w:rPr>
                <w:rFonts w:hint="eastAsia" w:asciiTheme="minorEastAsia" w:hAnsiTheme="minorEastAsia"/>
                <w:szCs w:val="21"/>
              </w:rPr>
              <w:t>制度执行有效性</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项目实施是否符合相关管理规定，用以反映和考核相关管理制度的有效执行情况。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产出</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asciiTheme="minorEastAsia" w:hAnsiTheme="minorEastAsia"/>
                <w:szCs w:val="21"/>
                <w:lang w:val="en-US" w:eastAsia="zh-CN"/>
              </w:rPr>
              <w:t>4</w:t>
            </w:r>
            <w:r>
              <w:rPr>
                <w:rFonts w:hint="eastAsia" w:asciiTheme="minorEastAsia" w:hAnsiTheme="minorEastAsia"/>
                <w:szCs w:val="21"/>
              </w:rPr>
              <w:t>0分</w:t>
            </w:r>
            <w:r>
              <w:rPr>
                <w:rFonts w:hint="eastAsia" w:cs="宋体" w:asciiTheme="minorEastAsia" w:hAnsiTheme="minorEastAsia"/>
                <w:color w:val="000000"/>
                <w:kern w:val="0"/>
                <w:szCs w:val="21"/>
              </w:rPr>
              <w:t>）</w:t>
            </w:r>
          </w:p>
        </w:tc>
        <w:tc>
          <w:tcPr>
            <w:tcW w:w="956"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产出数量</w:t>
            </w: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10</w:t>
            </w:r>
          </w:p>
        </w:tc>
        <w:tc>
          <w:tcPr>
            <w:tcW w:w="2270"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开展绩效评价、事前评估和成本分析项目个数</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项目实施的实际实施项目数与计划项目数的比率，用以反映和考核项目的产出数量目标的实现程度。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产出质量</w:t>
            </w: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10</w:t>
            </w:r>
          </w:p>
        </w:tc>
        <w:tc>
          <w:tcPr>
            <w:tcW w:w="2270"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报告验收合格率</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项目实际验收合格的报告数量与项目全部报告数量的比率，用以反映和考核项目质量目标的实现程度。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产出时效</w:t>
            </w: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8</w:t>
            </w:r>
          </w:p>
        </w:tc>
        <w:tc>
          <w:tcPr>
            <w:tcW w:w="2270"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12月前完成全部工作</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项目实际完成时间与计划完成时间的比较，用以反映和考核项目产出时效目标的实现程度。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restart"/>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产出成本</w:t>
            </w: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6</w:t>
            </w:r>
          </w:p>
        </w:tc>
        <w:tc>
          <w:tcPr>
            <w:tcW w:w="2270"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预算成本控制数</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完成项目计划工作目标的实际成本在预算金额范围内，用以反映和考核项目的成本控制情况。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6</w:t>
            </w:r>
          </w:p>
        </w:tc>
        <w:tc>
          <w:tcPr>
            <w:tcW w:w="2270"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公开招标采购率</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项目公开招标采购率，用以反映和考核项目公开招标采购情况。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效益</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asciiTheme="minorEastAsia" w:hAnsiTheme="minorEastAsia"/>
                <w:szCs w:val="21"/>
              </w:rPr>
              <w:t>30分</w:t>
            </w:r>
            <w:r>
              <w:rPr>
                <w:rFonts w:hint="eastAsia" w:cs="宋体" w:asciiTheme="minorEastAsia" w:hAnsiTheme="minorEastAsia"/>
                <w:color w:val="000000"/>
                <w:kern w:val="0"/>
                <w:szCs w:val="21"/>
              </w:rPr>
              <w:t>）</w:t>
            </w:r>
          </w:p>
        </w:tc>
        <w:tc>
          <w:tcPr>
            <w:tcW w:w="956" w:type="dxa"/>
            <w:vMerge w:val="restart"/>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lang w:val="en-US" w:eastAsia="zh-CN"/>
              </w:rPr>
              <w:t>项目</w:t>
            </w:r>
            <w:r>
              <w:rPr>
                <w:rFonts w:hint="eastAsia" w:cs="宋体" w:asciiTheme="minorEastAsia" w:hAnsiTheme="minorEastAsia"/>
                <w:color w:val="000000"/>
                <w:kern w:val="0"/>
                <w:szCs w:val="21"/>
              </w:rPr>
              <w:t>效益</w:t>
            </w: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10</w:t>
            </w:r>
          </w:p>
        </w:tc>
        <w:tc>
          <w:tcPr>
            <w:tcW w:w="2270" w:type="dxa"/>
            <w:vAlign w:val="center"/>
          </w:tcPr>
          <w:p>
            <w:pPr>
              <w:jc w:val="center"/>
              <w:rPr>
                <w:rFonts w:hint="eastAsia" w:cs="宋体" w:asciiTheme="minorEastAsia" w:hAnsiTheme="minorEastAsia"/>
                <w:bCs/>
                <w:color w:val="000000"/>
                <w:kern w:val="0"/>
                <w:szCs w:val="21"/>
              </w:rPr>
            </w:pPr>
            <w:r>
              <w:rPr>
                <w:rFonts w:hint="eastAsia" w:ascii="宋体" w:hAnsi="宋体" w:eastAsia="宋体" w:cs="宋体"/>
                <w:i w:val="0"/>
                <w:color w:val="000000"/>
                <w:kern w:val="0"/>
                <w:sz w:val="18"/>
                <w:szCs w:val="18"/>
                <w:u w:val="none"/>
                <w:lang w:val="en-US" w:eastAsia="zh-CN" w:bidi="ar"/>
              </w:rPr>
              <w:t>绩效考评结果有效应用，推动财政资金聚力增效，为通州区高质量发展提供有力保障</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项目实施所产生的经济效益，用以反映和考核项目实施的经济效益情况。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color w:val="000000"/>
                <w:kern w:val="0"/>
                <w:szCs w:val="21"/>
              </w:rPr>
            </w:pPr>
          </w:p>
        </w:tc>
        <w:tc>
          <w:tcPr>
            <w:tcW w:w="956" w:type="dxa"/>
            <w:vMerge w:val="continue"/>
            <w:vAlign w:val="center"/>
          </w:tcPr>
          <w:p>
            <w:pPr>
              <w:jc w:val="center"/>
              <w:rPr>
                <w:rFonts w:hint="eastAsia" w:cs="宋体" w:asciiTheme="minorEastAsia" w:hAnsiTheme="minorEastAsia"/>
                <w:color w:val="000000"/>
                <w:kern w:val="0"/>
                <w:szCs w:val="21"/>
              </w:rPr>
            </w:pP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5</w:t>
            </w:r>
          </w:p>
        </w:tc>
        <w:tc>
          <w:tcPr>
            <w:tcW w:w="2270" w:type="dxa"/>
            <w:vAlign w:val="center"/>
          </w:tcPr>
          <w:p>
            <w:pPr>
              <w:jc w:val="center"/>
              <w:rPr>
                <w:rFonts w:hint="eastAsia" w:cs="宋体" w:asciiTheme="minorEastAsia" w:hAnsiTheme="minorEastAsia"/>
                <w:color w:val="000000"/>
                <w:kern w:val="0"/>
                <w:szCs w:val="21"/>
              </w:rPr>
            </w:pPr>
            <w:r>
              <w:rPr>
                <w:rFonts w:hint="eastAsia" w:ascii="宋体" w:hAnsi="宋体" w:eastAsia="宋体" w:cs="宋体"/>
                <w:i w:val="0"/>
                <w:color w:val="000000"/>
                <w:kern w:val="0"/>
                <w:sz w:val="18"/>
                <w:szCs w:val="18"/>
                <w:u w:val="none"/>
                <w:lang w:val="en-US" w:eastAsia="zh-CN" w:bidi="ar"/>
              </w:rPr>
              <w:t>持续增强政府公信力和执行力</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项目实施所产生的可持续影响，用以反映和考核项目实施产生影响的可持续性。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10</w:t>
            </w:r>
          </w:p>
        </w:tc>
        <w:tc>
          <w:tcPr>
            <w:tcW w:w="2270" w:type="dxa"/>
            <w:vAlign w:val="center"/>
          </w:tcPr>
          <w:p>
            <w:pPr>
              <w:jc w:val="center"/>
              <w:rPr>
                <w:rFonts w:hint="eastAsia" w:cs="宋体" w:asciiTheme="minorEastAsia" w:hAnsiTheme="minorEastAsia"/>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优化财政资源配置和使用效益、提升公共服务质量</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项目实施所产生的社会效益，用以反映和考核项目实施的社会效益情况。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 w:type="dxa"/>
            <w:vMerge w:val="continue"/>
            <w:vAlign w:val="center"/>
          </w:tcPr>
          <w:p>
            <w:pPr>
              <w:jc w:val="center"/>
              <w:rPr>
                <w:rFonts w:hint="eastAsia" w:cs="宋体" w:asciiTheme="minorEastAsia" w:hAnsiTheme="minorEastAsia"/>
                <w:b/>
                <w:bCs/>
                <w:color w:val="000000"/>
                <w:kern w:val="0"/>
                <w:szCs w:val="21"/>
              </w:rPr>
            </w:pPr>
          </w:p>
        </w:tc>
        <w:tc>
          <w:tcPr>
            <w:tcW w:w="956" w:type="dxa"/>
            <w:vMerge w:val="continue"/>
            <w:vAlign w:val="center"/>
          </w:tcPr>
          <w:p>
            <w:pPr>
              <w:jc w:val="center"/>
              <w:rPr>
                <w:rFonts w:hint="eastAsia" w:cs="宋体" w:asciiTheme="minorEastAsia" w:hAnsiTheme="minorEastAsia"/>
                <w:b/>
                <w:bCs/>
                <w:color w:val="000000"/>
                <w:kern w:val="0"/>
                <w:szCs w:val="21"/>
              </w:rPr>
            </w:pPr>
          </w:p>
        </w:tc>
        <w:tc>
          <w:tcPr>
            <w:tcW w:w="702"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cs="宋体" w:asciiTheme="minorEastAsia" w:hAnsiTheme="minorEastAsia"/>
                <w:bCs/>
                <w:color w:val="000000"/>
                <w:kern w:val="0"/>
                <w:szCs w:val="21"/>
                <w:lang w:val="en-US" w:eastAsia="zh-CN"/>
              </w:rPr>
              <w:t>5</w:t>
            </w:r>
          </w:p>
        </w:tc>
        <w:tc>
          <w:tcPr>
            <w:tcW w:w="2270" w:type="dxa"/>
            <w:vAlign w:val="center"/>
          </w:tcPr>
          <w:p>
            <w:pPr>
              <w:jc w:val="center"/>
              <w:rPr>
                <w:rFonts w:hint="default" w:eastAsia="宋体" w:cs="宋体" w:asciiTheme="minorEastAsia" w:hAnsiTheme="minorEastAsia"/>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被评单位满意度</w:t>
            </w:r>
          </w:p>
        </w:tc>
        <w:tc>
          <w:tcPr>
            <w:tcW w:w="4040"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项目实施被评单位的满意度，用以反映和考核被评单位对项目实施的满意度。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84" w:type="dxa"/>
            <w:gridSpan w:val="2"/>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b/>
                <w:color w:val="000000"/>
                <w:kern w:val="0"/>
                <w:szCs w:val="21"/>
              </w:rPr>
              <w:t>合计</w:t>
            </w:r>
          </w:p>
        </w:tc>
        <w:tc>
          <w:tcPr>
            <w:tcW w:w="702" w:type="dxa"/>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bCs/>
                <w:color w:val="000000"/>
                <w:kern w:val="0"/>
                <w:szCs w:val="21"/>
                <w:lang w:val="en-US" w:eastAsia="zh-CN"/>
              </w:rPr>
              <w:t>100</w:t>
            </w:r>
          </w:p>
        </w:tc>
        <w:tc>
          <w:tcPr>
            <w:tcW w:w="2270" w:type="dxa"/>
            <w:vAlign w:val="center"/>
          </w:tcPr>
          <w:p>
            <w:pPr>
              <w:jc w:val="center"/>
              <w:rPr>
                <w:rFonts w:hint="eastAsia" w:cs="宋体" w:asciiTheme="minorEastAsia" w:hAnsiTheme="minorEastAsia"/>
                <w:color w:val="000000"/>
                <w:kern w:val="0"/>
                <w:szCs w:val="21"/>
              </w:rPr>
            </w:pPr>
          </w:p>
        </w:tc>
        <w:tc>
          <w:tcPr>
            <w:tcW w:w="4040" w:type="dxa"/>
            <w:vAlign w:val="center"/>
          </w:tcPr>
          <w:p>
            <w:pPr>
              <w:jc w:val="center"/>
              <w:rPr>
                <w:rFonts w:hint="eastAsia" w:cs="宋体" w:asciiTheme="minorEastAsia" w:hAnsiTheme="minorEastAsia"/>
                <w:bCs/>
                <w:color w:val="000000"/>
                <w:kern w:val="0"/>
                <w:szCs w:val="21"/>
              </w:rPr>
            </w:pPr>
          </w:p>
        </w:tc>
      </w:tr>
    </w:tbl>
    <w:p>
      <w:pPr>
        <w:pStyle w:val="3"/>
        <w:rPr>
          <w:rFonts w:hint="default"/>
          <w:lang w:val="en-US" w:eastAsia="zh-CN"/>
        </w:rPr>
      </w:pPr>
    </w:p>
    <w:p>
      <w:pPr>
        <w:rPr>
          <w:rFonts w:hint="default"/>
          <w:lang w:val="en-US" w:eastAsia="zh-CN"/>
        </w:rPr>
      </w:pPr>
    </w:p>
    <w:p>
      <w:pPr>
        <w:rPr>
          <w:rFonts w:hint="default"/>
          <w:lang w:val="en-US" w:eastAsia="zh-CN"/>
        </w:rPr>
      </w:pPr>
    </w:p>
    <w:p>
      <w:pPr>
        <w:spacing w:line="600" w:lineRule="exact"/>
        <w:ind w:firstLine="642" w:firstLineChars="200"/>
        <w:rPr>
          <w:rFonts w:hint="default" w:ascii="黑体" w:hAnsi="黑体" w:eastAsia="黑体" w:cs="黑体"/>
          <w:b/>
          <w:color w:val="auto"/>
          <w:kern w:val="0"/>
          <w:sz w:val="32"/>
          <w:szCs w:val="32"/>
          <w:lang w:val="en-US" w:eastAsia="zh-CN"/>
        </w:rPr>
      </w:pPr>
      <w:r>
        <w:rPr>
          <w:rFonts w:hint="default" w:ascii="黑体" w:hAnsi="黑体" w:eastAsia="黑体" w:cs="黑体"/>
          <w:b/>
          <w:color w:val="auto"/>
          <w:kern w:val="0"/>
          <w:sz w:val="32"/>
          <w:szCs w:val="32"/>
          <w:lang w:val="en-US" w:eastAsia="zh-CN"/>
        </w:rPr>
        <w:t>二、绩效评价工作开展情况</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（一）绩效评价目的、对象和范围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1.评价目的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通过绩效评价，衡量和考核项目单位使用财政资金的绩效实现情况，了解、分析和检验资金使用是否达到预期目标，资金管理是否规范，资金使用是否有效。通过对项目决策、项目管理、项目绩效三方面进行评价，发现问题，提出改进意见和建议，促进预算资金分配的规范化、资源配置的合理性，采取切实措施进一步改进和加强财政支出项目管理，从而有效提高财政资金的使用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 评价对象和范围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本次绩效评价对象为区财政局 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年度实施的“通州区</w:t>
      </w:r>
      <w:r>
        <w:rPr>
          <w:rFonts w:hint="eastAsia" w:ascii="仿宋_GB2312" w:hAnsi="仿宋_GB2312" w:eastAsia="仿宋_GB2312" w:cs="仿宋_GB2312"/>
          <w:kern w:val="2"/>
          <w:sz w:val="32"/>
          <w:szCs w:val="32"/>
          <w:lang w:val="en-US" w:eastAsia="zh-CN" w:bidi="ar-SA"/>
        </w:rPr>
        <w:t>财政绩效管理服务</w:t>
      </w:r>
      <w:r>
        <w:rPr>
          <w:rFonts w:hint="default" w:ascii="仿宋_GB2312" w:hAnsi="仿宋_GB2312" w:eastAsia="仿宋_GB2312" w:cs="仿宋_GB2312"/>
          <w:kern w:val="2"/>
          <w:sz w:val="32"/>
          <w:szCs w:val="32"/>
          <w:lang w:val="en-US" w:eastAsia="zh-CN" w:bidi="ar-SA"/>
        </w:rPr>
        <w:t>”项目，评价金额1100.00万元。评价时间范围为202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年1月1日-202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年12月31日。</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（二）绩效评价原则、评价方法、评价指标体系及评价标准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 评价原则和方法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本次评价工作遵循“客观、公正、科学、规范”的原则，通过对项目的经济性、效率性、效益性的比较和分析，考核支出效率和支出效果。结合本项目特点，评价方法主要采用目标预定与实施效果比较的方法，进行定性分析和定量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 评价指标体系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本次绩效评价主要以《北京市通州区预算绩效管理办法》通财绩效发〔2023〕34号项目支出绩效评价指标体系框架为依据，结合通州区绩效考评工作经费项目的特点及资金使用的具体情况，以资金使用结果为导向，设定了本次评价指标内容和权重，重点对项目决策、项目过程、项目产出、项目效益进行综合评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3. 评价标准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绩效评价标准通常包括计划标准、行业标准、历史标准等，用于对绩效指标完成情况进行比较。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（1）计划标准。指以预先制定的目标、计划、预算、定额作为评价标准。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（3）历史标准。指参照历史数据制定的评价标准，为体现绩效改进的原则，在可实现的条件下应当确定相对</w:t>
      </w:r>
      <w:r>
        <w:rPr>
          <w:rFonts w:hint="eastAsia" w:ascii="仿宋_GB2312" w:hAnsi="仿宋_GB2312" w:eastAsia="仿宋_GB2312" w:cs="仿宋_GB2312"/>
          <w:kern w:val="2"/>
          <w:sz w:val="32"/>
          <w:szCs w:val="32"/>
          <w:lang w:val="en-US" w:eastAsia="zh-CN" w:bidi="ar-SA"/>
        </w:rPr>
        <w:t>较高</w:t>
      </w:r>
      <w:r>
        <w:rPr>
          <w:rFonts w:hint="default" w:ascii="仿宋_GB2312" w:hAnsi="仿宋_GB2312" w:eastAsia="仿宋_GB2312" w:cs="仿宋_GB2312"/>
          <w:kern w:val="2"/>
          <w:sz w:val="32"/>
          <w:szCs w:val="32"/>
          <w:lang w:val="en-US" w:eastAsia="zh-CN" w:bidi="ar-SA"/>
        </w:rPr>
        <w:t>的评价标准。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（4）财政部门和预算部门确认或认可的其他标准。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（三）绩效评价工作过程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w:t>
      </w:r>
      <w:r>
        <w:rPr>
          <w:rFonts w:hint="default" w:ascii="仿宋_GB2312" w:hAnsi="仿宋_GB2312" w:eastAsia="仿宋_GB2312" w:cs="仿宋_GB2312"/>
          <w:kern w:val="2"/>
          <w:sz w:val="32"/>
          <w:szCs w:val="32"/>
          <w:lang w:val="en-US" w:eastAsia="zh-CN" w:bidi="ar-SA"/>
        </w:rPr>
        <w:t>前期准备。成立部门绩效评价小组，学习评价指标体系和绩效相关文件通知。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r>
        <w:rPr>
          <w:rFonts w:hint="default" w:ascii="仿宋_GB2312" w:hAnsi="仿宋_GB2312" w:eastAsia="仿宋_GB2312" w:cs="仿宋_GB2312"/>
          <w:kern w:val="2"/>
          <w:sz w:val="32"/>
          <w:szCs w:val="32"/>
          <w:lang w:val="en-US" w:eastAsia="zh-CN" w:bidi="ar-SA"/>
        </w:rPr>
        <w:t>组织实施。按照规定的工作程序组织绩效评价自评，注重评价质量，撰写绩效评价报告。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w:t>
      </w:r>
      <w:r>
        <w:rPr>
          <w:rFonts w:hint="default" w:ascii="仿宋_GB2312" w:hAnsi="仿宋_GB2312" w:eastAsia="仿宋_GB2312" w:cs="仿宋_GB2312"/>
          <w:kern w:val="2"/>
          <w:sz w:val="32"/>
          <w:szCs w:val="32"/>
          <w:lang w:val="en-US" w:eastAsia="zh-CN" w:bidi="ar-SA"/>
        </w:rPr>
        <w:t>分析评价。对评价结果进行整改，充分运用分析评价引领。</w:t>
      </w:r>
    </w:p>
    <w:p>
      <w:pPr>
        <w:spacing w:line="600" w:lineRule="exact"/>
        <w:ind w:firstLine="642" w:firstLineChars="200"/>
        <w:rPr>
          <w:rFonts w:hint="default" w:ascii="黑体" w:hAnsi="黑体" w:eastAsia="黑体" w:cs="黑体"/>
          <w:b/>
          <w:color w:val="auto"/>
          <w:kern w:val="0"/>
          <w:sz w:val="32"/>
          <w:szCs w:val="32"/>
          <w:lang w:val="en-US" w:eastAsia="zh-CN"/>
        </w:rPr>
      </w:pPr>
      <w:r>
        <w:rPr>
          <w:rFonts w:hint="default" w:ascii="黑体" w:hAnsi="黑体" w:eastAsia="黑体" w:cs="黑体"/>
          <w:b/>
          <w:color w:val="auto"/>
          <w:kern w:val="0"/>
          <w:sz w:val="32"/>
          <w:szCs w:val="32"/>
          <w:lang w:val="en-US" w:eastAsia="zh-CN"/>
        </w:rPr>
        <w:t>三、综合评价情况及评价结论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该项目立项决策依据比较充分，立项程序比较规范。绩效目标比较合理，绩效指标比较细化、量化。预算编制比较科学，资金分配比较合理。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项目资金足额、及时到位，预算执行率为</w:t>
      </w:r>
      <w:r>
        <w:rPr>
          <w:rFonts w:hint="eastAsia" w:ascii="仿宋_GB2312" w:hAnsi="仿宋_GB2312" w:eastAsia="仿宋_GB2312" w:cs="仿宋_GB2312"/>
          <w:kern w:val="2"/>
          <w:sz w:val="32"/>
          <w:szCs w:val="32"/>
          <w:lang w:val="en-US" w:eastAsia="zh-CN" w:bidi="ar-SA"/>
        </w:rPr>
        <w:t>100.00</w:t>
      </w:r>
      <w:r>
        <w:rPr>
          <w:rFonts w:hint="default" w:ascii="仿宋_GB2312" w:hAnsi="仿宋_GB2312" w:eastAsia="仿宋_GB2312" w:cs="仿宋_GB2312"/>
          <w:kern w:val="2"/>
          <w:sz w:val="32"/>
          <w:szCs w:val="32"/>
          <w:lang w:val="en-US" w:eastAsia="zh-CN" w:bidi="ar-SA"/>
        </w:rPr>
        <w:t>%，资金使用合规。项目管理制度比较完善，项目管理比较规范。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该项目较好地完成了绩效产出目标，完成财政</w:t>
      </w:r>
      <w:r>
        <w:rPr>
          <w:rFonts w:hint="eastAsia" w:ascii="仿宋_GB2312" w:hAnsi="仿宋_GB2312" w:eastAsia="仿宋_GB2312" w:cs="仿宋_GB2312"/>
          <w:kern w:val="2"/>
          <w:sz w:val="32"/>
          <w:szCs w:val="32"/>
          <w:lang w:val="en-US" w:eastAsia="zh-CN" w:bidi="ar-SA"/>
        </w:rPr>
        <w:t>支出</w:t>
      </w:r>
      <w:r>
        <w:rPr>
          <w:rFonts w:hint="default" w:ascii="仿宋_GB2312" w:hAnsi="仿宋_GB2312" w:eastAsia="仿宋_GB2312" w:cs="仿宋_GB2312"/>
          <w:kern w:val="2"/>
          <w:sz w:val="32"/>
          <w:szCs w:val="32"/>
          <w:lang w:val="en-US" w:eastAsia="zh-CN" w:bidi="ar-SA"/>
        </w:rPr>
        <w:t>项目绩效评价、事前绩效评估、全成本预算绩效管理。实现了预期效益，202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年通州区绩效管理工作</w:t>
      </w:r>
      <w:r>
        <w:rPr>
          <w:rFonts w:hint="eastAsia" w:ascii="仿宋_GB2312" w:hAnsi="仿宋_GB2312" w:eastAsia="仿宋_GB2312" w:cs="仿宋_GB2312"/>
          <w:kern w:val="2"/>
          <w:sz w:val="32"/>
          <w:szCs w:val="32"/>
          <w:lang w:val="en-US" w:eastAsia="zh-CN" w:bidi="ar-SA"/>
        </w:rPr>
        <w:t>中的水处理领域成本分析工作被市财政局评为区级成本绩效分析区级优秀案例</w:t>
      </w:r>
      <w:r>
        <w:rPr>
          <w:rFonts w:hint="default" w:ascii="仿宋_GB2312" w:hAnsi="仿宋_GB2312" w:eastAsia="仿宋_GB2312" w:cs="仿宋_GB2312"/>
          <w:kern w:val="2"/>
          <w:sz w:val="32"/>
          <w:szCs w:val="32"/>
          <w:lang w:val="en-US" w:eastAsia="zh-CN" w:bidi="ar-SA"/>
        </w:rPr>
        <w:t>。但对事后评价项目的结果应用情况体现充分性仍有提升空间，各项目单位对评价结论的整改落实情况在预算管理中体现尚不够充分。</w:t>
      </w:r>
    </w:p>
    <w:p>
      <w:pPr>
        <w:ind w:firstLine="640" w:firstLineChars="200"/>
        <w:rPr>
          <w:rFonts w:hint="default"/>
          <w:lang w:val="en-US" w:eastAsia="zh-CN"/>
        </w:rPr>
      </w:pPr>
      <w:r>
        <w:rPr>
          <w:rFonts w:hint="default" w:ascii="仿宋_GB2312" w:hAnsi="仿宋_GB2312" w:eastAsia="仿宋_GB2312" w:cs="仿宋_GB2312"/>
          <w:kern w:val="2"/>
          <w:sz w:val="32"/>
          <w:szCs w:val="32"/>
          <w:lang w:val="en-US" w:eastAsia="zh-CN" w:bidi="ar-SA"/>
        </w:rPr>
        <w:t xml:space="preserve">该项目绩效评价得分为 </w:t>
      </w:r>
      <w:r>
        <w:rPr>
          <w:rFonts w:hint="eastAsia" w:ascii="仿宋_GB2312" w:hAnsi="仿宋_GB2312" w:eastAsia="仿宋_GB2312" w:cs="仿宋_GB2312"/>
          <w:kern w:val="2"/>
          <w:sz w:val="32"/>
          <w:szCs w:val="32"/>
          <w:lang w:val="en-US" w:eastAsia="zh-CN" w:bidi="ar-SA"/>
        </w:rPr>
        <w:t>96.5</w:t>
      </w:r>
      <w:r>
        <w:rPr>
          <w:rFonts w:hint="default" w:ascii="仿宋_GB2312" w:hAnsi="仿宋_GB2312" w:eastAsia="仿宋_GB2312" w:cs="仿宋_GB2312"/>
          <w:kern w:val="2"/>
          <w:sz w:val="32"/>
          <w:szCs w:val="32"/>
          <w:lang w:val="en-US" w:eastAsia="zh-CN" w:bidi="ar-SA"/>
        </w:rPr>
        <w:t>分，综合绩效级别为“优”。</w:t>
      </w:r>
    </w:p>
    <w:p>
      <w:pPr>
        <w:rPr>
          <w:rFonts w:hint="default"/>
          <w:lang w:val="en-US" w:eastAsia="zh-CN"/>
        </w:rPr>
      </w:pPr>
    </w:p>
    <w:p>
      <w:pPr>
        <w:rPr>
          <w:rFonts w:hint="default"/>
          <w:lang w:val="en-US" w:eastAsia="zh-CN"/>
        </w:rPr>
      </w:pPr>
    </w:p>
    <w:tbl>
      <w:tblPr>
        <w:tblStyle w:val="9"/>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1559"/>
        <w:gridCol w:w="2987"/>
        <w:gridCol w:w="146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Align w:val="center"/>
          </w:tcPr>
          <w:p>
            <w:pPr>
              <w:jc w:val="center"/>
              <w:rPr>
                <w:rFonts w:hint="eastAsia" w:asciiTheme="minorEastAsia" w:hAnsiTheme="minorEastAsia"/>
                <w:b/>
                <w:bCs/>
                <w:szCs w:val="21"/>
              </w:rPr>
            </w:pPr>
            <w:r>
              <w:rPr>
                <w:rFonts w:hint="eastAsia" w:asciiTheme="minorEastAsia" w:hAnsiTheme="minorEastAsia"/>
                <w:b/>
                <w:bCs/>
                <w:szCs w:val="21"/>
              </w:rPr>
              <w:t>一级指标</w:t>
            </w:r>
          </w:p>
        </w:tc>
        <w:tc>
          <w:tcPr>
            <w:tcW w:w="1559" w:type="dxa"/>
            <w:vAlign w:val="center"/>
          </w:tcPr>
          <w:p>
            <w:pPr>
              <w:jc w:val="center"/>
              <w:rPr>
                <w:rFonts w:hint="eastAsia" w:asciiTheme="minorEastAsia" w:hAnsiTheme="minorEastAsia"/>
                <w:b/>
                <w:bCs/>
                <w:szCs w:val="21"/>
              </w:rPr>
            </w:pPr>
            <w:r>
              <w:rPr>
                <w:rFonts w:hint="eastAsia" w:asciiTheme="minorEastAsia" w:hAnsiTheme="minorEastAsia"/>
                <w:b/>
                <w:bCs/>
                <w:szCs w:val="21"/>
              </w:rPr>
              <w:t>二级指标</w:t>
            </w:r>
          </w:p>
        </w:tc>
        <w:tc>
          <w:tcPr>
            <w:tcW w:w="2987" w:type="dxa"/>
            <w:vAlign w:val="center"/>
          </w:tcPr>
          <w:p>
            <w:pPr>
              <w:jc w:val="center"/>
              <w:rPr>
                <w:rFonts w:hint="eastAsia" w:asciiTheme="minorEastAsia" w:hAnsiTheme="minorEastAsia"/>
                <w:b/>
                <w:bCs/>
                <w:szCs w:val="21"/>
              </w:rPr>
            </w:pPr>
            <w:r>
              <w:rPr>
                <w:rFonts w:hint="eastAsia" w:asciiTheme="minorEastAsia" w:hAnsiTheme="minorEastAsia"/>
                <w:b/>
                <w:bCs/>
                <w:szCs w:val="21"/>
              </w:rPr>
              <w:t>三级指标</w:t>
            </w:r>
          </w:p>
        </w:tc>
        <w:tc>
          <w:tcPr>
            <w:tcW w:w="1464" w:type="dxa"/>
            <w:vAlign w:val="center"/>
          </w:tcPr>
          <w:p>
            <w:pPr>
              <w:jc w:val="center"/>
              <w:rPr>
                <w:rFonts w:hint="default" w:eastAsia="宋体" w:asciiTheme="minorEastAsia" w:hAnsiTheme="minorEastAsia"/>
                <w:b/>
                <w:bCs/>
                <w:szCs w:val="21"/>
                <w:lang w:val="en-US" w:eastAsia="zh-CN"/>
              </w:rPr>
            </w:pPr>
            <w:r>
              <w:rPr>
                <w:rFonts w:hint="eastAsia" w:asciiTheme="minorEastAsia" w:hAnsiTheme="minorEastAsia"/>
                <w:b/>
                <w:bCs/>
                <w:szCs w:val="21"/>
                <w:lang w:val="en-US" w:eastAsia="zh-CN"/>
              </w:rPr>
              <w:t>分值</w:t>
            </w:r>
          </w:p>
        </w:tc>
        <w:tc>
          <w:tcPr>
            <w:tcW w:w="1134" w:type="dxa"/>
            <w:vAlign w:val="center"/>
          </w:tcPr>
          <w:p>
            <w:pPr>
              <w:jc w:val="center"/>
              <w:rPr>
                <w:rFonts w:hint="eastAsia" w:asciiTheme="minorEastAsia" w:hAnsiTheme="minorEastAsia"/>
                <w:b/>
                <w:bCs/>
                <w:szCs w:val="21"/>
              </w:rPr>
            </w:pPr>
            <w:r>
              <w:rPr>
                <w:rFonts w:hint="eastAsia" w:asciiTheme="minorEastAsia" w:hAnsiTheme="minorEastAsia"/>
                <w:b/>
                <w:bCs/>
                <w:szCs w:val="21"/>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restart"/>
            <w:vAlign w:val="center"/>
          </w:tcPr>
          <w:p>
            <w:pPr>
              <w:jc w:val="center"/>
              <w:rPr>
                <w:rFonts w:hint="eastAsia" w:asciiTheme="minorEastAsia" w:hAnsiTheme="minorEastAsia"/>
                <w:szCs w:val="21"/>
              </w:rPr>
            </w:pPr>
            <w:r>
              <w:rPr>
                <w:rFonts w:hint="eastAsia" w:asciiTheme="minorEastAsia" w:hAnsiTheme="minorEastAsia"/>
                <w:szCs w:val="21"/>
              </w:rPr>
              <w:t>决策</w:t>
            </w:r>
          </w:p>
          <w:p>
            <w:pPr>
              <w:jc w:val="center"/>
              <w:rPr>
                <w:rFonts w:hint="eastAsia" w:cs="宋体" w:asciiTheme="minorEastAsia" w:hAnsiTheme="minorEastAsia"/>
                <w:b/>
                <w:bCs/>
                <w:color w:val="000000"/>
                <w:kern w:val="0"/>
                <w:szCs w:val="21"/>
              </w:rPr>
            </w:pPr>
            <w:r>
              <w:rPr>
                <w:rFonts w:hint="eastAsia" w:asciiTheme="minorEastAsia" w:hAnsiTheme="minorEastAsia"/>
                <w:szCs w:val="21"/>
              </w:rPr>
              <w:t>（</w:t>
            </w:r>
            <w:r>
              <w:rPr>
                <w:rFonts w:hint="eastAsia" w:asciiTheme="minorEastAsia" w:hAnsiTheme="minorEastAsia"/>
                <w:szCs w:val="21"/>
                <w:lang w:val="en-US" w:eastAsia="zh-CN"/>
              </w:rPr>
              <w:t>10</w:t>
            </w:r>
            <w:r>
              <w:rPr>
                <w:rFonts w:hint="eastAsia" w:asciiTheme="minorEastAsia" w:hAnsiTheme="minorEastAsia"/>
                <w:szCs w:val="21"/>
              </w:rPr>
              <w:t>分）</w:t>
            </w:r>
          </w:p>
        </w:tc>
        <w:tc>
          <w:tcPr>
            <w:tcW w:w="1559"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项目立项</w:t>
            </w:r>
          </w:p>
        </w:tc>
        <w:tc>
          <w:tcPr>
            <w:tcW w:w="2987"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立项依据充分性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立项程序规范性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绩效目标</w:t>
            </w:r>
          </w:p>
        </w:tc>
        <w:tc>
          <w:tcPr>
            <w:tcW w:w="2987"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绩效目标合理性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绩效指标明确性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资金投入</w:t>
            </w:r>
          </w:p>
        </w:tc>
        <w:tc>
          <w:tcPr>
            <w:tcW w:w="2987" w:type="dxa"/>
            <w:vAlign w:val="center"/>
          </w:tcPr>
          <w:p>
            <w:pPr>
              <w:jc w:val="center"/>
              <w:rPr>
                <w:rFonts w:hint="eastAsia" w:asciiTheme="minorEastAsia" w:hAnsiTheme="minorEastAsia"/>
                <w:szCs w:val="21"/>
              </w:rPr>
            </w:pPr>
            <w:r>
              <w:rPr>
                <w:rFonts w:hint="eastAsia" w:asciiTheme="minorEastAsia" w:hAnsiTheme="minorEastAsia"/>
                <w:szCs w:val="21"/>
              </w:rPr>
              <w:t>预算编制科学性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asciiTheme="minorEastAsia" w:hAnsiTheme="minorEastAsia"/>
                <w:szCs w:val="21"/>
              </w:rPr>
            </w:pPr>
          </w:p>
        </w:tc>
        <w:tc>
          <w:tcPr>
            <w:tcW w:w="2987" w:type="dxa"/>
            <w:vAlign w:val="center"/>
          </w:tcPr>
          <w:p>
            <w:pPr>
              <w:jc w:val="center"/>
              <w:rPr>
                <w:rFonts w:hint="default" w:eastAsia="宋体" w:asciiTheme="minorEastAsia" w:hAnsiTheme="minorEastAsia"/>
                <w:szCs w:val="21"/>
                <w:lang w:val="en-US" w:eastAsia="zh-CN"/>
              </w:rPr>
            </w:pPr>
            <w:r>
              <w:rPr>
                <w:rFonts w:hint="eastAsia" w:asciiTheme="minorEastAsia" w:hAnsiTheme="minorEastAsia"/>
                <w:szCs w:val="21"/>
                <w:lang w:val="en-US" w:eastAsia="zh-CN"/>
              </w:rPr>
              <w:t>资金分配合理性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过程</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cs="宋体" w:asciiTheme="minorEastAsia" w:hAnsiTheme="minorEastAsia"/>
                <w:color w:val="000000"/>
                <w:kern w:val="0"/>
                <w:szCs w:val="21"/>
                <w:lang w:val="en-US" w:eastAsia="zh-CN"/>
              </w:rPr>
              <w:t>20</w:t>
            </w:r>
            <w:r>
              <w:rPr>
                <w:rFonts w:hint="eastAsia" w:asciiTheme="minorEastAsia" w:hAnsiTheme="minorEastAsia"/>
                <w:szCs w:val="21"/>
              </w:rPr>
              <w:t>分</w:t>
            </w:r>
            <w:r>
              <w:rPr>
                <w:rFonts w:hint="eastAsia" w:cs="宋体" w:asciiTheme="minorEastAsia" w:hAnsiTheme="minorEastAsia"/>
                <w:color w:val="000000"/>
                <w:kern w:val="0"/>
                <w:szCs w:val="21"/>
              </w:rPr>
              <w:t>）</w:t>
            </w:r>
          </w:p>
        </w:tc>
        <w:tc>
          <w:tcPr>
            <w:tcW w:w="1559"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资金管理</w:t>
            </w:r>
          </w:p>
        </w:tc>
        <w:tc>
          <w:tcPr>
            <w:tcW w:w="2987" w:type="dxa"/>
            <w:vAlign w:val="center"/>
          </w:tcPr>
          <w:p>
            <w:pPr>
              <w:jc w:val="center"/>
              <w:rPr>
                <w:rFonts w:hint="default" w:eastAsia="宋体" w:asciiTheme="minorEastAsia" w:hAnsiTheme="minorEastAsia"/>
                <w:szCs w:val="21"/>
                <w:lang w:val="en-US" w:eastAsia="zh-CN"/>
              </w:rPr>
            </w:pPr>
            <w:r>
              <w:rPr>
                <w:rFonts w:hint="eastAsia" w:asciiTheme="minorEastAsia" w:hAnsiTheme="minorEastAsia"/>
                <w:szCs w:val="21"/>
                <w:lang w:val="en-US" w:eastAsia="zh-CN"/>
              </w:rPr>
              <w:t>资金到位率</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预算执行率</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资金使用合规性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restart"/>
            <w:vAlign w:val="center"/>
          </w:tcPr>
          <w:p>
            <w:pPr>
              <w:jc w:val="center"/>
              <w:rPr>
                <w:rFonts w:hint="default" w:eastAsia="宋体" w:asciiTheme="minorEastAsia" w:hAnsiTheme="minorEastAsia"/>
                <w:kern w:val="0"/>
                <w:szCs w:val="21"/>
                <w:lang w:val="en-US" w:eastAsia="zh-CN"/>
              </w:rPr>
            </w:pPr>
            <w:r>
              <w:rPr>
                <w:rFonts w:hint="eastAsia" w:asciiTheme="minorEastAsia" w:hAnsiTheme="minorEastAsia"/>
                <w:szCs w:val="21"/>
                <w:lang w:val="en-US" w:eastAsia="zh-CN"/>
              </w:rPr>
              <w:t>组织实施</w:t>
            </w:r>
          </w:p>
        </w:tc>
        <w:tc>
          <w:tcPr>
            <w:tcW w:w="2987"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管理制度健全性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3</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eastAsia" w:asciiTheme="minorEastAsia" w:hAnsiTheme="minorEastAsia"/>
                <w:szCs w:val="21"/>
              </w:rPr>
            </w:pPr>
            <w:r>
              <w:rPr>
                <w:rFonts w:hint="eastAsia" w:asciiTheme="minorEastAsia" w:hAnsiTheme="minorEastAsia"/>
                <w:szCs w:val="21"/>
              </w:rPr>
              <w:t>制度执行有效性</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7</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514"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产出</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asciiTheme="minorEastAsia" w:hAnsiTheme="minorEastAsia"/>
                <w:szCs w:val="21"/>
                <w:lang w:val="en-US" w:eastAsia="zh-CN"/>
              </w:rPr>
              <w:t>4</w:t>
            </w:r>
            <w:r>
              <w:rPr>
                <w:rFonts w:hint="eastAsia" w:asciiTheme="minorEastAsia" w:hAnsiTheme="minorEastAsia"/>
                <w:szCs w:val="21"/>
              </w:rPr>
              <w:t>0分</w:t>
            </w:r>
            <w:r>
              <w:rPr>
                <w:rFonts w:hint="eastAsia" w:cs="宋体" w:asciiTheme="minorEastAsia" w:hAnsiTheme="minorEastAsia"/>
                <w:color w:val="000000"/>
                <w:kern w:val="0"/>
                <w:szCs w:val="21"/>
              </w:rPr>
              <w:t>）</w:t>
            </w:r>
          </w:p>
        </w:tc>
        <w:tc>
          <w:tcPr>
            <w:tcW w:w="1559"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产出数量</w:t>
            </w:r>
          </w:p>
        </w:tc>
        <w:tc>
          <w:tcPr>
            <w:tcW w:w="2987"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开展绩效评价、事前评估和成本分析项目个数</w:t>
            </w:r>
          </w:p>
        </w:tc>
        <w:tc>
          <w:tcPr>
            <w:tcW w:w="146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产出质量</w:t>
            </w:r>
          </w:p>
        </w:tc>
        <w:tc>
          <w:tcPr>
            <w:tcW w:w="2987"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报告验收合格率</w:t>
            </w:r>
          </w:p>
        </w:tc>
        <w:tc>
          <w:tcPr>
            <w:tcW w:w="146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113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产出时效</w:t>
            </w:r>
          </w:p>
        </w:tc>
        <w:tc>
          <w:tcPr>
            <w:tcW w:w="2987"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12月前完成全部工作</w:t>
            </w:r>
          </w:p>
        </w:tc>
        <w:tc>
          <w:tcPr>
            <w:tcW w:w="146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8</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restart"/>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产出成本</w:t>
            </w:r>
          </w:p>
        </w:tc>
        <w:tc>
          <w:tcPr>
            <w:tcW w:w="2987"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预算成本控制数</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公开招标采购率</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trPr>
        <w:tc>
          <w:tcPr>
            <w:tcW w:w="1514"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效益</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asciiTheme="minorEastAsia" w:hAnsiTheme="minorEastAsia"/>
                <w:szCs w:val="21"/>
              </w:rPr>
              <w:t>30分</w:t>
            </w:r>
            <w:r>
              <w:rPr>
                <w:rFonts w:hint="eastAsia" w:cs="宋体" w:asciiTheme="minorEastAsia" w:hAnsiTheme="minorEastAsia"/>
                <w:color w:val="000000"/>
                <w:kern w:val="0"/>
                <w:szCs w:val="21"/>
              </w:rPr>
              <w:t>）</w:t>
            </w:r>
          </w:p>
        </w:tc>
        <w:tc>
          <w:tcPr>
            <w:tcW w:w="1559" w:type="dxa"/>
            <w:vMerge w:val="restart"/>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lang w:val="en-US" w:eastAsia="zh-CN"/>
              </w:rPr>
              <w:t>项目</w:t>
            </w:r>
            <w:r>
              <w:rPr>
                <w:rFonts w:hint="eastAsia" w:cs="宋体" w:asciiTheme="minorEastAsia" w:hAnsiTheme="minorEastAsia"/>
                <w:color w:val="000000"/>
                <w:kern w:val="0"/>
                <w:szCs w:val="21"/>
              </w:rPr>
              <w:t>效益</w:t>
            </w:r>
          </w:p>
        </w:tc>
        <w:tc>
          <w:tcPr>
            <w:tcW w:w="2987" w:type="dxa"/>
            <w:vAlign w:val="center"/>
          </w:tcPr>
          <w:p>
            <w:pPr>
              <w:jc w:val="center"/>
              <w:rPr>
                <w:rFonts w:hint="eastAsia" w:cs="宋体" w:asciiTheme="minorEastAsia" w:hAnsiTheme="minorEastAsia"/>
                <w:bCs/>
                <w:color w:val="000000"/>
                <w:kern w:val="0"/>
                <w:szCs w:val="21"/>
              </w:rPr>
            </w:pPr>
            <w:r>
              <w:rPr>
                <w:rFonts w:hint="eastAsia" w:ascii="宋体" w:hAnsi="宋体" w:eastAsia="宋体" w:cs="宋体"/>
                <w:i w:val="0"/>
                <w:color w:val="000000"/>
                <w:kern w:val="0"/>
                <w:sz w:val="18"/>
                <w:szCs w:val="18"/>
                <w:u w:val="none"/>
                <w:lang w:val="en-US" w:eastAsia="zh-CN" w:bidi="ar"/>
              </w:rPr>
              <w:t>绩效考评结果有效应用，推动财政资金聚力增效，为通州区高质量发展提供有力保障</w:t>
            </w:r>
          </w:p>
        </w:tc>
        <w:tc>
          <w:tcPr>
            <w:tcW w:w="146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113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514" w:type="dxa"/>
            <w:vMerge w:val="continue"/>
            <w:vAlign w:val="center"/>
          </w:tcPr>
          <w:p>
            <w:pPr>
              <w:jc w:val="center"/>
              <w:rPr>
                <w:rFonts w:hint="eastAsia" w:cs="宋体" w:asciiTheme="minorEastAsia" w:hAnsiTheme="minorEastAsia"/>
                <w:color w:val="000000"/>
                <w:kern w:val="0"/>
                <w:szCs w:val="21"/>
              </w:rPr>
            </w:pPr>
          </w:p>
        </w:tc>
        <w:tc>
          <w:tcPr>
            <w:tcW w:w="1559" w:type="dxa"/>
            <w:vMerge w:val="continue"/>
            <w:vAlign w:val="center"/>
          </w:tcPr>
          <w:p>
            <w:pPr>
              <w:jc w:val="center"/>
              <w:rPr>
                <w:rFonts w:hint="eastAsia" w:cs="宋体" w:asciiTheme="minorEastAsia" w:hAnsiTheme="minorEastAsia"/>
                <w:color w:val="000000"/>
                <w:kern w:val="0"/>
                <w:szCs w:val="21"/>
              </w:rPr>
            </w:pPr>
          </w:p>
        </w:tc>
        <w:tc>
          <w:tcPr>
            <w:tcW w:w="2987" w:type="dxa"/>
            <w:vAlign w:val="center"/>
          </w:tcPr>
          <w:p>
            <w:pPr>
              <w:jc w:val="center"/>
              <w:rPr>
                <w:rFonts w:hint="eastAsia" w:cs="宋体" w:asciiTheme="minorEastAsia" w:hAnsiTheme="minorEastAsia"/>
                <w:color w:val="000000"/>
                <w:kern w:val="0"/>
                <w:szCs w:val="21"/>
              </w:rPr>
            </w:pPr>
            <w:r>
              <w:rPr>
                <w:rFonts w:hint="eastAsia" w:ascii="宋体" w:hAnsi="宋体" w:eastAsia="宋体" w:cs="宋体"/>
                <w:i w:val="0"/>
                <w:color w:val="000000"/>
                <w:kern w:val="0"/>
                <w:sz w:val="18"/>
                <w:szCs w:val="18"/>
                <w:u w:val="none"/>
                <w:lang w:val="en-US" w:eastAsia="zh-CN" w:bidi="ar"/>
              </w:rPr>
              <w:t>持续增强政府公信力和执行力</w:t>
            </w:r>
          </w:p>
        </w:tc>
        <w:tc>
          <w:tcPr>
            <w:tcW w:w="146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c>
          <w:tcPr>
            <w:tcW w:w="113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eastAsia" w:cs="宋体" w:asciiTheme="minorEastAsia" w:hAnsiTheme="minorEastAsia"/>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优化财政资源配置和使用效益、提升公共服务质量</w:t>
            </w:r>
          </w:p>
        </w:tc>
        <w:tc>
          <w:tcPr>
            <w:tcW w:w="146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113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14" w:type="dxa"/>
            <w:vMerge w:val="continue"/>
            <w:vAlign w:val="center"/>
          </w:tcPr>
          <w:p>
            <w:pPr>
              <w:jc w:val="center"/>
              <w:rPr>
                <w:rFonts w:hint="eastAsia" w:cs="宋体" w:asciiTheme="minorEastAsia" w:hAnsiTheme="minorEastAsia"/>
                <w:b/>
                <w:bCs/>
                <w:color w:val="000000"/>
                <w:kern w:val="0"/>
                <w:szCs w:val="21"/>
              </w:rPr>
            </w:pPr>
          </w:p>
        </w:tc>
        <w:tc>
          <w:tcPr>
            <w:tcW w:w="1559" w:type="dxa"/>
            <w:vMerge w:val="continue"/>
            <w:vAlign w:val="center"/>
          </w:tcPr>
          <w:p>
            <w:pPr>
              <w:jc w:val="center"/>
              <w:rPr>
                <w:rFonts w:hint="eastAsia" w:cs="宋体" w:asciiTheme="minorEastAsia" w:hAnsiTheme="minorEastAsia"/>
                <w:b/>
                <w:bCs/>
                <w:color w:val="000000"/>
                <w:kern w:val="0"/>
                <w:szCs w:val="21"/>
              </w:rPr>
            </w:pPr>
          </w:p>
        </w:tc>
        <w:tc>
          <w:tcPr>
            <w:tcW w:w="2987" w:type="dxa"/>
            <w:vAlign w:val="center"/>
          </w:tcPr>
          <w:p>
            <w:pPr>
              <w:jc w:val="center"/>
              <w:rPr>
                <w:rFonts w:hint="default" w:eastAsia="宋体" w:cs="宋体" w:asciiTheme="minorEastAsia" w:hAnsiTheme="minorEastAsia"/>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被评单位满意度</w:t>
            </w:r>
          </w:p>
        </w:tc>
        <w:tc>
          <w:tcPr>
            <w:tcW w:w="146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c>
          <w:tcPr>
            <w:tcW w:w="1134"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073" w:type="dxa"/>
            <w:gridSpan w:val="2"/>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b/>
                <w:color w:val="000000"/>
                <w:kern w:val="0"/>
                <w:szCs w:val="21"/>
              </w:rPr>
              <w:t>合计</w:t>
            </w:r>
          </w:p>
        </w:tc>
        <w:tc>
          <w:tcPr>
            <w:tcW w:w="2987" w:type="dxa"/>
            <w:vAlign w:val="center"/>
          </w:tcPr>
          <w:p>
            <w:pPr>
              <w:jc w:val="center"/>
              <w:rPr>
                <w:rFonts w:hint="eastAsia" w:cs="宋体" w:asciiTheme="minorEastAsia" w:hAnsiTheme="minorEastAsia"/>
                <w:color w:val="000000"/>
                <w:kern w:val="0"/>
                <w:szCs w:val="21"/>
              </w:rPr>
            </w:pPr>
          </w:p>
        </w:tc>
        <w:tc>
          <w:tcPr>
            <w:tcW w:w="146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100</w:t>
            </w:r>
          </w:p>
        </w:tc>
        <w:tc>
          <w:tcPr>
            <w:tcW w:w="1134"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96.5</w:t>
            </w:r>
          </w:p>
        </w:tc>
      </w:tr>
    </w:tbl>
    <w:p>
      <w:pPr>
        <w:rPr>
          <w:rFonts w:hint="default"/>
          <w:lang w:val="en-US" w:eastAsia="zh-CN"/>
        </w:rPr>
      </w:pPr>
    </w:p>
    <w:p>
      <w:pPr>
        <w:spacing w:line="600" w:lineRule="exact"/>
        <w:ind w:firstLine="642" w:firstLineChars="200"/>
        <w:rPr>
          <w:rFonts w:hint="default" w:ascii="黑体" w:hAnsi="黑体" w:eastAsia="黑体" w:cs="黑体"/>
          <w:b/>
          <w:color w:val="auto"/>
          <w:kern w:val="0"/>
          <w:sz w:val="32"/>
          <w:szCs w:val="32"/>
          <w:lang w:val="en-US" w:eastAsia="zh-CN"/>
        </w:rPr>
      </w:pPr>
      <w:r>
        <w:rPr>
          <w:rFonts w:hint="eastAsia" w:ascii="黑体" w:hAnsi="黑体" w:eastAsia="黑体" w:cs="黑体"/>
          <w:b/>
          <w:color w:val="auto"/>
          <w:kern w:val="0"/>
          <w:sz w:val="32"/>
          <w:szCs w:val="32"/>
          <w:lang w:val="en-US" w:eastAsia="zh-CN"/>
        </w:rPr>
        <w:t>四、</w:t>
      </w:r>
      <w:r>
        <w:rPr>
          <w:rFonts w:hint="default" w:ascii="黑体" w:hAnsi="黑体" w:eastAsia="黑体" w:cs="黑体"/>
          <w:b/>
          <w:color w:val="auto"/>
          <w:kern w:val="0"/>
          <w:sz w:val="32"/>
          <w:szCs w:val="32"/>
          <w:lang w:val="en-US" w:eastAsia="zh-CN"/>
        </w:rPr>
        <w:t>绩效评价指标分析</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（一）项目决策情况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1.项目立项情况分析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立项决策依据较充分。中共北京市委、北京市人民政府为深入贯彻落实《中共中央、国务院关于全面实施预算绩效管理的意见》，加快建成全方位、全过程、全覆盖的预算绩效管理体系，制定并印发了《关于全面实施预算绩效管理的实施意见》（京发（2019）12号）。实施意见中提出“以绩效为导向，以绩效目标管理为重点，以成本效益分析为抓手，建立预算绩效管理长效机制，着力解决好绩效管理中存在的突出问题，推动财政资金聚力增效，为首都高质量发展提供有力保障”的指导思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区财政局为贯彻落实国家、北京市有关预算绩效管理要求，制定了 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度工作计划，深入贯彻绩效成本理念，加大绩效评价、事前评估和信息公开的力度，强化绩效评价结果的则性约束，加强预算编制、执行各环节协调联动，加快构建全方位、全过程、全覆盖的预算绩效管理体系的工作目标。区财政局的部门职能包括：研究建立通州区财政支出绩效评价制度和评价体系；监督检查财税法律、法规政策的执行情况；反映财政收支管理中心的重大问题的工作职能。评价认为，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年绩效</w:t>
      </w:r>
      <w:r>
        <w:rPr>
          <w:rFonts w:hint="eastAsia" w:ascii="仿宋_GB2312" w:hAnsi="仿宋_GB2312" w:eastAsia="仿宋_GB2312" w:cs="仿宋_GB2312"/>
          <w:kern w:val="2"/>
          <w:sz w:val="32"/>
          <w:szCs w:val="32"/>
          <w:lang w:val="en-US" w:eastAsia="zh-CN" w:bidi="ar-SA"/>
        </w:rPr>
        <w:t>考评服务</w:t>
      </w:r>
      <w:r>
        <w:rPr>
          <w:rFonts w:hint="default" w:ascii="仿宋_GB2312" w:hAnsi="仿宋_GB2312" w:eastAsia="仿宋_GB2312" w:cs="仿宋_GB2312"/>
          <w:kern w:val="2"/>
          <w:sz w:val="32"/>
          <w:szCs w:val="32"/>
          <w:lang w:val="en-US" w:eastAsia="zh-CN" w:bidi="ar-SA"/>
        </w:rPr>
        <w:t>项目立项依据明确，项目实施内容与部门工作职能相关。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立项程序较规范。该项目由区财政局负责预算资金申请及实施，区财政局依据</w:t>
      </w:r>
      <w:r>
        <w:rPr>
          <w:rFonts w:hint="eastAsia" w:ascii="仿宋_GB2312" w:hAnsi="仿宋_GB2312" w:eastAsia="仿宋_GB2312" w:cs="仿宋_GB2312"/>
          <w:kern w:val="2"/>
          <w:sz w:val="32"/>
          <w:szCs w:val="32"/>
          <w:lang w:val="en-US" w:eastAsia="zh-CN" w:bidi="ar-SA"/>
        </w:rPr>
        <w:t>部门预算管理</w:t>
      </w:r>
      <w:r>
        <w:rPr>
          <w:rFonts w:hint="default" w:ascii="仿宋_GB2312" w:hAnsi="仿宋_GB2312" w:eastAsia="仿宋_GB2312" w:cs="仿宋_GB2312"/>
          <w:kern w:val="2"/>
          <w:sz w:val="32"/>
          <w:szCs w:val="32"/>
          <w:lang w:val="en-US" w:eastAsia="zh-CN" w:bidi="ar-SA"/>
        </w:rPr>
        <w:t>等相关政策文件要求进行项目申报及决策，由区财政局</w:t>
      </w:r>
      <w:r>
        <w:rPr>
          <w:rFonts w:hint="eastAsia" w:ascii="仿宋_GB2312" w:hAnsi="仿宋_GB2312" w:eastAsia="仿宋_GB2312" w:cs="仿宋_GB2312"/>
          <w:kern w:val="2"/>
          <w:sz w:val="32"/>
          <w:szCs w:val="32"/>
          <w:lang w:val="en-US" w:eastAsia="zh-CN" w:bidi="ar-SA"/>
        </w:rPr>
        <w:t>绩效评价科、</w:t>
      </w:r>
      <w:r>
        <w:rPr>
          <w:rFonts w:hint="default" w:ascii="仿宋_GB2312" w:hAnsi="仿宋_GB2312" w:eastAsia="仿宋_GB2312" w:cs="仿宋_GB2312"/>
          <w:kern w:val="2"/>
          <w:sz w:val="32"/>
          <w:szCs w:val="32"/>
          <w:lang w:val="en-US" w:eastAsia="zh-CN" w:bidi="ar-SA"/>
        </w:rPr>
        <w:t>绩效考评中心结合通州区绩效考评工作安排，提出了项目需求。经区财政局集体决策批准后，由财务科按照财政要求进行逐级申报项目预算。评价认为，该项目立项申请、设立程序符合通州区财政资金立项的相关要求，项目立项程序规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2.绩效目标情况分析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绩效目标设定较合理、明确。该项目设定了绩效目标，项目绩效目标设定依据充分，符合通州区绩效考评工作实际。项目绩效指标设定清晰、细化、可衡量。评价认为，项目绩效目标设定较合理、明确，绩效指标设置较细化、量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3. 资金投入情况分析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项目资金分配依据及原则较清晰。区财政局参照绩效考评工作整体安排确定项目工作量测算项目预算金额，项目预算额度</w:t>
      </w:r>
      <w:r>
        <w:rPr>
          <w:rFonts w:hint="eastAsia" w:ascii="仿宋_GB2312" w:hAnsi="仿宋_GB2312" w:eastAsia="仿宋_GB2312" w:cs="仿宋_GB2312"/>
          <w:kern w:val="2"/>
          <w:sz w:val="32"/>
          <w:szCs w:val="32"/>
          <w:lang w:val="en-US" w:eastAsia="zh-CN" w:bidi="ar-SA"/>
        </w:rPr>
        <w:t>测</w:t>
      </w:r>
      <w:r>
        <w:rPr>
          <w:rFonts w:hint="default" w:ascii="仿宋_GB2312" w:hAnsi="仿宋_GB2312" w:eastAsia="仿宋_GB2312" w:cs="仿宋_GB2312"/>
          <w:kern w:val="2"/>
          <w:sz w:val="32"/>
          <w:szCs w:val="32"/>
          <w:lang w:val="en-US" w:eastAsia="zh-CN" w:bidi="ar-SA"/>
        </w:rPr>
        <w:t>算依据充分，编制标准明确，项目确定的投资额与工作任务比较匹配。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资金分配合理。区财政局编制了《202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年绩效评价服务费明细表》、《202</w:t>
      </w:r>
      <w:r>
        <w:rPr>
          <w:rFonts w:hint="eastAsia" w:ascii="仿宋_GB2312" w:hAnsi="仿宋_GB2312" w:eastAsia="仿宋_GB2312" w:cs="仿宋_GB2312"/>
          <w:kern w:val="2"/>
          <w:sz w:val="32"/>
          <w:szCs w:val="32"/>
          <w:lang w:val="en-US" w:eastAsia="zh-CN" w:bidi="ar-SA"/>
        </w:rPr>
        <w:t>5</w:t>
      </w:r>
      <w:r>
        <w:rPr>
          <w:rFonts w:hint="default" w:ascii="仿宋_GB2312" w:hAnsi="仿宋_GB2312" w:eastAsia="仿宋_GB2312" w:cs="仿宋_GB2312"/>
          <w:kern w:val="2"/>
          <w:sz w:val="32"/>
          <w:szCs w:val="32"/>
          <w:lang w:val="en-US" w:eastAsia="zh-CN" w:bidi="ar-SA"/>
        </w:rPr>
        <w:t>年预算事前绩效评估服务费明细表》以及《202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年成本绩效分析服务费明细表》，项目预算资金分配依据充分，与通州区预算绩效工作实际适应。</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（二）项目过程情况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1.资金管理情况分析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项目资金到位及时、足额。该项目资金指标由区财政局下达及时下达，资金到位率 100</w:t>
      </w:r>
      <w:r>
        <w:rPr>
          <w:rFonts w:hint="eastAsia" w:ascii="仿宋_GB2312" w:hAnsi="仿宋_GB2312" w:eastAsia="仿宋_GB2312" w:cs="仿宋_GB2312"/>
          <w:kern w:val="2"/>
          <w:sz w:val="32"/>
          <w:szCs w:val="32"/>
          <w:lang w:val="en-US" w:eastAsia="zh-CN" w:bidi="ar-SA"/>
        </w:rPr>
        <w:t>.00</w:t>
      </w:r>
      <w:r>
        <w:rPr>
          <w:rFonts w:hint="default" w:ascii="仿宋_GB2312" w:hAnsi="仿宋_GB2312" w:eastAsia="仿宋_GB2312" w:cs="仿宋_GB2312"/>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资金使用合规。项目资金使用符合《通州区财政局机关支出管理办法（试行）》、《北京市通州区财政局采购管理办法（试行）》等管理制度要求，项目资金拨付的审批程序和手续完整、规范，符合项目预算批复及合同规定的用途。</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r>
        <w:rPr>
          <w:rFonts w:hint="default" w:ascii="仿宋_GB2312" w:hAnsi="仿宋_GB2312" w:eastAsia="仿宋_GB2312" w:cs="仿宋_GB2312"/>
          <w:kern w:val="2"/>
          <w:sz w:val="32"/>
          <w:szCs w:val="32"/>
          <w:lang w:val="en-US" w:eastAsia="zh-CN" w:bidi="ar-SA"/>
        </w:rPr>
        <w:t>组织实施情况分析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 管理制度健全性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管理制度比较健全。该项目财务管理制度比较健全，区财政局制定了《通州区财政局绩效考评中心内部控制操作规程》、《通州区财政局机关支出管理办法（试行）》、《北京市通州区财政局采购管理办法（试行）》、《北京市通州区财政局合同管理办法（试行）》，并按照国家及北京市预算绩效管理政策文件执行，保障项目资金使用管理。区财政局</w:t>
      </w:r>
      <w:r>
        <w:rPr>
          <w:rFonts w:hint="eastAsia" w:ascii="仿宋_GB2312" w:hAnsi="仿宋_GB2312" w:eastAsia="仿宋_GB2312" w:cs="仿宋_GB2312"/>
          <w:kern w:val="2"/>
          <w:sz w:val="32"/>
          <w:szCs w:val="32"/>
          <w:lang w:val="en-US" w:eastAsia="zh-CN" w:bidi="ar-SA"/>
        </w:rPr>
        <w:t>于2023年</w:t>
      </w:r>
      <w:r>
        <w:rPr>
          <w:rFonts w:hint="default" w:ascii="仿宋_GB2312" w:hAnsi="仿宋_GB2312" w:eastAsia="仿宋_GB2312" w:cs="仿宋_GB2312"/>
          <w:kern w:val="2"/>
          <w:sz w:val="32"/>
          <w:szCs w:val="32"/>
          <w:lang w:val="en-US" w:eastAsia="zh-CN" w:bidi="ar-SA"/>
        </w:rPr>
        <w:t>分别制定了《北京市通州区预算绩效管理办法》</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通财绩效发〔2023〕34号</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 《北京市通州区区级财政支出事前绩效评估管理办法》（通财绩效发〔2023〕36号）、 《北京市通州区项目支出绩效评价管理办法》（通财绩效发〔2023〕37号）以及</w:t>
      </w:r>
      <w:r>
        <w:rPr>
          <w:rFonts w:hint="default" w:ascii="仿宋_GB2312" w:hAnsi="仿宋_GB2312" w:eastAsia="仿宋_GB2312" w:cs="仿宋_GB2312"/>
          <w:kern w:val="2"/>
          <w:sz w:val="32"/>
          <w:szCs w:val="32"/>
          <w:lang w:val="en-US" w:eastAsia="zh-CN" w:bidi="ar-SA"/>
        </w:rPr>
        <w:t>《202</w:t>
      </w:r>
      <w:r>
        <w:rPr>
          <w:rFonts w:hint="eastAsia" w:ascii="仿宋_GB2312" w:hAnsi="仿宋_GB2312" w:eastAsia="仿宋_GB2312" w:cs="仿宋_GB2312"/>
          <w:kern w:val="2"/>
          <w:sz w:val="32"/>
          <w:szCs w:val="32"/>
          <w:lang w:val="en-US" w:eastAsia="zh-CN" w:bidi="ar-SA"/>
        </w:rPr>
        <w:t>5</w:t>
      </w:r>
      <w:r>
        <w:rPr>
          <w:rFonts w:hint="default" w:ascii="仿宋_GB2312" w:hAnsi="仿宋_GB2312" w:eastAsia="仿宋_GB2312" w:cs="仿宋_GB2312"/>
          <w:kern w:val="2"/>
          <w:sz w:val="32"/>
          <w:szCs w:val="32"/>
          <w:lang w:val="en-US" w:eastAsia="zh-CN" w:bidi="ar-SA"/>
        </w:rPr>
        <w:t>年预算事前绩效评估工作方案》、《202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年度区级财政支出绩效评价工作方案》及《202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年度区级财政预算绩效管理工作方案》，并严格按照方案要求执行。但项目管理制度健全性仍有一定提升空间。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（2）制度执行有效性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项目管理制度执行有效。在项目实施过程中，区财政局制定并下发了《北京市通州区财政局 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年绩效评价工作对中介机构的具体要求》、《北京市通州区财政局202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年绩效评价及成本预算绩效分析工作对中介机构的具体要求》等工作要求文件，明确了对中介机构的管理要求，指导通州区 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度绩效考评工作的开展。该项目能够按管理制度要求、程序严格实施，项目实施过程中严格遵守相关法律法规及和区财政局管理规定要求。区财政局对于绩效考评工作过程资料归档要求明确，项目实施过程资料完整、齐全，归档资料规范，项目实施各项支撑条件落实到位。</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（三）项目产出情况分析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 产出数量情况分析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该项目计划“全年绩效考评项目总个数≥1</w:t>
      </w:r>
      <w:r>
        <w:rPr>
          <w:rFonts w:hint="eastAsia" w:ascii="仿宋_GB2312" w:hAnsi="仿宋_GB2312" w:eastAsia="仿宋_GB2312" w:cs="仿宋_GB2312"/>
          <w:kern w:val="2"/>
          <w:sz w:val="32"/>
          <w:szCs w:val="32"/>
          <w:lang w:val="en-US" w:eastAsia="zh-CN" w:bidi="ar-SA"/>
        </w:rPr>
        <w:t>60</w:t>
      </w:r>
      <w:r>
        <w:rPr>
          <w:rFonts w:hint="default" w:ascii="仿宋_GB2312" w:hAnsi="仿宋_GB2312" w:eastAsia="仿宋_GB2312" w:cs="仿宋_GB2312"/>
          <w:kern w:val="2"/>
          <w:sz w:val="32"/>
          <w:szCs w:val="32"/>
          <w:lang w:val="en-US" w:eastAsia="zh-CN" w:bidi="ar-SA"/>
        </w:rPr>
        <w:t>个”202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年实际完成了</w:t>
      </w:r>
      <w:r>
        <w:rPr>
          <w:rFonts w:hint="default" w:ascii="仿宋_GB2312" w:hAnsi="仿宋_GB2312" w:eastAsia="仿宋_GB2312" w:cs="仿宋_GB2312"/>
          <w:kern w:val="2"/>
          <w:sz w:val="32"/>
          <w:szCs w:val="32"/>
          <w:highlight w:val="none"/>
          <w:lang w:val="en-US" w:eastAsia="zh-CN" w:bidi="ar-SA"/>
        </w:rPr>
        <w:t>536</w:t>
      </w:r>
      <w:r>
        <w:rPr>
          <w:rFonts w:hint="default" w:ascii="仿宋_GB2312" w:hAnsi="仿宋_GB2312" w:eastAsia="仿宋_GB2312" w:cs="仿宋_GB2312"/>
          <w:kern w:val="2"/>
          <w:sz w:val="32"/>
          <w:szCs w:val="32"/>
          <w:lang w:val="en-US" w:eastAsia="zh-CN" w:bidi="ar-SA"/>
        </w:rPr>
        <w:t>个项目的考评工作。项目计划</w:t>
      </w:r>
      <w:r>
        <w:rPr>
          <w:rFonts w:hint="eastAsia" w:ascii="仿宋_GB2312" w:hAnsi="仿宋_GB2312" w:eastAsia="仿宋_GB2312" w:cs="仿宋_GB2312"/>
          <w:kern w:val="2"/>
          <w:sz w:val="32"/>
          <w:szCs w:val="32"/>
          <w:lang w:val="en-US" w:eastAsia="zh-CN" w:bidi="ar-SA"/>
        </w:rPr>
        <w:t>验收合格率100.00%</w:t>
      </w: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实际合格率100.00%</w:t>
      </w:r>
      <w:r>
        <w:rPr>
          <w:rFonts w:hint="default" w:ascii="仿宋_GB2312" w:hAnsi="仿宋_GB2312" w:eastAsia="仿宋_GB2312" w:cs="仿宋_GB2312"/>
          <w:kern w:val="2"/>
          <w:sz w:val="32"/>
          <w:szCs w:val="32"/>
          <w:lang w:val="en-US" w:eastAsia="zh-CN" w:bidi="ar-SA"/>
        </w:rPr>
        <w:t>。该项目整体已按照年初计划</w:t>
      </w:r>
      <w:r>
        <w:rPr>
          <w:rFonts w:hint="eastAsia" w:ascii="仿宋_GB2312" w:hAnsi="仿宋_GB2312" w:eastAsia="仿宋_GB2312" w:cs="仿宋_GB2312"/>
          <w:kern w:val="2"/>
          <w:sz w:val="32"/>
          <w:szCs w:val="32"/>
          <w:lang w:val="en-US" w:eastAsia="zh-CN" w:bidi="ar-SA"/>
        </w:rPr>
        <w:t>超额</w:t>
      </w:r>
      <w:r>
        <w:rPr>
          <w:rFonts w:hint="default" w:ascii="仿宋_GB2312" w:hAnsi="仿宋_GB2312" w:eastAsia="仿宋_GB2312" w:cs="仿宋_GB2312"/>
          <w:kern w:val="2"/>
          <w:sz w:val="32"/>
          <w:szCs w:val="32"/>
          <w:lang w:val="en-US" w:eastAsia="zh-CN" w:bidi="ar-SA"/>
        </w:rPr>
        <w:t>完成</w:t>
      </w:r>
      <w:r>
        <w:rPr>
          <w:rFonts w:hint="eastAsia" w:ascii="仿宋_GB2312" w:hAnsi="仿宋_GB2312" w:eastAsia="仿宋_GB2312" w:cs="仿宋_GB2312"/>
          <w:kern w:val="2"/>
          <w:sz w:val="32"/>
          <w:szCs w:val="32"/>
          <w:lang w:val="en-US" w:eastAsia="zh-CN" w:bidi="ar-SA"/>
        </w:rPr>
        <w:t>，基于此仍须合理规划年度绩效考评工作，缩小计划与实际偏差度</w:t>
      </w:r>
      <w:r>
        <w:rPr>
          <w:rFonts w:hint="default" w:ascii="仿宋_GB2312" w:hAnsi="仿宋_GB2312" w:eastAsia="仿宋_GB2312" w:cs="仿宋_GB2312"/>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 产出质量情况分析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项目涉及的事前评估、事后绩效评价以及成本绩效分析工作的成果报告验收质量合格</w:t>
      </w:r>
      <w:r>
        <w:rPr>
          <w:rFonts w:hint="eastAsia" w:ascii="仿宋_GB2312" w:hAnsi="仿宋_GB2312" w:eastAsia="仿宋_GB2312" w:cs="仿宋_GB2312"/>
          <w:kern w:val="2"/>
          <w:sz w:val="32"/>
          <w:szCs w:val="32"/>
          <w:lang w:val="en-US" w:eastAsia="zh-CN" w:bidi="ar-SA"/>
        </w:rPr>
        <w:t>并新设及优化标准数量148个</w:t>
      </w:r>
      <w:r>
        <w:rPr>
          <w:rFonts w:hint="default" w:ascii="仿宋_GB2312" w:hAnsi="仿宋_GB2312" w:eastAsia="仿宋_GB2312" w:cs="仿宋_GB2312"/>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3. 产出时效情况分析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该项目按照预期目标开展了 202</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年各项绩效考评工作任务，项目实施进度符合年初计划。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4.产出成本情况分析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该项目成本控制到位，区财政局严格执行公开招标程序，已如期、保质、保量完成既定工作目标，财政资金的成本控制措施健全有效。</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（四）项目效益情况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 项目实施效益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区财政局于年度预算编制前开展财政支出事前绩效评估工作，作为下一年度预算安排的必备要件，通过事前绩效评估，切实增强部门资金支出责任和使用效率意识。区财政局开展成本绩效分析工作，以成本绩效分析为抓手，通过分析成本与效益、投入与产出，确定新的定额标准，达到不改变工作标准的同时节约财政投入的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项目实施评价结果的应用主要体现在事前评估、成本绩效分析项目，对事后绩效评价结果的应用情况和产生的效益情况呈现不充分。区财政局在</w:t>
      </w:r>
      <w:r>
        <w:rPr>
          <w:rFonts w:hint="eastAsia" w:ascii="仿宋_GB2312" w:hAnsi="仿宋_GB2312" w:eastAsia="仿宋_GB2312" w:cs="仿宋_GB2312"/>
          <w:kern w:val="2"/>
          <w:sz w:val="32"/>
          <w:szCs w:val="32"/>
          <w:lang w:val="en-US" w:eastAsia="zh-CN" w:bidi="ar-SA"/>
        </w:rPr>
        <w:t>事后</w:t>
      </w:r>
      <w:r>
        <w:rPr>
          <w:rFonts w:hint="default" w:ascii="仿宋_GB2312" w:hAnsi="仿宋_GB2312" w:eastAsia="仿宋_GB2312" w:cs="仿宋_GB2312"/>
          <w:kern w:val="2"/>
          <w:sz w:val="32"/>
          <w:szCs w:val="32"/>
          <w:lang w:val="en-US" w:eastAsia="zh-CN" w:bidi="ar-SA"/>
        </w:rPr>
        <w:t>评价工作完成后，及时向各相关行政事业单位下达了《北京市通州区财政局关于下达财政支出绩效评价整改意见书的通知》，要求项目单位制定整改措施、明确落实情况及工作成效，但各相关单位对于绩效评价中发现问题落实整改是否到位有待明确，项目单位绩效管理意识仍有待进一步提升。整改落实情况在预算管理中体现不够充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2. 服务对象满意度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项目实施结束后，区财政局组织各预算科室和被评价单位开展了服务对象满意度调查工作，经满意度调查，各预算科室对于绩效评价工作100%满意，被评价单位对于中介机构服务</w:t>
      </w:r>
      <w:bookmarkStart w:id="0" w:name="_GoBack"/>
      <w:bookmarkEnd w:id="0"/>
      <w:r>
        <w:rPr>
          <w:rFonts w:hint="default" w:ascii="仿宋_GB2312" w:hAnsi="仿宋_GB2312" w:eastAsia="仿宋_GB2312" w:cs="仿宋_GB2312"/>
          <w:kern w:val="2"/>
          <w:sz w:val="32"/>
          <w:szCs w:val="32"/>
          <w:lang w:val="en-US" w:eastAsia="zh-CN" w:bidi="ar-SA"/>
        </w:rPr>
        <w:t>100%满意。</w:t>
      </w:r>
    </w:p>
    <w:p>
      <w:pPr>
        <w:numPr>
          <w:ilvl w:val="-1"/>
          <w:numId w:val="0"/>
        </w:numPr>
        <w:ind w:firstLine="642" w:firstLineChars="200"/>
        <w:rPr>
          <w:rFonts w:hint="default" w:ascii="黑体" w:hAnsi="黑体" w:eastAsia="黑体" w:cs="黑体"/>
          <w:b/>
          <w:color w:val="auto"/>
          <w:kern w:val="0"/>
          <w:sz w:val="32"/>
          <w:szCs w:val="32"/>
          <w:lang w:val="en-US" w:eastAsia="zh-CN"/>
        </w:rPr>
      </w:pPr>
      <w:r>
        <w:rPr>
          <w:rFonts w:hint="eastAsia" w:ascii="黑体" w:hAnsi="黑体" w:eastAsia="黑体" w:cs="黑体"/>
          <w:b/>
          <w:color w:val="auto"/>
          <w:kern w:val="0"/>
          <w:sz w:val="32"/>
          <w:szCs w:val="32"/>
          <w:lang w:val="en-US" w:eastAsia="zh-CN"/>
        </w:rPr>
        <w:t>五、</w:t>
      </w:r>
      <w:r>
        <w:rPr>
          <w:rFonts w:hint="default" w:ascii="黑体" w:hAnsi="黑体" w:eastAsia="黑体" w:cs="黑体"/>
          <w:b/>
          <w:color w:val="auto"/>
          <w:kern w:val="0"/>
          <w:sz w:val="32"/>
          <w:szCs w:val="32"/>
          <w:lang w:val="en-US" w:eastAsia="zh-CN"/>
        </w:rPr>
        <w:t>主要经验及做法、存在的问题及原因分析</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（一）主要经验做法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通州区预算绩效管理工作紧紧围绕区委区政府决策部署，认真落实国家、市、区相关会议精神，坚持稳中求进工作总基调，以绩效为导向，以绩效目标管理为重点，以成本效益分析为抓手，通过建机制、扩范围、抓重点、补短板，全面推动通州区绩效工作水平迈上新台阶，推动实现财政资金聚力增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一是完善预算绩效管理制度，加强绩效考评结果运用，提升绩效评价结果运用的规范性和有效性，完善“全过程闭环”。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二是严格执行公开招标程序选定委托第三方机构，保证选取中介机构的中立性和独立性，选取工作能力、专业水平、业界信誉较好的第三方机构。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在绩效考评工作中，切实贯彻落实上级有关全面实施预算绩效管理的有关指示精神。深化事前评估机制，评估总规模逐年递增，质量逐渐提升。加大财政绩效评价力度，严格评价标准与力度，以评促学，促使各部门单位预算绩效管理能力符合副中心现代化治理能力要求。</w:t>
      </w:r>
    </w:p>
    <w:p>
      <w:pPr>
        <w:spacing w:line="600" w:lineRule="exact"/>
        <w:ind w:firstLine="640" w:firstLineChars="200"/>
        <w:outlineLvl w:val="0"/>
        <w:rPr>
          <w:rFonts w:hint="eastAsia" w:ascii="楷体_GB2312" w:hAnsi="楷体_GB2312" w:eastAsia="楷体_GB2312" w:cs="楷体_GB2312"/>
          <w:color w:val="auto"/>
          <w:kern w:val="0"/>
          <w:sz w:val="28"/>
          <w:szCs w:val="28"/>
          <w:lang w:val="en-US" w:eastAsia="zh-CN"/>
        </w:rPr>
      </w:pPr>
      <w:r>
        <w:rPr>
          <w:rFonts w:hint="default" w:ascii="楷体_GB2312" w:hAnsi="楷体_GB2312" w:eastAsia="楷体_GB2312" w:cs="楷体_GB2312"/>
          <w:color w:val="auto"/>
          <w:kern w:val="0"/>
          <w:sz w:val="32"/>
          <w:szCs w:val="32"/>
          <w:lang w:val="en-US" w:eastAsia="zh-CN"/>
        </w:rPr>
        <w:t>（二）存在问题及原因分析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绩效考评工作成效在事前绩效评估及成本绩效分析工作中体现充分，实施效益支撑数据明确、量化可衡量，但事后绩效评价工作实施效果支撑资料有待进一步归集完善，对于事后评价结果对部门预算的影响效果，应予以更充分的展现。</w:t>
      </w:r>
    </w:p>
    <w:p>
      <w:pPr>
        <w:pStyle w:val="3"/>
        <w:rPr>
          <w:rFonts w:hint="eastAsia"/>
          <w:sz w:val="28"/>
          <w:szCs w:val="28"/>
        </w:rPr>
      </w:pPr>
      <w:r>
        <w:rPr>
          <w:rFonts w:hint="eastAsia" w:ascii="黑体" w:hAnsi="黑体" w:eastAsia="黑体" w:cs="黑体"/>
          <w:b/>
          <w:color w:val="auto"/>
          <w:kern w:val="0"/>
          <w:sz w:val="32"/>
          <w:szCs w:val="32"/>
          <w:lang w:val="en-US" w:eastAsia="zh-CN" w:bidi="ar-SA"/>
        </w:rPr>
        <w:t>六、有关建议</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（一）加强项目实施效果的呈现</w:t>
      </w:r>
    </w:p>
    <w:p>
      <w:pPr>
        <w:pStyle w:val="3"/>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区财政局应加强事后绩效评价项目的成果应用，预算管理科室加强对预算部门绩效评价工作整改情况的监督与指导，不断督促区级各部门提升预算绩效管理意识。有效落实“预算编制有目标、预算执行有监控、预算完成有评价、评价结果有反馈、反馈结果有应用”的预算绩效管理机制，充分展现财政资金使用效果。</w:t>
      </w:r>
    </w:p>
    <w:p>
      <w:pPr>
        <w:spacing w:line="600" w:lineRule="exact"/>
        <w:ind w:firstLine="640" w:firstLineChars="200"/>
        <w:outlineLvl w:val="0"/>
        <w:rPr>
          <w:rFonts w:hint="default" w:ascii="楷体_GB2312" w:hAnsi="楷体_GB2312" w:eastAsia="楷体_GB2312" w:cs="楷体_GB2312"/>
          <w:color w:val="auto"/>
          <w:kern w:val="0"/>
          <w:sz w:val="32"/>
          <w:szCs w:val="32"/>
          <w:lang w:val="en-US" w:eastAsia="zh-CN"/>
        </w:rPr>
      </w:pPr>
      <w:r>
        <w:rPr>
          <w:rFonts w:hint="default" w:ascii="楷体_GB2312" w:hAnsi="楷体_GB2312" w:eastAsia="楷体_GB2312" w:cs="楷体_GB2312"/>
          <w:color w:val="auto"/>
          <w:kern w:val="0"/>
          <w:sz w:val="32"/>
          <w:szCs w:val="32"/>
          <w:lang w:val="en-US" w:eastAsia="zh-CN"/>
        </w:rPr>
        <w:t>（二）进一步绩效考评服务工作的精细化管理</w:t>
      </w:r>
    </w:p>
    <w:p>
      <w:pPr>
        <w:pStyle w:val="3"/>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规范中介服务机构服务质量及标准，进一步健全完善通州区绩效考评工作实施细则，不断提升管理制度细化程度，使绩效考评服务工作更加精细化，更加贴近通州区的实际情况。</w:t>
      </w:r>
    </w:p>
    <w:p>
      <w:pPr>
        <w:pStyle w:val="3"/>
        <w:rPr>
          <w:rFonts w:hint="eastAsia" w:ascii="黑体" w:hAnsi="黑体" w:eastAsia="黑体" w:cs="黑体"/>
          <w:b/>
          <w:color w:val="auto"/>
          <w:kern w:val="0"/>
          <w:sz w:val="32"/>
          <w:szCs w:val="32"/>
          <w:lang w:val="en-US" w:eastAsia="zh-CN" w:bidi="ar-SA"/>
        </w:rPr>
      </w:pPr>
      <w:r>
        <w:rPr>
          <w:rFonts w:hint="eastAsia" w:ascii="黑体" w:hAnsi="黑体" w:eastAsia="黑体" w:cs="黑体"/>
          <w:b/>
          <w:color w:val="auto"/>
          <w:kern w:val="0"/>
          <w:sz w:val="32"/>
          <w:szCs w:val="32"/>
          <w:lang w:val="en-US" w:eastAsia="zh-CN" w:bidi="ar-SA"/>
        </w:rPr>
        <w:t>六、附件</w:t>
      </w:r>
    </w:p>
    <w:p>
      <w:pPr>
        <w:pStyle w:val="3"/>
        <w:rPr>
          <w:rFonts w:hint="eastAsia"/>
          <w:lang w:val="en-US" w:eastAsia="zh-CN"/>
        </w:rPr>
      </w:pPr>
      <w:r>
        <w:rPr>
          <w:rFonts w:hint="eastAsia" w:ascii="仿宋_GB2312" w:hAnsi="仿宋_GB2312" w:eastAsia="仿宋_GB2312" w:cs="仿宋_GB2312"/>
          <w:kern w:val="2"/>
          <w:sz w:val="32"/>
          <w:szCs w:val="32"/>
          <w:lang w:val="en-US" w:eastAsia="zh-CN" w:bidi="ar-SA"/>
        </w:rPr>
        <w:t>评分表</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color w:val="auto"/>
          <w:kern w:val="0"/>
          <w:sz w:val="22"/>
          <w:szCs w:val="24"/>
          <w:lang w:val="en-US" w:eastAsia="zh-CN" w:bidi="ar-SA"/>
        </w:rPr>
      </w:pPr>
    </w:p>
    <w:tbl>
      <w:tblPr>
        <w:tblStyle w:val="9"/>
        <w:tblW w:w="8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2"/>
        <w:gridCol w:w="1104"/>
        <w:gridCol w:w="2115"/>
        <w:gridCol w:w="1037"/>
        <w:gridCol w:w="803"/>
        <w:gridCol w:w="2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Align w:val="center"/>
          </w:tcPr>
          <w:p>
            <w:pPr>
              <w:jc w:val="center"/>
              <w:rPr>
                <w:rFonts w:hint="eastAsia" w:asciiTheme="minorEastAsia" w:hAnsiTheme="minorEastAsia"/>
                <w:b/>
                <w:bCs/>
                <w:szCs w:val="21"/>
              </w:rPr>
            </w:pPr>
            <w:r>
              <w:rPr>
                <w:rFonts w:hint="eastAsia" w:asciiTheme="minorEastAsia" w:hAnsiTheme="minorEastAsia"/>
                <w:b/>
                <w:bCs/>
                <w:szCs w:val="21"/>
              </w:rPr>
              <w:t>一级指标</w:t>
            </w:r>
          </w:p>
        </w:tc>
        <w:tc>
          <w:tcPr>
            <w:tcW w:w="1104" w:type="dxa"/>
            <w:vAlign w:val="center"/>
          </w:tcPr>
          <w:p>
            <w:pPr>
              <w:jc w:val="center"/>
              <w:rPr>
                <w:rFonts w:hint="eastAsia" w:asciiTheme="minorEastAsia" w:hAnsiTheme="minorEastAsia"/>
                <w:b/>
                <w:bCs/>
                <w:szCs w:val="21"/>
              </w:rPr>
            </w:pPr>
            <w:r>
              <w:rPr>
                <w:rFonts w:hint="eastAsia" w:asciiTheme="minorEastAsia" w:hAnsiTheme="minorEastAsia"/>
                <w:b/>
                <w:bCs/>
                <w:szCs w:val="21"/>
              </w:rPr>
              <w:t>二级指标</w:t>
            </w:r>
          </w:p>
        </w:tc>
        <w:tc>
          <w:tcPr>
            <w:tcW w:w="2115" w:type="dxa"/>
            <w:vAlign w:val="center"/>
          </w:tcPr>
          <w:p>
            <w:pPr>
              <w:jc w:val="center"/>
              <w:rPr>
                <w:rFonts w:hint="eastAsia" w:asciiTheme="minorEastAsia" w:hAnsiTheme="minorEastAsia"/>
                <w:b/>
                <w:bCs/>
                <w:szCs w:val="21"/>
              </w:rPr>
            </w:pPr>
            <w:r>
              <w:rPr>
                <w:rFonts w:hint="eastAsia" w:asciiTheme="minorEastAsia" w:hAnsiTheme="minorEastAsia"/>
                <w:b/>
                <w:bCs/>
                <w:szCs w:val="21"/>
              </w:rPr>
              <w:t>三级指标</w:t>
            </w:r>
          </w:p>
        </w:tc>
        <w:tc>
          <w:tcPr>
            <w:tcW w:w="1037" w:type="dxa"/>
            <w:vAlign w:val="center"/>
          </w:tcPr>
          <w:p>
            <w:pPr>
              <w:jc w:val="center"/>
              <w:rPr>
                <w:rFonts w:hint="default" w:eastAsia="宋体" w:asciiTheme="minorEastAsia" w:hAnsiTheme="minorEastAsia"/>
                <w:b/>
                <w:bCs/>
                <w:szCs w:val="21"/>
                <w:lang w:val="en-US" w:eastAsia="zh-CN"/>
              </w:rPr>
            </w:pPr>
            <w:r>
              <w:rPr>
                <w:rFonts w:hint="eastAsia" w:asciiTheme="minorEastAsia" w:hAnsiTheme="minorEastAsia"/>
                <w:b/>
                <w:bCs/>
                <w:szCs w:val="21"/>
                <w:lang w:val="en-US" w:eastAsia="zh-CN"/>
              </w:rPr>
              <w:t>分值</w:t>
            </w:r>
          </w:p>
        </w:tc>
        <w:tc>
          <w:tcPr>
            <w:tcW w:w="803" w:type="dxa"/>
            <w:vAlign w:val="center"/>
          </w:tcPr>
          <w:p>
            <w:pPr>
              <w:jc w:val="center"/>
              <w:rPr>
                <w:rFonts w:hint="eastAsia" w:asciiTheme="minorEastAsia" w:hAnsiTheme="minorEastAsia"/>
                <w:b/>
                <w:bCs/>
                <w:szCs w:val="21"/>
              </w:rPr>
            </w:pPr>
            <w:r>
              <w:rPr>
                <w:rFonts w:hint="eastAsia" w:asciiTheme="minorEastAsia" w:hAnsiTheme="minorEastAsia"/>
                <w:b/>
                <w:bCs/>
                <w:szCs w:val="21"/>
              </w:rPr>
              <w:t>评分</w:t>
            </w:r>
          </w:p>
        </w:tc>
        <w:tc>
          <w:tcPr>
            <w:tcW w:w="2395" w:type="dxa"/>
            <w:vAlign w:val="center"/>
          </w:tcPr>
          <w:p>
            <w:pPr>
              <w:jc w:val="center"/>
              <w:rPr>
                <w:rFonts w:hint="default" w:eastAsia="宋体" w:asciiTheme="minorEastAsia" w:hAnsiTheme="minorEastAsia"/>
                <w:b/>
                <w:bCs/>
                <w:szCs w:val="21"/>
                <w:lang w:val="en-US" w:eastAsia="zh-CN"/>
              </w:rPr>
            </w:pPr>
            <w:r>
              <w:rPr>
                <w:rFonts w:hint="eastAsia" w:asciiTheme="minorEastAsia" w:hAnsiTheme="minorEastAsia"/>
                <w:b/>
                <w:bCs/>
                <w:szCs w:val="21"/>
                <w:lang w:val="en-US" w:eastAsia="zh-CN"/>
              </w:rPr>
              <w:t>扣分原因分析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restart"/>
            <w:vAlign w:val="center"/>
          </w:tcPr>
          <w:p>
            <w:pPr>
              <w:jc w:val="center"/>
              <w:rPr>
                <w:rFonts w:hint="eastAsia" w:asciiTheme="minorEastAsia" w:hAnsiTheme="minorEastAsia"/>
                <w:szCs w:val="21"/>
              </w:rPr>
            </w:pPr>
            <w:r>
              <w:rPr>
                <w:rFonts w:hint="eastAsia" w:asciiTheme="minorEastAsia" w:hAnsiTheme="minorEastAsia"/>
                <w:szCs w:val="21"/>
              </w:rPr>
              <w:t>决策</w:t>
            </w:r>
          </w:p>
          <w:p>
            <w:pPr>
              <w:jc w:val="center"/>
              <w:rPr>
                <w:rFonts w:hint="eastAsia" w:cs="宋体" w:asciiTheme="minorEastAsia" w:hAnsiTheme="minorEastAsia"/>
                <w:b/>
                <w:bCs/>
                <w:color w:val="000000"/>
                <w:kern w:val="0"/>
                <w:szCs w:val="21"/>
              </w:rPr>
            </w:pPr>
            <w:r>
              <w:rPr>
                <w:rFonts w:hint="eastAsia" w:asciiTheme="minorEastAsia" w:hAnsiTheme="minorEastAsia"/>
                <w:szCs w:val="21"/>
              </w:rPr>
              <w:t>（</w:t>
            </w:r>
            <w:r>
              <w:rPr>
                <w:rFonts w:hint="eastAsia" w:asciiTheme="minorEastAsia" w:hAnsiTheme="minorEastAsia"/>
                <w:szCs w:val="21"/>
                <w:lang w:val="en-US" w:eastAsia="zh-CN"/>
              </w:rPr>
              <w:t>10</w:t>
            </w:r>
            <w:r>
              <w:rPr>
                <w:rFonts w:hint="eastAsia" w:asciiTheme="minorEastAsia" w:hAnsiTheme="minorEastAsia"/>
                <w:szCs w:val="21"/>
              </w:rPr>
              <w:t>分）</w:t>
            </w:r>
          </w:p>
        </w:tc>
        <w:tc>
          <w:tcPr>
            <w:tcW w:w="1104"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项目立项</w:t>
            </w:r>
          </w:p>
        </w:tc>
        <w:tc>
          <w:tcPr>
            <w:tcW w:w="2115"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立项依据充分性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立项程序规范性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绩效目标</w:t>
            </w:r>
          </w:p>
        </w:tc>
        <w:tc>
          <w:tcPr>
            <w:tcW w:w="2115"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绩效目标合理性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2395" w:type="dxa"/>
            <w:vAlign w:val="center"/>
          </w:tcPr>
          <w:p>
            <w:pPr>
              <w:jc w:val="center"/>
              <w:rPr>
                <w:rFonts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绩效指标明确性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资金投入</w:t>
            </w:r>
          </w:p>
        </w:tc>
        <w:tc>
          <w:tcPr>
            <w:tcW w:w="2115" w:type="dxa"/>
            <w:vAlign w:val="center"/>
          </w:tcPr>
          <w:p>
            <w:pPr>
              <w:jc w:val="center"/>
              <w:rPr>
                <w:rFonts w:hint="eastAsia" w:asciiTheme="minorEastAsia" w:hAnsiTheme="minorEastAsia"/>
                <w:szCs w:val="21"/>
              </w:rPr>
            </w:pPr>
            <w:r>
              <w:rPr>
                <w:rFonts w:hint="eastAsia" w:asciiTheme="minorEastAsia" w:hAnsiTheme="minorEastAsia"/>
                <w:szCs w:val="21"/>
              </w:rPr>
              <w:t>预算编制科学性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2395" w:type="dxa"/>
            <w:vAlign w:val="center"/>
          </w:tcPr>
          <w:p>
            <w:pPr>
              <w:jc w:val="center"/>
              <w:rPr>
                <w:rFonts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asciiTheme="minorEastAsia" w:hAnsiTheme="minorEastAsia"/>
                <w:szCs w:val="21"/>
              </w:rPr>
            </w:pPr>
          </w:p>
        </w:tc>
        <w:tc>
          <w:tcPr>
            <w:tcW w:w="2115" w:type="dxa"/>
            <w:vAlign w:val="center"/>
          </w:tcPr>
          <w:p>
            <w:pPr>
              <w:jc w:val="center"/>
              <w:rPr>
                <w:rFonts w:hint="default" w:eastAsia="宋体" w:asciiTheme="minorEastAsia" w:hAnsiTheme="minorEastAsia"/>
                <w:szCs w:val="21"/>
                <w:lang w:val="en-US" w:eastAsia="zh-CN"/>
              </w:rPr>
            </w:pPr>
            <w:r>
              <w:rPr>
                <w:rFonts w:hint="eastAsia" w:asciiTheme="minorEastAsia" w:hAnsiTheme="minorEastAsia"/>
                <w:szCs w:val="21"/>
                <w:lang w:val="en-US" w:eastAsia="zh-CN"/>
              </w:rPr>
              <w:t>资金分配合理性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2395" w:type="dxa"/>
            <w:vAlign w:val="center"/>
          </w:tcPr>
          <w:p>
            <w:pPr>
              <w:jc w:val="center"/>
              <w:rPr>
                <w:rFonts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过程</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cs="宋体" w:asciiTheme="minorEastAsia" w:hAnsiTheme="minorEastAsia"/>
                <w:color w:val="000000"/>
                <w:kern w:val="0"/>
                <w:szCs w:val="21"/>
                <w:lang w:val="en-US" w:eastAsia="zh-CN"/>
              </w:rPr>
              <w:t>20</w:t>
            </w:r>
            <w:r>
              <w:rPr>
                <w:rFonts w:hint="eastAsia" w:asciiTheme="minorEastAsia" w:hAnsiTheme="minorEastAsia"/>
                <w:szCs w:val="21"/>
              </w:rPr>
              <w:t>分</w:t>
            </w:r>
            <w:r>
              <w:rPr>
                <w:rFonts w:hint="eastAsia" w:cs="宋体" w:asciiTheme="minorEastAsia" w:hAnsiTheme="minorEastAsia"/>
                <w:color w:val="000000"/>
                <w:kern w:val="0"/>
                <w:szCs w:val="21"/>
              </w:rPr>
              <w:t>）</w:t>
            </w:r>
          </w:p>
        </w:tc>
        <w:tc>
          <w:tcPr>
            <w:tcW w:w="1104" w:type="dxa"/>
            <w:vMerge w:val="restart"/>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资金管理</w:t>
            </w:r>
          </w:p>
        </w:tc>
        <w:tc>
          <w:tcPr>
            <w:tcW w:w="2115" w:type="dxa"/>
            <w:vAlign w:val="center"/>
          </w:tcPr>
          <w:p>
            <w:pPr>
              <w:jc w:val="center"/>
              <w:rPr>
                <w:rFonts w:hint="default" w:eastAsia="宋体" w:asciiTheme="minorEastAsia" w:hAnsiTheme="minorEastAsia"/>
                <w:szCs w:val="21"/>
                <w:lang w:val="en-US" w:eastAsia="zh-CN"/>
              </w:rPr>
            </w:pPr>
            <w:r>
              <w:rPr>
                <w:rFonts w:hint="eastAsia" w:asciiTheme="minorEastAsia" w:hAnsiTheme="minorEastAsia"/>
                <w:szCs w:val="21"/>
                <w:lang w:val="en-US" w:eastAsia="zh-CN"/>
              </w:rPr>
              <w:t>资金到位率</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2</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预算执行率</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资金使用合规性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4</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restart"/>
            <w:vAlign w:val="center"/>
          </w:tcPr>
          <w:p>
            <w:pPr>
              <w:jc w:val="center"/>
              <w:rPr>
                <w:rFonts w:hint="default" w:eastAsia="宋体" w:asciiTheme="minorEastAsia" w:hAnsiTheme="minorEastAsia"/>
                <w:kern w:val="0"/>
                <w:szCs w:val="21"/>
                <w:lang w:val="en-US" w:eastAsia="zh-CN"/>
              </w:rPr>
            </w:pPr>
            <w:r>
              <w:rPr>
                <w:rFonts w:hint="eastAsia" w:asciiTheme="minorEastAsia" w:hAnsiTheme="minorEastAsia"/>
                <w:szCs w:val="21"/>
                <w:lang w:val="en-US" w:eastAsia="zh-CN"/>
              </w:rPr>
              <w:t>组织实施</w:t>
            </w:r>
          </w:p>
        </w:tc>
        <w:tc>
          <w:tcPr>
            <w:tcW w:w="2115"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管理制度健全性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3</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3</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eastAsia" w:asciiTheme="minorEastAsia" w:hAnsiTheme="minorEastAsia"/>
                <w:szCs w:val="21"/>
              </w:rPr>
            </w:pPr>
            <w:r>
              <w:rPr>
                <w:rFonts w:hint="eastAsia" w:asciiTheme="minorEastAsia" w:hAnsiTheme="minorEastAsia"/>
                <w:szCs w:val="21"/>
              </w:rPr>
              <w:t>制度执行有效性</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7</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7</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产出</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asciiTheme="minorEastAsia" w:hAnsiTheme="minorEastAsia"/>
                <w:szCs w:val="21"/>
                <w:lang w:val="en-US" w:eastAsia="zh-CN"/>
              </w:rPr>
              <w:t>4</w:t>
            </w:r>
            <w:r>
              <w:rPr>
                <w:rFonts w:hint="eastAsia" w:asciiTheme="minorEastAsia" w:hAnsiTheme="minorEastAsia"/>
                <w:szCs w:val="21"/>
              </w:rPr>
              <w:t>0分</w:t>
            </w:r>
            <w:r>
              <w:rPr>
                <w:rFonts w:hint="eastAsia" w:cs="宋体" w:asciiTheme="minorEastAsia" w:hAnsiTheme="minorEastAsia"/>
                <w:color w:val="000000"/>
                <w:kern w:val="0"/>
                <w:szCs w:val="21"/>
              </w:rPr>
              <w:t>）</w:t>
            </w:r>
          </w:p>
        </w:tc>
        <w:tc>
          <w:tcPr>
            <w:tcW w:w="1104"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产出数量</w:t>
            </w:r>
          </w:p>
        </w:tc>
        <w:tc>
          <w:tcPr>
            <w:tcW w:w="2115"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开展绩效评价、事前评估和成本分析项目个数</w:t>
            </w:r>
          </w:p>
        </w:tc>
        <w:tc>
          <w:tcPr>
            <w:tcW w:w="1037"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9</w:t>
            </w:r>
          </w:p>
        </w:tc>
        <w:tc>
          <w:tcPr>
            <w:tcW w:w="2395"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年度指标160个，实际完成536个，完成率=335%，超额完成目标，依据评分标准，扣1分。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Align w:val="center"/>
          </w:tcPr>
          <w:p>
            <w:pPr>
              <w:jc w:val="center"/>
              <w:rPr>
                <w:rFonts w:hint="eastAsia" w:cs="宋体" w:asciiTheme="minorEastAsia" w:hAnsiTheme="minorEastAsia"/>
                <w:b/>
                <w:bCs/>
                <w:color w:val="000000"/>
                <w:kern w:val="0"/>
                <w:szCs w:val="21"/>
              </w:rPr>
            </w:pPr>
            <w:r>
              <w:rPr>
                <w:rFonts w:hint="eastAsia" w:asciiTheme="minorEastAsia" w:hAnsiTheme="minorEastAsia"/>
                <w:szCs w:val="21"/>
              </w:rPr>
              <w:t>产出质量</w:t>
            </w:r>
          </w:p>
        </w:tc>
        <w:tc>
          <w:tcPr>
            <w:tcW w:w="2115"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报告验收合格率</w:t>
            </w:r>
          </w:p>
        </w:tc>
        <w:tc>
          <w:tcPr>
            <w:tcW w:w="1037"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803"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产出时效</w:t>
            </w:r>
          </w:p>
        </w:tc>
        <w:tc>
          <w:tcPr>
            <w:tcW w:w="2115"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12月前完成全部工作</w:t>
            </w:r>
          </w:p>
        </w:tc>
        <w:tc>
          <w:tcPr>
            <w:tcW w:w="1037"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8</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8</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restart"/>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产出成本</w:t>
            </w:r>
          </w:p>
        </w:tc>
        <w:tc>
          <w:tcPr>
            <w:tcW w:w="2115" w:type="dxa"/>
            <w:vAlign w:val="center"/>
          </w:tcPr>
          <w:p>
            <w:pPr>
              <w:jc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预算成本控制数</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eastAsia" w:cs="宋体" w:asciiTheme="minorEastAsia" w:hAnsiTheme="minorEastAsia"/>
                <w:b/>
                <w:bCs/>
                <w:color w:val="000000"/>
                <w:kern w:val="0"/>
                <w:szCs w:val="21"/>
              </w:rPr>
            </w:pPr>
            <w:r>
              <w:rPr>
                <w:rFonts w:hint="eastAsia" w:ascii="宋体" w:hAnsi="宋体" w:eastAsia="宋体" w:cs="宋体"/>
                <w:i w:val="0"/>
                <w:color w:val="000000"/>
                <w:kern w:val="0"/>
                <w:sz w:val="18"/>
                <w:szCs w:val="18"/>
                <w:u w:val="none"/>
                <w:lang w:val="en-US" w:eastAsia="zh-CN" w:bidi="ar"/>
              </w:rPr>
              <w:t>公开招标采购率</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6</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restart"/>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效益</w:t>
            </w:r>
          </w:p>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rPr>
              <w:t>（</w:t>
            </w:r>
            <w:r>
              <w:rPr>
                <w:rFonts w:hint="eastAsia" w:asciiTheme="minorEastAsia" w:hAnsiTheme="minorEastAsia"/>
                <w:szCs w:val="21"/>
              </w:rPr>
              <w:t>30分</w:t>
            </w:r>
            <w:r>
              <w:rPr>
                <w:rFonts w:hint="eastAsia" w:cs="宋体" w:asciiTheme="minorEastAsia" w:hAnsiTheme="minorEastAsia"/>
                <w:color w:val="000000"/>
                <w:kern w:val="0"/>
                <w:szCs w:val="21"/>
              </w:rPr>
              <w:t>）</w:t>
            </w:r>
          </w:p>
        </w:tc>
        <w:tc>
          <w:tcPr>
            <w:tcW w:w="1104" w:type="dxa"/>
            <w:vMerge w:val="restart"/>
            <w:vAlign w:val="center"/>
          </w:tcPr>
          <w:p>
            <w:pPr>
              <w:jc w:val="center"/>
              <w:rPr>
                <w:rFonts w:hint="eastAsia" w:cs="宋体" w:asciiTheme="minorEastAsia" w:hAnsiTheme="minorEastAsia"/>
                <w:b/>
                <w:bCs/>
                <w:color w:val="000000"/>
                <w:kern w:val="0"/>
                <w:szCs w:val="21"/>
              </w:rPr>
            </w:pPr>
            <w:r>
              <w:rPr>
                <w:rFonts w:hint="eastAsia" w:cs="宋体" w:asciiTheme="minorEastAsia" w:hAnsiTheme="minorEastAsia"/>
                <w:color w:val="000000"/>
                <w:kern w:val="0"/>
                <w:szCs w:val="21"/>
                <w:lang w:val="en-US" w:eastAsia="zh-CN"/>
              </w:rPr>
              <w:t>项目</w:t>
            </w:r>
            <w:r>
              <w:rPr>
                <w:rFonts w:hint="eastAsia" w:cs="宋体" w:asciiTheme="minorEastAsia" w:hAnsiTheme="minorEastAsia"/>
                <w:color w:val="000000"/>
                <w:kern w:val="0"/>
                <w:szCs w:val="21"/>
              </w:rPr>
              <w:t>效益</w:t>
            </w:r>
          </w:p>
        </w:tc>
        <w:tc>
          <w:tcPr>
            <w:tcW w:w="2115" w:type="dxa"/>
            <w:vAlign w:val="center"/>
          </w:tcPr>
          <w:p>
            <w:pPr>
              <w:jc w:val="center"/>
              <w:rPr>
                <w:rFonts w:hint="eastAsia" w:cs="宋体" w:asciiTheme="minorEastAsia" w:hAnsiTheme="minorEastAsia"/>
                <w:bCs/>
                <w:color w:val="000000"/>
                <w:kern w:val="0"/>
                <w:szCs w:val="21"/>
              </w:rPr>
            </w:pPr>
            <w:r>
              <w:rPr>
                <w:rFonts w:hint="eastAsia" w:ascii="宋体" w:hAnsi="宋体" w:eastAsia="宋体" w:cs="宋体"/>
                <w:i w:val="0"/>
                <w:color w:val="000000"/>
                <w:kern w:val="0"/>
                <w:sz w:val="18"/>
                <w:szCs w:val="18"/>
                <w:u w:val="none"/>
                <w:lang w:val="en-US" w:eastAsia="zh-CN" w:bidi="ar"/>
              </w:rPr>
              <w:t>绩效考评结果有效应用，推动财政资金聚力增效，为通州区高质量发展提供有力保障</w:t>
            </w:r>
          </w:p>
        </w:tc>
        <w:tc>
          <w:tcPr>
            <w:tcW w:w="1037"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803"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8</w:t>
            </w:r>
          </w:p>
        </w:tc>
        <w:tc>
          <w:tcPr>
            <w:tcW w:w="2395" w:type="dxa"/>
            <w:vAlign w:val="center"/>
          </w:tcPr>
          <w:p>
            <w:pPr>
              <w:jc w:val="center"/>
              <w:rPr>
                <w:rFonts w:cs="宋体" w:asciiTheme="minorEastAsia" w:hAnsiTheme="minorEastAsia"/>
                <w:bCs/>
                <w:color w:val="000000"/>
                <w:kern w:val="0"/>
                <w:szCs w:val="21"/>
              </w:rPr>
            </w:pPr>
            <w:r>
              <w:rPr>
                <w:rFonts w:hint="eastAsia" w:ascii="宋体" w:hAnsi="宋体" w:cs="宋体"/>
                <w:color w:val="auto"/>
                <w:kern w:val="0"/>
                <w:sz w:val="18"/>
                <w:szCs w:val="18"/>
              </w:rPr>
              <w:t>对事后评价项目的结果应用情况体现充分性仍有提升空间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color w:val="000000"/>
                <w:kern w:val="0"/>
                <w:szCs w:val="21"/>
              </w:rPr>
            </w:pPr>
          </w:p>
        </w:tc>
        <w:tc>
          <w:tcPr>
            <w:tcW w:w="1104" w:type="dxa"/>
            <w:vMerge w:val="continue"/>
            <w:vAlign w:val="center"/>
          </w:tcPr>
          <w:p>
            <w:pPr>
              <w:jc w:val="center"/>
              <w:rPr>
                <w:rFonts w:hint="eastAsia" w:cs="宋体" w:asciiTheme="minorEastAsia" w:hAnsiTheme="minorEastAsia"/>
                <w:color w:val="000000"/>
                <w:kern w:val="0"/>
                <w:szCs w:val="21"/>
              </w:rPr>
            </w:pPr>
          </w:p>
        </w:tc>
        <w:tc>
          <w:tcPr>
            <w:tcW w:w="2115" w:type="dxa"/>
            <w:vAlign w:val="center"/>
          </w:tcPr>
          <w:p>
            <w:pPr>
              <w:jc w:val="center"/>
              <w:rPr>
                <w:rFonts w:hint="eastAsia" w:cs="宋体" w:asciiTheme="minorEastAsia" w:hAnsiTheme="minorEastAsia"/>
                <w:color w:val="000000"/>
                <w:kern w:val="0"/>
                <w:szCs w:val="21"/>
              </w:rPr>
            </w:pPr>
            <w:r>
              <w:rPr>
                <w:rFonts w:hint="eastAsia" w:ascii="宋体" w:hAnsi="宋体" w:eastAsia="宋体" w:cs="宋体"/>
                <w:i w:val="0"/>
                <w:color w:val="000000"/>
                <w:kern w:val="0"/>
                <w:sz w:val="18"/>
                <w:szCs w:val="18"/>
                <w:u w:val="none"/>
                <w:lang w:val="en-US" w:eastAsia="zh-CN" w:bidi="ar"/>
              </w:rPr>
              <w:t>持续增强政府公信力和执行力</w:t>
            </w:r>
          </w:p>
        </w:tc>
        <w:tc>
          <w:tcPr>
            <w:tcW w:w="1037"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c>
          <w:tcPr>
            <w:tcW w:w="803"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eastAsia" w:cs="宋体" w:asciiTheme="minorEastAsia" w:hAnsiTheme="minorEastAsia"/>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优化财政资源配置和使用效益、提升公共服务质量</w:t>
            </w:r>
          </w:p>
        </w:tc>
        <w:tc>
          <w:tcPr>
            <w:tcW w:w="1037"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w:t>
            </w:r>
          </w:p>
        </w:tc>
        <w:tc>
          <w:tcPr>
            <w:tcW w:w="803"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9.5</w:t>
            </w:r>
          </w:p>
        </w:tc>
        <w:tc>
          <w:tcPr>
            <w:tcW w:w="2395" w:type="dxa"/>
            <w:vAlign w:val="center"/>
          </w:tcPr>
          <w:p>
            <w:pPr>
              <w:jc w:val="center"/>
              <w:rPr>
                <w:rFonts w:hint="eastAsia" w:cs="宋体" w:asciiTheme="minorEastAsia" w:hAnsiTheme="minorEastAsia"/>
                <w:bCs/>
                <w:color w:val="000000"/>
                <w:kern w:val="0"/>
                <w:szCs w:val="21"/>
              </w:rPr>
            </w:pPr>
            <w:r>
              <w:rPr>
                <w:rFonts w:hint="eastAsia" w:ascii="宋体" w:hAnsi="宋体" w:cs="宋体"/>
                <w:color w:val="auto"/>
                <w:kern w:val="0"/>
                <w:sz w:val="18"/>
                <w:szCs w:val="18"/>
              </w:rPr>
              <w:t>各项目单位对评价结论的整改落实情况在预算管理中体现不够充分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Merge w:val="continue"/>
            <w:vAlign w:val="center"/>
          </w:tcPr>
          <w:p>
            <w:pPr>
              <w:jc w:val="center"/>
              <w:rPr>
                <w:rFonts w:hint="eastAsia" w:cs="宋体" w:asciiTheme="minorEastAsia" w:hAnsiTheme="minorEastAsia"/>
                <w:b/>
                <w:bCs/>
                <w:color w:val="000000"/>
                <w:kern w:val="0"/>
                <w:szCs w:val="21"/>
              </w:rPr>
            </w:pPr>
          </w:p>
        </w:tc>
        <w:tc>
          <w:tcPr>
            <w:tcW w:w="1104" w:type="dxa"/>
            <w:vMerge w:val="continue"/>
            <w:vAlign w:val="center"/>
          </w:tcPr>
          <w:p>
            <w:pPr>
              <w:jc w:val="center"/>
              <w:rPr>
                <w:rFonts w:hint="eastAsia" w:cs="宋体" w:asciiTheme="minorEastAsia" w:hAnsiTheme="minorEastAsia"/>
                <w:b/>
                <w:bCs/>
                <w:color w:val="000000"/>
                <w:kern w:val="0"/>
                <w:szCs w:val="21"/>
              </w:rPr>
            </w:pPr>
          </w:p>
        </w:tc>
        <w:tc>
          <w:tcPr>
            <w:tcW w:w="2115" w:type="dxa"/>
            <w:vAlign w:val="center"/>
          </w:tcPr>
          <w:p>
            <w:pPr>
              <w:jc w:val="center"/>
              <w:rPr>
                <w:rFonts w:hint="default" w:eastAsia="宋体" w:cs="宋体" w:asciiTheme="minorEastAsia" w:hAnsiTheme="minorEastAsia"/>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被评单位满意度</w:t>
            </w:r>
          </w:p>
        </w:tc>
        <w:tc>
          <w:tcPr>
            <w:tcW w:w="1037"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c>
          <w:tcPr>
            <w:tcW w:w="803" w:type="dxa"/>
            <w:vAlign w:val="center"/>
          </w:tcPr>
          <w:p>
            <w:pPr>
              <w:jc w:val="center"/>
              <w:rPr>
                <w:rFonts w:hint="eastAsia"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5</w:t>
            </w:r>
          </w:p>
        </w:tc>
        <w:tc>
          <w:tcPr>
            <w:tcW w:w="2395" w:type="dxa"/>
            <w:vAlign w:val="center"/>
          </w:tcPr>
          <w:p>
            <w:pPr>
              <w:jc w:val="center"/>
              <w:rPr>
                <w:rFonts w:hint="eastAsia" w:cs="宋体" w:asciiTheme="minorEastAsia" w:hAnsiTheme="minorEastAsi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76" w:type="dxa"/>
            <w:gridSpan w:val="2"/>
            <w:vAlign w:val="center"/>
          </w:tcPr>
          <w:p>
            <w:pPr>
              <w:jc w:val="center"/>
              <w:rPr>
                <w:rFonts w:hint="eastAsia" w:cs="宋体" w:asciiTheme="minorEastAsia" w:hAnsiTheme="minorEastAsia"/>
                <w:color w:val="000000"/>
                <w:kern w:val="0"/>
                <w:szCs w:val="21"/>
              </w:rPr>
            </w:pPr>
            <w:r>
              <w:rPr>
                <w:rFonts w:hint="eastAsia" w:cs="宋体" w:asciiTheme="minorEastAsia" w:hAnsiTheme="minorEastAsia"/>
                <w:b/>
                <w:color w:val="000000"/>
                <w:kern w:val="0"/>
                <w:szCs w:val="21"/>
              </w:rPr>
              <w:t>合计</w:t>
            </w:r>
          </w:p>
        </w:tc>
        <w:tc>
          <w:tcPr>
            <w:tcW w:w="2115" w:type="dxa"/>
            <w:vAlign w:val="center"/>
          </w:tcPr>
          <w:p>
            <w:pPr>
              <w:jc w:val="center"/>
              <w:rPr>
                <w:rFonts w:hint="eastAsia" w:cs="宋体" w:asciiTheme="minorEastAsia" w:hAnsiTheme="minorEastAsia"/>
                <w:color w:val="000000"/>
                <w:kern w:val="0"/>
                <w:szCs w:val="21"/>
              </w:rPr>
            </w:pPr>
          </w:p>
        </w:tc>
        <w:tc>
          <w:tcPr>
            <w:tcW w:w="1037"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100</w:t>
            </w:r>
          </w:p>
        </w:tc>
        <w:tc>
          <w:tcPr>
            <w:tcW w:w="803" w:type="dxa"/>
            <w:vAlign w:val="center"/>
          </w:tcPr>
          <w:p>
            <w:pPr>
              <w:jc w:val="center"/>
              <w:rPr>
                <w:rFonts w:hint="default" w:eastAsia="宋体" w:cs="宋体" w:asciiTheme="minorEastAsia" w:hAnsiTheme="minorEastAsia"/>
                <w:bCs/>
                <w:color w:val="000000"/>
                <w:kern w:val="0"/>
                <w:szCs w:val="21"/>
                <w:lang w:val="en-US" w:eastAsia="zh-CN"/>
              </w:rPr>
            </w:pPr>
            <w:r>
              <w:rPr>
                <w:rFonts w:hint="eastAsia" w:cs="宋体" w:asciiTheme="minorEastAsia" w:hAnsiTheme="minorEastAsia"/>
                <w:bCs/>
                <w:color w:val="000000"/>
                <w:kern w:val="0"/>
                <w:szCs w:val="21"/>
                <w:lang w:val="en-US" w:eastAsia="zh-CN"/>
              </w:rPr>
              <w:t>96.5</w:t>
            </w:r>
          </w:p>
        </w:tc>
        <w:tc>
          <w:tcPr>
            <w:tcW w:w="2395" w:type="dxa"/>
            <w:vAlign w:val="center"/>
          </w:tcPr>
          <w:p>
            <w:pPr>
              <w:jc w:val="center"/>
              <w:rPr>
                <w:rFonts w:hint="eastAsia" w:cs="宋体" w:asciiTheme="minorEastAsia" w:hAnsiTheme="minorEastAsia"/>
                <w:bCs/>
                <w:color w:val="000000"/>
                <w:kern w:val="0"/>
                <w:szCs w:val="21"/>
              </w:rPr>
            </w:pPr>
          </w:p>
        </w:tc>
      </w:tr>
    </w:tbl>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p>
      <w:pPr>
        <w:rPr>
          <w:rFonts w:hint="default"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false"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RBTr0gEAAIQDAAAOAAAAZHJz&#10;L2Uyb0RvYy54bWytU81uEzEQviPxDpbvzW5SUUWrOFWhKkJCgFR4AMdrZy35T2Mnu+EB4A04ceHO&#10;c+U5OvZmU0RvVS/eGc/4m++bmV1dD9aQvYSovWN0PqspkU74Vrsto9++3l0sKYmJu5Yb7ySjBxnp&#10;9fr1q1UfGrnwnTetBIIgLjZ9YLRLKTRVFUUnLY8zH6TDoPJgeUIXtlULvEd0a6pFXV9VvYc2gBcy&#10;Rry9HYN0XfCVkiJ9VirKRAyjyC2VE8q5yWe1XvFmCzx0Wpxo8GewsFw7LHqGuuWJkx3oJ1BWC/DR&#10;qzQT3lZeKS1k0YBq5vV/au47HmTRgs2J4dym+HKw4tP+CxDd4uwocdziiI6/fh5//z3++UEWuT19&#10;iA1m3QfMS8NbPzCaYCenUMT7LHxQYPMXJRFMwV4fzv2VQyICL+fLxXJZY0hgbHKwRPX4PEBM76W3&#10;JBuMAg6w9JXvP8Y0pk4puZrzd9qYMkTjSM/o1eWbujw4RxDcOKyRdYxks5WGzXASt/HtAbXhEmPB&#10;zsN3SnpcCEYdbiwl5oPDfufdmQyYjM1kcCfwITaGktF8l9BT3EQE2AXQ2w6xRz/TjuFml5B6UZTp&#10;jBxOLHHUpSentcy79K9fsh5/nv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ABEFOvSAQAA&#10;hAMAAA4AAAAAAAAAAQAgAAAANQEAAGRycy9lMm9Eb2MueG1sUEsFBgAAAAAGAAYAWQEAAHkFAAAA&#10;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8CD086"/>
    <w:multiLevelType w:val="singleLevel"/>
    <w:tmpl w:val="358CD08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4E62E18"/>
    <w:rsid w:val="05CB200E"/>
    <w:rsid w:val="0C8165E0"/>
    <w:rsid w:val="10615A49"/>
    <w:rsid w:val="12977E48"/>
    <w:rsid w:val="13347445"/>
    <w:rsid w:val="17887D5F"/>
    <w:rsid w:val="19DE010A"/>
    <w:rsid w:val="1AF000F5"/>
    <w:rsid w:val="1D7E40DE"/>
    <w:rsid w:val="1EF02DBA"/>
    <w:rsid w:val="1F8B0B41"/>
    <w:rsid w:val="229D4D25"/>
    <w:rsid w:val="26630315"/>
    <w:rsid w:val="2767173F"/>
    <w:rsid w:val="280C7F59"/>
    <w:rsid w:val="2858552C"/>
    <w:rsid w:val="2CBF8107"/>
    <w:rsid w:val="2EB70209"/>
    <w:rsid w:val="30594760"/>
    <w:rsid w:val="3065855F"/>
    <w:rsid w:val="30FF2B40"/>
    <w:rsid w:val="35D339CB"/>
    <w:rsid w:val="36CF7283"/>
    <w:rsid w:val="37EE4D9D"/>
    <w:rsid w:val="3D7D3613"/>
    <w:rsid w:val="3FF79B31"/>
    <w:rsid w:val="445F7F16"/>
    <w:rsid w:val="44611448"/>
    <w:rsid w:val="4B3F0159"/>
    <w:rsid w:val="4BA31FDB"/>
    <w:rsid w:val="4BCB40E3"/>
    <w:rsid w:val="4BCB7C3F"/>
    <w:rsid w:val="4BFF9656"/>
    <w:rsid w:val="4C9149E5"/>
    <w:rsid w:val="52A443C7"/>
    <w:rsid w:val="534A7FE3"/>
    <w:rsid w:val="537A1457"/>
    <w:rsid w:val="537B9DA3"/>
    <w:rsid w:val="577FC547"/>
    <w:rsid w:val="5A474F5C"/>
    <w:rsid w:val="5B095A49"/>
    <w:rsid w:val="5DDF52D1"/>
    <w:rsid w:val="5EDB0B63"/>
    <w:rsid w:val="5F5F04E8"/>
    <w:rsid w:val="5F9F33EB"/>
    <w:rsid w:val="5FFE1F39"/>
    <w:rsid w:val="61F72543"/>
    <w:rsid w:val="625978FB"/>
    <w:rsid w:val="67D13769"/>
    <w:rsid w:val="67FD341E"/>
    <w:rsid w:val="69FFE0F5"/>
    <w:rsid w:val="6AC7B1A3"/>
    <w:rsid w:val="6B77FB6F"/>
    <w:rsid w:val="6D5B4E6F"/>
    <w:rsid w:val="6EE9A86C"/>
    <w:rsid w:val="6FD43E60"/>
    <w:rsid w:val="71DB912D"/>
    <w:rsid w:val="73FB7019"/>
    <w:rsid w:val="7416564C"/>
    <w:rsid w:val="763E871D"/>
    <w:rsid w:val="78B33DB1"/>
    <w:rsid w:val="79EBFCAD"/>
    <w:rsid w:val="7BBD97BD"/>
    <w:rsid w:val="7BED256C"/>
    <w:rsid w:val="7BFE4A5B"/>
    <w:rsid w:val="7BFFEC6B"/>
    <w:rsid w:val="7DBF4FBB"/>
    <w:rsid w:val="7DCD9330"/>
    <w:rsid w:val="7DD758A1"/>
    <w:rsid w:val="7E562264"/>
    <w:rsid w:val="7E5EB5A1"/>
    <w:rsid w:val="7ED92098"/>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9E76418"/>
    <w:rsid w:val="DDEA673E"/>
    <w:rsid w:val="DFEAA56F"/>
    <w:rsid w:val="E6922BE3"/>
    <w:rsid w:val="EB5BB730"/>
    <w:rsid w:val="EDFF835A"/>
    <w:rsid w:val="EEBB59E1"/>
    <w:rsid w:val="EFCF022D"/>
    <w:rsid w:val="F37B3AB2"/>
    <w:rsid w:val="F6FF4047"/>
    <w:rsid w:val="F7E365DE"/>
    <w:rsid w:val="FA5A168B"/>
    <w:rsid w:val="FD3F40DC"/>
    <w:rsid w:val="FD8E962E"/>
    <w:rsid w:val="FDFF56D3"/>
    <w:rsid w:val="FEF8056D"/>
    <w:rsid w:val="FEF82787"/>
    <w:rsid w:val="FEFD3F0E"/>
    <w:rsid w:val="FF3E2DE3"/>
    <w:rsid w:val="FFBA2060"/>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character" w:customStyle="1" w:styleId="12">
    <w:name w:val="font81"/>
    <w:basedOn w:val="10"/>
    <w:qFormat/>
    <w:uiPriority w:val="0"/>
    <w:rPr>
      <w:rFonts w:hint="eastAsia" w:ascii="宋体" w:hAnsi="宋体" w:eastAsia="宋体" w:cs="宋体"/>
      <w:color w:val="000000"/>
      <w:sz w:val="20"/>
      <w:szCs w:val="20"/>
      <w:u w:val="none"/>
    </w:rPr>
  </w:style>
  <w:style w:type="character" w:customStyle="1" w:styleId="13">
    <w:name w:val="font11"/>
    <w:basedOn w:val="10"/>
    <w:qFormat/>
    <w:uiPriority w:val="0"/>
    <w:rPr>
      <w:rFonts w:hint="eastAsia" w:ascii="仿宋_GB2312" w:eastAsia="仿宋_GB2312" w:cs="仿宋_GB2312"/>
      <w:color w:val="000000"/>
      <w:sz w:val="24"/>
      <w:szCs w:val="24"/>
      <w:u w:val="none"/>
    </w:rPr>
  </w:style>
  <w:style w:type="character" w:customStyle="1" w:styleId="14">
    <w:name w:val="font61"/>
    <w:basedOn w:val="10"/>
    <w:qFormat/>
    <w:uiPriority w:val="0"/>
    <w:rPr>
      <w:rFonts w:hint="eastAsia" w:ascii="仿宋_GB2312" w:eastAsia="仿宋_GB2312" w:cs="仿宋_GB2312"/>
      <w:color w:val="000000"/>
      <w:sz w:val="24"/>
      <w:szCs w:val="24"/>
      <w:u w:val="none"/>
    </w:rPr>
  </w:style>
  <w:style w:type="character" w:customStyle="1" w:styleId="15">
    <w:name w:val="font71"/>
    <w:basedOn w:val="10"/>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 w:type="character" w:customStyle="1" w:styleId="18">
    <w:name w:val="font21"/>
    <w:basedOn w:val="10"/>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3258</Words>
  <Characters>3381</Characters>
  <Lines>0</Lines>
  <Paragraphs>0</Paragraphs>
  <TotalTime>3</TotalTime>
  <ScaleCrop>false</ScaleCrop>
  <LinksUpToDate>false</LinksUpToDate>
  <CharactersWithSpaces>3393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2024-03-16T19:08:00Z</dcterms:created>
  <dc:creator>user</dc:creator>
  <cp:lastModifiedBy>user</cp:lastModifiedBy>
  <cp:lastPrinted>2025-01-11T17:22:00Z</cp:lastPrinted>
  <dcterms:modified xsi:type="dcterms:W3CDTF">2025-09-26T09:42:58Z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TemplateDocerSaveRecord">
    <vt:lpwstr>eyJoZGlkIjoiMDczZDRhNGNlNzczZTkwZmYyOTYzMTg2ODcyNmRmMWYiLCJ1c2VySWQiOiIxMTcyMjczOTM1In0=</vt:lpwstr>
  </property>
  <property fmtid="{D5CDD505-2E9C-101B-9397-08002B2CF9AE}" pid="4" name="ICV">
    <vt:lpwstr>97D5AF1A624540BDB7E10BC045148794_13</vt:lpwstr>
  </property>
</Properties>
</file>