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w:t>
      </w:r>
      <w:r>
        <w:rPr>
          <w:rFonts w:hint="eastAsia" w:ascii="黑体" w:hAnsi="黑体" w:eastAsia="黑体"/>
          <w:color w:val="auto"/>
          <w:sz w:val="32"/>
          <w:szCs w:val="32"/>
          <w:lang w:val="en-US" w:eastAsia="zh-CN"/>
        </w:rPr>
        <w:t>2-2</w:t>
      </w:r>
    </w:p>
    <w:tbl>
      <w:tblPr>
        <w:tblStyle w:val="8"/>
        <w:tblW w:w="8928" w:type="dxa"/>
        <w:jc w:val="center"/>
        <w:tblLayout w:type="fixed"/>
        <w:tblCellMar>
          <w:top w:w="0" w:type="dxa"/>
          <w:left w:w="108" w:type="dxa"/>
          <w:bottom w:w="0" w:type="dxa"/>
          <w:right w:w="108" w:type="dxa"/>
        </w:tblCellMar>
      </w:tblPr>
      <w:tblGrid>
        <w:gridCol w:w="578"/>
        <w:gridCol w:w="969"/>
        <w:gridCol w:w="1086"/>
        <w:gridCol w:w="718"/>
        <w:gridCol w:w="1114"/>
        <w:gridCol w:w="224"/>
        <w:gridCol w:w="883"/>
        <w:gridCol w:w="848"/>
        <w:gridCol w:w="202"/>
        <w:gridCol w:w="355"/>
        <w:gridCol w:w="416"/>
        <w:gridCol w:w="446"/>
        <w:gridCol w:w="390"/>
        <w:gridCol w:w="699"/>
      </w:tblGrid>
      <w:tr>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noWrap w:val="0"/>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noWrap w:val="0"/>
            <w:vAlign w:val="top"/>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default" w:ascii="宋体" w:hAnsi="宋体" w:cs="宋体"/>
                <w:color w:val="auto"/>
                <w:kern w:val="0"/>
                <w:sz w:val="22"/>
                <w:lang w:val="en"/>
              </w:rPr>
              <w:t>202</w:t>
            </w:r>
            <w:r>
              <w:rPr>
                <w:rFonts w:hint="eastAsia" w:ascii="宋体" w:hAnsi="宋体" w:cs="宋体"/>
                <w:color w:val="auto"/>
                <w:kern w:val="0"/>
                <w:sz w:val="22"/>
                <w:lang w:val="en-US" w:eastAsia="zh-CN"/>
              </w:rPr>
              <w:t>4</w:t>
            </w:r>
            <w:r>
              <w:rPr>
                <w:rFonts w:hint="eastAsia" w:ascii="宋体" w:hAnsi="宋体" w:cs="宋体"/>
                <w:color w:val="auto"/>
                <w:kern w:val="0"/>
                <w:sz w:val="22"/>
              </w:rPr>
              <w:t xml:space="preserve">  年度）</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 w:eastAsia="zh-CN"/>
              </w:rPr>
            </w:pPr>
            <w:r>
              <w:rPr>
                <w:rFonts w:hint="eastAsia" w:ascii="宋体" w:hAnsi="宋体" w:cs="宋体"/>
                <w:color w:val="auto"/>
                <w:kern w:val="0"/>
                <w:sz w:val="18"/>
                <w:szCs w:val="18"/>
                <w:lang w:val="en" w:eastAsia="zh-CN"/>
              </w:rPr>
              <w:t>监督检查项目服务</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通州区财政局</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通州区财政局</w:t>
            </w:r>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left"/>
              <w:rPr>
                <w:rFonts w:ascii="宋体" w:hAnsi="宋体" w:cs="宋体"/>
                <w:color w:val="auto"/>
                <w:kern w:val="0"/>
                <w:sz w:val="18"/>
                <w:szCs w:val="18"/>
              </w:rPr>
            </w:pPr>
            <w:bookmarkStart w:id="0" w:name="_GoBack"/>
            <w:bookmarkEnd w:id="0"/>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83</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83</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
              </w:rPr>
            </w:pPr>
            <w:r>
              <w:rPr>
                <w:rFonts w:hint="eastAsia" w:ascii="宋体" w:hAnsi="宋体" w:cs="宋体"/>
                <w:color w:val="auto"/>
                <w:kern w:val="0"/>
                <w:sz w:val="18"/>
                <w:szCs w:val="18"/>
                <w:lang w:val="en-US" w:eastAsia="zh-CN"/>
              </w:rPr>
              <w:t>100</w:t>
            </w:r>
            <w:r>
              <w:rPr>
                <w:rFonts w:hint="default" w:ascii="宋体" w:hAnsi="宋体" w:cs="宋体"/>
                <w:color w:val="auto"/>
                <w:kern w:val="0"/>
                <w:sz w:val="18"/>
                <w:szCs w:val="18"/>
                <w:lang w:val="en"/>
              </w:rPr>
              <w:t>%</w:t>
            </w: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83</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
              </w:rPr>
            </w:pPr>
            <w:r>
              <w:rPr>
                <w:rFonts w:hint="default" w:ascii="宋体" w:hAnsi="宋体" w:cs="宋体"/>
                <w:color w:val="auto"/>
                <w:kern w:val="0"/>
                <w:sz w:val="18"/>
                <w:szCs w:val="18"/>
                <w:lang w:val="en"/>
              </w:rPr>
              <w:t>83</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
              </w:rPr>
            </w:pPr>
            <w:r>
              <w:rPr>
                <w:rFonts w:hint="eastAsia" w:ascii="宋体" w:hAnsi="宋体" w:cs="宋体"/>
                <w:color w:val="auto"/>
                <w:kern w:val="0"/>
                <w:sz w:val="18"/>
                <w:szCs w:val="18"/>
                <w:lang w:val="en-US" w:eastAsia="zh-CN"/>
              </w:rPr>
              <w:t>100</w:t>
            </w:r>
            <w:r>
              <w:rPr>
                <w:rFonts w:hint="default" w:ascii="宋体" w:hAnsi="宋体" w:cs="宋体"/>
                <w:color w:val="auto"/>
                <w:kern w:val="0"/>
                <w:sz w:val="18"/>
                <w:szCs w:val="18"/>
                <w:lang w:val="en"/>
              </w:rPr>
              <w:t>%</w:t>
            </w: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2078" w:hRule="exact"/>
          <w:jc w:val="center"/>
        </w:trPr>
        <w:tc>
          <w:tcPr>
            <w:tcW w:w="57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该项目根据通州区财政局全年财政监督检查计划及全市统一监督工作安排，区政府工作安排等上级文件要求，开展财税政策</w:t>
            </w:r>
            <w:r>
              <w:rPr>
                <w:rFonts w:hint="eastAsia" w:ascii="宋体" w:hAnsi="宋体" w:cs="宋体"/>
                <w:color w:val="auto"/>
                <w:kern w:val="0"/>
                <w:sz w:val="18"/>
                <w:szCs w:val="18"/>
                <w:lang w:eastAsia="zh-CN"/>
              </w:rPr>
              <w:t>执行</w:t>
            </w:r>
            <w:r>
              <w:rPr>
                <w:rFonts w:hint="eastAsia" w:ascii="宋体" w:hAnsi="宋体" w:cs="宋体"/>
                <w:color w:val="auto"/>
                <w:kern w:val="0"/>
                <w:sz w:val="18"/>
                <w:szCs w:val="18"/>
              </w:rPr>
              <w:t>情况检查、2024年度会计监督检查、预算日常管理检查、其他财政专项检查、上级部署及配合其他区级部门的各项临时性检查，起到发挥会计监督服务宏观调控和财政管理、保障财税政策执行、提高财政资金使用效益的作用。</w:t>
            </w:r>
          </w:p>
        </w:tc>
        <w:tc>
          <w:tcPr>
            <w:tcW w:w="335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事务所已按合同约定为2024年度会计信息质量检查、中小学膳食经费检查、街道和乡镇第三方服务检查等9个重点检查项目提供专业支持，涉及全区所有预算单位，其中现场检查涉及全区所有街道乡镇和7家行政事业单位，完成检查报告73份，较好完成了本年度监督检查项目的既定目标任务。</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56"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88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6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08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47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56"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rPr>
              <w:t>全年专项监督检查类别</w:t>
            </w:r>
            <w:r>
              <w:rPr>
                <w:rFonts w:hint="eastAsia" w:ascii="宋体" w:hAnsi="宋体" w:cs="宋体"/>
                <w:color w:val="auto"/>
                <w:kern w:val="0"/>
                <w:sz w:val="18"/>
                <w:szCs w:val="18"/>
              </w:rPr>
              <w:tab/>
            </w:r>
          </w:p>
          <w:p>
            <w:pPr>
              <w:widowControl/>
              <w:spacing w:line="240" w:lineRule="exact"/>
              <w:jc w:val="left"/>
              <w:rPr>
                <w:rFonts w:hint="default" w:ascii="宋体" w:hAnsi="宋体" w:cs="宋体"/>
                <w:color w:val="auto"/>
                <w:kern w:val="0"/>
                <w:sz w:val="18"/>
                <w:szCs w:val="18"/>
                <w:lang w:val="en"/>
              </w:rPr>
            </w:pPr>
            <w:r>
              <w:rPr>
                <w:rFonts w:hint="default" w:ascii="宋体" w:hAnsi="宋体" w:cs="宋体"/>
                <w:color w:val="auto"/>
                <w:kern w:val="0"/>
                <w:sz w:val="18"/>
                <w:szCs w:val="18"/>
                <w:lang w:val="en"/>
              </w:rPr>
              <w:t>4</w:t>
            </w:r>
          </w:p>
        </w:tc>
        <w:tc>
          <w:tcPr>
            <w:tcW w:w="88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
              </w:rPr>
            </w:pPr>
            <w:r>
              <w:rPr>
                <w:rFonts w:hint="default" w:ascii="宋体" w:hAnsi="宋体" w:cs="宋体"/>
                <w:color w:val="auto"/>
                <w:kern w:val="0"/>
                <w:sz w:val="18"/>
                <w:szCs w:val="18"/>
                <w:lang w:val="en"/>
              </w:rPr>
              <w:t>4</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
              </w:rPr>
            </w:pPr>
            <w:r>
              <w:rPr>
                <w:rFonts w:hint="default" w:ascii="宋体" w:hAnsi="宋体" w:cs="宋体"/>
                <w:color w:val="auto"/>
                <w:kern w:val="0"/>
                <w:sz w:val="18"/>
                <w:szCs w:val="18"/>
                <w:lang w:val="en"/>
              </w:rPr>
              <w:t>10</w:t>
            </w:r>
          </w:p>
        </w:tc>
        <w:tc>
          <w:tcPr>
            <w:tcW w:w="86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
              </w:rPr>
            </w:pPr>
            <w:r>
              <w:rPr>
                <w:rFonts w:hint="default" w:ascii="宋体" w:hAnsi="宋体" w:cs="宋体"/>
                <w:color w:val="auto"/>
                <w:kern w:val="0"/>
                <w:sz w:val="18"/>
                <w:szCs w:val="18"/>
                <w:lang w:val="en"/>
              </w:rPr>
              <w:t>10</w:t>
            </w:r>
          </w:p>
        </w:tc>
        <w:tc>
          <w:tcPr>
            <w:tcW w:w="108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6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056"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出具符合相关制度、规范的报告</w:t>
            </w:r>
          </w:p>
        </w:tc>
        <w:tc>
          <w:tcPr>
            <w:tcW w:w="88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
              </w:rPr>
            </w:pPr>
            <w:r>
              <w:rPr>
                <w:rFonts w:hint="default" w:ascii="宋体" w:hAnsi="宋体" w:cs="宋体"/>
                <w:color w:val="auto"/>
                <w:kern w:val="0"/>
                <w:sz w:val="18"/>
                <w:szCs w:val="18"/>
                <w:lang w:val="en"/>
              </w:rPr>
              <w:t>10</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
              </w:rPr>
            </w:pPr>
            <w:r>
              <w:rPr>
                <w:rFonts w:hint="default" w:ascii="宋体" w:hAnsi="宋体" w:cs="宋体"/>
                <w:color w:val="auto"/>
                <w:kern w:val="0"/>
                <w:sz w:val="18"/>
                <w:szCs w:val="18"/>
                <w:lang w:val="en"/>
              </w:rPr>
              <w:t>73</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
              </w:rPr>
            </w:pPr>
            <w:r>
              <w:rPr>
                <w:rFonts w:hint="default" w:ascii="宋体" w:hAnsi="宋体" w:cs="宋体"/>
                <w:color w:val="auto"/>
                <w:kern w:val="0"/>
                <w:sz w:val="18"/>
                <w:szCs w:val="18"/>
                <w:lang w:val="en"/>
              </w:rPr>
              <w:t>15</w:t>
            </w:r>
          </w:p>
        </w:tc>
        <w:tc>
          <w:tcPr>
            <w:tcW w:w="86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
              </w:rPr>
            </w:pPr>
            <w:r>
              <w:rPr>
                <w:rFonts w:hint="default" w:ascii="宋体" w:hAnsi="宋体" w:cs="宋体"/>
                <w:color w:val="auto"/>
                <w:kern w:val="0"/>
                <w:sz w:val="18"/>
                <w:szCs w:val="18"/>
                <w:lang w:val="en"/>
              </w:rPr>
              <w:t>15</w:t>
            </w:r>
          </w:p>
        </w:tc>
        <w:tc>
          <w:tcPr>
            <w:tcW w:w="108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0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056"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一年内</w:t>
            </w:r>
          </w:p>
        </w:tc>
        <w:tc>
          <w:tcPr>
            <w:tcW w:w="88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
              </w:rPr>
            </w:pPr>
            <w:r>
              <w:rPr>
                <w:rFonts w:hint="default" w:ascii="宋体" w:hAnsi="宋体" w:cs="宋体"/>
                <w:color w:val="auto"/>
                <w:kern w:val="0"/>
                <w:sz w:val="18"/>
                <w:szCs w:val="18"/>
                <w:lang w:val="en"/>
              </w:rPr>
              <w:t>12</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
              </w:rPr>
            </w:pPr>
            <w:r>
              <w:rPr>
                <w:rFonts w:hint="default" w:ascii="宋体" w:hAnsi="宋体" w:cs="宋体"/>
                <w:color w:val="auto"/>
                <w:kern w:val="0"/>
                <w:sz w:val="18"/>
                <w:szCs w:val="18"/>
                <w:lang w:val="en"/>
              </w:rPr>
              <w:t>7</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
              </w:rPr>
            </w:pPr>
            <w:r>
              <w:rPr>
                <w:rFonts w:hint="default" w:ascii="宋体" w:hAnsi="宋体" w:cs="宋体"/>
                <w:color w:val="auto"/>
                <w:kern w:val="0"/>
                <w:sz w:val="18"/>
                <w:szCs w:val="18"/>
                <w:lang w:val="en"/>
              </w:rPr>
              <w:t>15</w:t>
            </w:r>
          </w:p>
        </w:tc>
        <w:tc>
          <w:tcPr>
            <w:tcW w:w="86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
              </w:rPr>
            </w:pPr>
            <w:r>
              <w:rPr>
                <w:rFonts w:hint="default" w:ascii="宋体" w:hAnsi="宋体" w:cs="宋体"/>
                <w:color w:val="auto"/>
                <w:kern w:val="0"/>
                <w:sz w:val="18"/>
                <w:szCs w:val="18"/>
                <w:lang w:val="en"/>
              </w:rPr>
              <w:t>15</w:t>
            </w:r>
          </w:p>
        </w:tc>
        <w:tc>
          <w:tcPr>
            <w:tcW w:w="108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48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56"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加强监督检查和财政管理</w:t>
            </w:r>
          </w:p>
        </w:tc>
        <w:tc>
          <w:tcPr>
            <w:tcW w:w="88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
              </w:rPr>
            </w:pPr>
            <w:r>
              <w:rPr>
                <w:rFonts w:hint="default" w:ascii="宋体" w:hAnsi="宋体" w:cs="宋体"/>
                <w:color w:val="auto"/>
                <w:kern w:val="0"/>
                <w:sz w:val="18"/>
                <w:szCs w:val="18"/>
                <w:lang w:val="en"/>
              </w:rPr>
              <w:t>20</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
              </w:rPr>
            </w:pPr>
            <w:r>
              <w:rPr>
                <w:rFonts w:hint="default" w:ascii="宋体" w:hAnsi="宋体" w:cs="宋体"/>
                <w:color w:val="auto"/>
                <w:kern w:val="0"/>
                <w:sz w:val="18"/>
                <w:szCs w:val="18"/>
                <w:lang w:val="en"/>
              </w:rPr>
              <w:t>20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
              </w:rPr>
            </w:pPr>
            <w:r>
              <w:rPr>
                <w:rFonts w:hint="default" w:ascii="宋体" w:hAnsi="宋体" w:cs="宋体"/>
                <w:color w:val="auto"/>
                <w:kern w:val="0"/>
                <w:sz w:val="18"/>
                <w:szCs w:val="18"/>
                <w:lang w:val="en"/>
              </w:rPr>
              <w:t>20</w:t>
            </w:r>
          </w:p>
        </w:tc>
        <w:tc>
          <w:tcPr>
            <w:tcW w:w="86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
              </w:rPr>
            </w:pPr>
            <w:r>
              <w:rPr>
                <w:rFonts w:hint="default" w:ascii="宋体" w:hAnsi="宋体" w:cs="宋体"/>
                <w:color w:val="auto"/>
                <w:kern w:val="0"/>
                <w:sz w:val="18"/>
                <w:szCs w:val="18"/>
                <w:lang w:val="en"/>
              </w:rPr>
              <w:t>20</w:t>
            </w:r>
          </w:p>
        </w:tc>
        <w:tc>
          <w:tcPr>
            <w:tcW w:w="108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0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56"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我区财政财务管理逐年提高、规范</w:t>
            </w:r>
          </w:p>
        </w:tc>
        <w:tc>
          <w:tcPr>
            <w:tcW w:w="88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
              </w:rPr>
            </w:pPr>
            <w:r>
              <w:rPr>
                <w:rFonts w:hint="default" w:ascii="宋体" w:hAnsi="宋体" w:cs="宋体"/>
                <w:color w:val="auto"/>
                <w:kern w:val="0"/>
                <w:sz w:val="18"/>
                <w:szCs w:val="18"/>
                <w:lang w:val="en"/>
              </w:rPr>
              <w:t>20</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
              </w:rPr>
            </w:pPr>
            <w:r>
              <w:rPr>
                <w:rFonts w:hint="default" w:ascii="宋体" w:hAnsi="宋体" w:cs="宋体"/>
                <w:color w:val="auto"/>
                <w:kern w:val="0"/>
                <w:sz w:val="18"/>
                <w:szCs w:val="18"/>
                <w:lang w:val="en"/>
              </w:rPr>
              <w:t>20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
              </w:rPr>
            </w:pPr>
            <w:r>
              <w:rPr>
                <w:rFonts w:hint="default" w:ascii="宋体" w:hAnsi="宋体" w:cs="宋体"/>
                <w:color w:val="auto"/>
                <w:kern w:val="0"/>
                <w:sz w:val="18"/>
                <w:szCs w:val="18"/>
                <w:lang w:val="en"/>
              </w:rPr>
              <w:t>20</w:t>
            </w:r>
          </w:p>
        </w:tc>
        <w:tc>
          <w:tcPr>
            <w:tcW w:w="86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
              </w:rPr>
            </w:pPr>
            <w:r>
              <w:rPr>
                <w:rFonts w:hint="default" w:ascii="宋体" w:hAnsi="宋体" w:cs="宋体"/>
                <w:color w:val="auto"/>
                <w:kern w:val="0"/>
                <w:sz w:val="18"/>
                <w:szCs w:val="18"/>
                <w:lang w:val="en"/>
              </w:rPr>
              <w:t>20</w:t>
            </w:r>
          </w:p>
        </w:tc>
        <w:tc>
          <w:tcPr>
            <w:tcW w:w="108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56"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p>
        </w:tc>
        <w:tc>
          <w:tcPr>
            <w:tcW w:w="88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6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56"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p>
        </w:tc>
        <w:tc>
          <w:tcPr>
            <w:tcW w:w="88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6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56"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p>
        </w:tc>
        <w:tc>
          <w:tcPr>
            <w:tcW w:w="88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6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056"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p>
        </w:tc>
        <w:tc>
          <w:tcPr>
            <w:tcW w:w="88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6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56"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p>
        </w:tc>
        <w:tc>
          <w:tcPr>
            <w:tcW w:w="88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6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56"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p>
        </w:tc>
        <w:tc>
          <w:tcPr>
            <w:tcW w:w="88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6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69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056"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服务对象满意度</w:t>
            </w:r>
          </w:p>
        </w:tc>
        <w:tc>
          <w:tcPr>
            <w:tcW w:w="88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
              </w:rPr>
            </w:pPr>
            <w:r>
              <w:rPr>
                <w:rFonts w:hint="default" w:ascii="宋体" w:hAnsi="宋体" w:cs="宋体"/>
                <w:color w:val="auto"/>
                <w:kern w:val="0"/>
                <w:sz w:val="18"/>
                <w:szCs w:val="18"/>
                <w:lang w:val="en"/>
              </w:rPr>
              <w:t>95</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
              </w:rPr>
            </w:pPr>
            <w:r>
              <w:rPr>
                <w:rFonts w:hint="default" w:ascii="宋体" w:hAnsi="宋体" w:cs="宋体"/>
                <w:color w:val="auto"/>
                <w:kern w:val="0"/>
                <w:sz w:val="18"/>
                <w:szCs w:val="18"/>
                <w:lang w:val="en"/>
              </w:rPr>
              <w:t>100</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
              </w:rPr>
            </w:pPr>
            <w:r>
              <w:rPr>
                <w:rFonts w:hint="default" w:ascii="宋体" w:hAnsi="宋体" w:cs="宋体"/>
                <w:color w:val="auto"/>
                <w:kern w:val="0"/>
                <w:sz w:val="18"/>
                <w:szCs w:val="18"/>
                <w:lang w:val="en"/>
              </w:rPr>
              <w:t>10</w:t>
            </w:r>
          </w:p>
        </w:tc>
        <w:tc>
          <w:tcPr>
            <w:tcW w:w="86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
              </w:rPr>
            </w:pPr>
            <w:r>
              <w:rPr>
                <w:rFonts w:hint="default" w:ascii="宋体" w:hAnsi="宋体" w:cs="宋体"/>
                <w:color w:val="auto"/>
                <w:kern w:val="0"/>
                <w:sz w:val="18"/>
                <w:szCs w:val="18"/>
                <w:lang w:val="en"/>
              </w:rPr>
              <w:t>10</w:t>
            </w:r>
          </w:p>
        </w:tc>
        <w:tc>
          <w:tcPr>
            <w:tcW w:w="108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86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08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bl>
    <w:p>
      <w:pPr>
        <w:widowControl/>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填报注意事项：</w:t>
      </w:r>
    </w:p>
    <w:p>
      <w:pPr>
        <w:widowControl/>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1.</w:t>
      </w:r>
      <w:r>
        <w:rPr>
          <w:rFonts w:hint="eastAsia" w:ascii="宋体" w:hAnsi="宋体" w:eastAsia="宋体" w:cs="宋体"/>
          <w:color w:val="auto"/>
          <w:kern w:val="0"/>
          <w:sz w:val="22"/>
          <w:szCs w:val="24"/>
        </w:rPr>
        <w:t>评价方法说明</w:t>
      </w:r>
      <w:r>
        <w:rPr>
          <w:rFonts w:hint="eastAsia" w:ascii="宋体" w:hAnsi="宋体" w:cs="宋体"/>
          <w:color w:val="auto"/>
          <w:kern w:val="0"/>
          <w:sz w:val="22"/>
          <w:szCs w:val="24"/>
          <w:lang w:eastAsia="zh-CN"/>
        </w:rPr>
        <w:t>：</w:t>
      </w:r>
      <w:r>
        <w:rPr>
          <w:rFonts w:hint="eastAsia" w:ascii="宋体" w:hAnsi="宋体" w:eastAsia="宋体" w:cs="宋体"/>
          <w:color w:val="auto"/>
          <w:kern w:val="0"/>
          <w:sz w:val="22"/>
          <w:szCs w:val="24"/>
        </w:rPr>
        <w:t>采取打分的形式，满分为100分。单位自评指标的权重由各单位根据项目实际情况确定。原则上预算执行率和一级指标权重统一设置为：预算执行率10%、产出指标50%、效益指标30%、服务对象满意度指标10%。如有特殊情况，一级指标权重可做适当调整。二、三级指标应当根据指标重要程度、项目实施阶段等因素综合确定，准确反映项目的产出和效益。</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2.</w:t>
      </w:r>
      <w:r>
        <w:rPr>
          <w:rFonts w:hint="eastAsia" w:ascii="宋体" w:hAnsi="宋体" w:eastAsia="宋体" w:cs="宋体"/>
          <w:color w:val="auto"/>
          <w:kern w:val="0"/>
          <w:sz w:val="22"/>
          <w:szCs w:val="24"/>
        </w:rPr>
        <w:t>评价的得分评定方法分为两类：一是定量指标。与年初指标值相比，完成指标值的，记该指标所赋全部分值；如果是由于年初指标值设定明显偏低造成的，要按照偏离度适度调减分值；未完成指标值的，按照完成值在指标值中所占比例记分</w:t>
      </w:r>
      <w:r>
        <w:rPr>
          <w:rFonts w:hint="eastAsia" w:ascii="宋体" w:hAnsi="宋体" w:eastAsia="宋体" w:cs="宋体"/>
          <w:color w:val="auto"/>
          <w:kern w:val="0"/>
          <w:sz w:val="22"/>
          <w:szCs w:val="24"/>
          <w:lang w:eastAsia="zh-CN"/>
        </w:rPr>
        <w:t>，</w:t>
      </w:r>
      <w:r>
        <w:rPr>
          <w:rFonts w:hint="eastAsia" w:ascii="宋体" w:hAnsi="宋体" w:eastAsia="宋体" w:cs="宋体"/>
          <w:color w:val="auto"/>
          <w:kern w:val="0"/>
          <w:sz w:val="22"/>
          <w:szCs w:val="24"/>
        </w:rPr>
        <w:t>得分一档最高不能超过该指标分值上限。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keepNext w:val="0"/>
        <w:keepLines w:val="0"/>
        <w:pageBreakBefore w:val="0"/>
        <w:widowControl/>
        <w:kinsoku/>
        <w:wordWrap/>
        <w:overflowPunct/>
        <w:topLinePunct w:val="0"/>
        <w:autoSpaceDE/>
        <w:autoSpaceDN/>
        <w:bidi w:val="0"/>
        <w:spacing w:line="480" w:lineRule="exact"/>
        <w:ind w:firstLine="440" w:firstLineChars="200"/>
        <w:textAlignment w:val="auto"/>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二是定性指标。</w:t>
      </w:r>
      <w:r>
        <w:rPr>
          <w:rFonts w:hint="eastAsia" w:ascii="宋体" w:hAnsi="宋体" w:eastAsia="宋体" w:cs="宋体"/>
          <w:color w:val="auto"/>
          <w:kern w:val="0"/>
          <w:sz w:val="22"/>
          <w:szCs w:val="24"/>
          <w:highlight w:val="none"/>
        </w:rPr>
        <w:t>定性指标得分按照以下方法评定：根据指标完成情况分为达成年度指标、部分达成年度指标且有一定效果、未达成年度指标且效果较差3档，分别按照该指标对应分值区间100%-80%（含80%）、80-60%（含60%）、60%-0%合理确定分值。</w:t>
      </w:r>
    </w:p>
    <w:p>
      <w:pPr>
        <w:keepNext w:val="0"/>
        <w:keepLines w:val="0"/>
        <w:pageBreakBefore w:val="0"/>
        <w:widowControl/>
        <w:kinsoku/>
        <w:wordWrap/>
        <w:overflowPunct/>
        <w:topLinePunct w:val="0"/>
        <w:autoSpaceDE/>
        <w:autoSpaceDN/>
        <w:bidi w:val="0"/>
        <w:spacing w:line="480" w:lineRule="exact"/>
        <w:ind w:firstLine="440" w:firstLineChars="200"/>
        <w:textAlignment w:val="auto"/>
        <w:rPr>
          <w:rFonts w:hint="eastAsia" w:ascii="宋体" w:hAnsi="宋体" w:eastAsia="宋体" w:cs="宋体"/>
          <w:color w:val="auto"/>
          <w:kern w:val="0"/>
          <w:sz w:val="22"/>
          <w:szCs w:val="24"/>
          <w:highlight w:val="none"/>
        </w:rPr>
      </w:pPr>
      <w:r>
        <w:rPr>
          <w:rFonts w:hint="eastAsia" w:ascii="宋体" w:hAnsi="宋体" w:eastAsia="宋体" w:cs="宋体"/>
          <w:color w:val="auto"/>
          <w:kern w:val="0"/>
          <w:sz w:val="22"/>
          <w:szCs w:val="24"/>
          <w:highlight w:val="none"/>
        </w:rPr>
        <w:t>各项绩效指标得分汇总成该项目自评的总分。</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3.</w:t>
      </w:r>
      <w:r>
        <w:rPr>
          <w:rFonts w:hint="eastAsia" w:ascii="宋体" w:hAnsi="宋体" w:eastAsia="宋体" w:cs="宋体"/>
          <w:color w:val="auto"/>
          <w:kern w:val="0"/>
          <w:sz w:val="22"/>
          <w:szCs w:val="24"/>
        </w:rPr>
        <w:t>各部门在收集、分析上述绩效执行信息的基础上，</w:t>
      </w:r>
      <w:r>
        <w:rPr>
          <w:rFonts w:hint="eastAsia" w:ascii="宋体" w:hAnsi="宋体" w:eastAsia="宋体" w:cs="宋体"/>
          <w:color w:val="auto"/>
          <w:kern w:val="0"/>
          <w:sz w:val="22"/>
          <w:szCs w:val="24"/>
          <w:lang w:val="en-US" w:eastAsia="zh-CN"/>
        </w:rPr>
        <w:t>针</w:t>
      </w:r>
      <w:r>
        <w:rPr>
          <w:rFonts w:hint="eastAsia" w:ascii="宋体" w:hAnsi="宋体" w:eastAsia="宋体" w:cs="宋体"/>
          <w:color w:val="auto"/>
          <w:kern w:val="0"/>
          <w:sz w:val="22"/>
          <w:szCs w:val="24"/>
        </w:rPr>
        <w:t>对未完成绩效目标及指标</w:t>
      </w:r>
      <w:r>
        <w:rPr>
          <w:rFonts w:hint="eastAsia" w:ascii="宋体" w:hAnsi="宋体" w:eastAsia="宋体" w:cs="宋体"/>
          <w:color w:val="auto"/>
          <w:kern w:val="0"/>
          <w:sz w:val="22"/>
          <w:szCs w:val="24"/>
          <w:lang w:eastAsia="zh-CN"/>
        </w:rPr>
        <w:t>，</w:t>
      </w:r>
      <w:r>
        <w:rPr>
          <w:rFonts w:hint="eastAsia" w:ascii="宋体" w:hAnsi="宋体" w:eastAsia="宋体" w:cs="宋体"/>
          <w:color w:val="auto"/>
          <w:kern w:val="0"/>
          <w:sz w:val="22"/>
          <w:szCs w:val="24"/>
          <w:lang w:val="en-US" w:eastAsia="zh-CN"/>
        </w:rPr>
        <w:t>需</w:t>
      </w:r>
      <w:r>
        <w:rPr>
          <w:rFonts w:hint="eastAsia" w:ascii="宋体" w:hAnsi="宋体" w:eastAsia="宋体" w:cs="宋体"/>
          <w:color w:val="auto"/>
          <w:kern w:val="0"/>
          <w:sz w:val="22"/>
          <w:szCs w:val="24"/>
        </w:rPr>
        <w:t>在“偏差原因分析及改进措施”中</w:t>
      </w:r>
      <w:r>
        <w:rPr>
          <w:rFonts w:hint="eastAsia" w:ascii="宋体" w:hAnsi="宋体" w:eastAsia="宋体" w:cs="宋体"/>
          <w:color w:val="auto"/>
          <w:kern w:val="0"/>
          <w:sz w:val="22"/>
          <w:szCs w:val="24"/>
          <w:lang w:val="en-US" w:eastAsia="zh-CN"/>
        </w:rPr>
        <w:t>逐条分析</w:t>
      </w:r>
      <w:r>
        <w:rPr>
          <w:rFonts w:hint="eastAsia" w:ascii="宋体" w:hAnsi="宋体" w:eastAsia="宋体" w:cs="宋体"/>
          <w:color w:val="auto"/>
          <w:kern w:val="0"/>
          <w:sz w:val="22"/>
          <w:szCs w:val="24"/>
        </w:rPr>
        <w:t>说明偏离目标、不能完成目标的原因及拟采取的措施。</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4.</w:t>
      </w:r>
      <w:r>
        <w:rPr>
          <w:rFonts w:hint="eastAsia" w:ascii="宋体" w:hAnsi="宋体" w:cs="宋体"/>
          <w:color w:val="auto"/>
          <w:kern w:val="0"/>
          <w:sz w:val="22"/>
          <w:szCs w:val="24"/>
          <w:lang w:val="en-US" w:eastAsia="zh-CN"/>
        </w:rPr>
        <w:t>等级划分：</w:t>
      </w:r>
      <w:r>
        <w:rPr>
          <w:rFonts w:hint="eastAsia" w:ascii="宋体" w:hAnsi="宋体" w:eastAsia="宋体" w:cs="宋体"/>
          <w:color w:val="auto"/>
          <w:kern w:val="0"/>
          <w:sz w:val="22"/>
          <w:szCs w:val="24"/>
        </w:rPr>
        <w:t>90（含）-100分为</w:t>
      </w:r>
      <w:r>
        <w:rPr>
          <w:rFonts w:hint="eastAsia" w:ascii="宋体" w:hAnsi="宋体" w:eastAsia="宋体" w:cs="宋体"/>
          <w:color w:val="auto"/>
          <w:kern w:val="0"/>
          <w:sz w:val="22"/>
          <w:szCs w:val="24"/>
          <w:lang w:val="en-US" w:eastAsia="zh-CN"/>
        </w:rPr>
        <w:t>优</w:t>
      </w:r>
      <w:r>
        <w:rPr>
          <w:rFonts w:hint="eastAsia" w:ascii="宋体" w:hAnsi="宋体" w:eastAsia="宋体" w:cs="宋体"/>
          <w:color w:val="auto"/>
          <w:kern w:val="0"/>
          <w:sz w:val="22"/>
          <w:szCs w:val="24"/>
        </w:rPr>
        <w:t>、80（含）-90分为</w:t>
      </w:r>
      <w:r>
        <w:rPr>
          <w:rFonts w:hint="eastAsia" w:ascii="宋体" w:hAnsi="宋体" w:eastAsia="宋体" w:cs="宋体"/>
          <w:color w:val="auto"/>
          <w:kern w:val="0"/>
          <w:sz w:val="22"/>
          <w:szCs w:val="24"/>
          <w:lang w:val="en-US" w:eastAsia="zh-CN"/>
        </w:rPr>
        <w:t>良</w:t>
      </w:r>
      <w:r>
        <w:rPr>
          <w:rFonts w:hint="eastAsia" w:ascii="宋体" w:hAnsi="宋体" w:eastAsia="宋体" w:cs="宋体"/>
          <w:color w:val="auto"/>
          <w:kern w:val="0"/>
          <w:sz w:val="22"/>
          <w:szCs w:val="24"/>
        </w:rPr>
        <w:t>、60（含）-80分为</w:t>
      </w:r>
      <w:r>
        <w:rPr>
          <w:rFonts w:hint="eastAsia" w:ascii="宋体" w:hAnsi="宋体" w:cs="宋体"/>
          <w:color w:val="auto"/>
          <w:kern w:val="0"/>
          <w:sz w:val="22"/>
          <w:szCs w:val="24"/>
          <w:lang w:val="en-US" w:eastAsia="zh-CN"/>
        </w:rPr>
        <w:t>中</w:t>
      </w:r>
      <w:r>
        <w:rPr>
          <w:rFonts w:hint="eastAsia" w:ascii="宋体" w:hAnsi="宋体" w:eastAsia="宋体" w:cs="宋体"/>
          <w:color w:val="auto"/>
          <w:kern w:val="0"/>
          <w:sz w:val="22"/>
          <w:szCs w:val="24"/>
        </w:rPr>
        <w:t>、60分以下为差。</w:t>
      </w:r>
    </w:p>
    <w:p>
      <w:pPr>
        <w:spacing w:line="600" w:lineRule="exact"/>
      </w:pPr>
    </w:p>
    <w:p>
      <w:pPr>
        <w:keepNext w:val="0"/>
        <w:keepLines w:val="0"/>
        <w:pageBreakBefore w:val="0"/>
        <w:numPr>
          <w:ilvl w:val="0"/>
          <w:numId w:val="0"/>
        </w:numPr>
        <w:pBdr>
          <w:bottom w:val="single" w:color="FFFFFF" w:sz="4" w:space="17"/>
        </w:pBdr>
        <w:kinsoku/>
        <w:wordWrap/>
        <w:overflowPunct/>
        <w:topLinePunct w:val="0"/>
        <w:autoSpaceDE/>
        <w:autoSpaceDN/>
        <w:bidi w:val="0"/>
        <w:adjustRightInd/>
        <w:snapToGrid/>
        <w:spacing w:line="560" w:lineRule="exact"/>
        <w:ind w:firstLine="486" w:firstLineChars="0"/>
        <w:textAlignment w:val="auto"/>
        <w:rPr>
          <w:rFonts w:hint="eastAsia" w:ascii="仿宋_GB2312" w:hAnsi="Calibri" w:eastAsia="仿宋_GB2312" w:cs="Times New Roman"/>
          <w:b w:val="0"/>
          <w:bCs w:val="0"/>
          <w:color w:val="auto"/>
          <w:kern w:val="2"/>
          <w:sz w:val="32"/>
          <w:szCs w:val="32"/>
          <w:highlight w:val="none"/>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kern w:val="0"/>
          <w:sz w:val="22"/>
          <w:szCs w:val="24"/>
          <w:lang w:val="en-US" w:eastAsia="zh-CN" w:bidi="ar-SA"/>
        </w:rPr>
      </w:pPr>
    </w:p>
    <w:sectPr>
      <w:footerReference r:id="rId3" w:type="default"/>
      <w:pgSz w:w="11906" w:h="16838"/>
      <w:pgMar w:top="1440" w:right="1803" w:bottom="1440" w:left="1803" w:header="851" w:footer="992" w:gutter="0"/>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Verdana">
    <w:altName w:val="DejaVu Sans"/>
    <w:panose1 w:val="020B0604030504040204"/>
    <w:charset w:val="00"/>
    <w:family w:val="swiss"/>
    <w:pitch w:val="default"/>
    <w:sig w:usb0="00000000" w:usb1="00000000" w:usb2="00000010" w:usb3="00000000" w:csb0="2000019F"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txbx>
                      <w:txbxContent>
                        <w:p>
                          <w:pPr>
                            <w:pStyle w:val="5"/>
                          </w:pPr>
                          <w:r>
                            <w:fldChar w:fldCharType="begin"/>
                          </w:r>
                          <w:r>
                            <w:instrText xml:space="preserve"> PAGE  \* MERGEFORMAT </w:instrText>
                          </w:r>
                          <w:r>
                            <w:fldChar w:fldCharType="separate"/>
                          </w:r>
                          <w:r>
                            <w:t>21</w:t>
                          </w:r>
                          <w:r>
                            <w:fldChar w:fldCharType="end"/>
                          </w:r>
                        </w:p>
                      </w:txbxContent>
                    </wps:txbx>
                    <wps:bodyPr vert="horz" wrap="none" lIns="0" tIns="0" rIns="0" bIns="0" anchor="t" anchorCtr="false" upright="fals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FgAAAGRycy9QSwECFAAUAAAACACHTuJAs0lY7tAAAAAFAQAA&#10;DwAAAAAAAAABACAAAAA4AAAAZHJzL2Rvd25yZXYueG1sUEsBAhQAFAAAAAgAh07iQABEFOvSAQAA&#10;hAMAAA4AAAAAAAAAAQAgAAAANQEAAGRycy9lMm9Eb2MueG1sUEsFBgAAAAAGAAYAWQEAAHkFAAAA&#10;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21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DB0B63"/>
    <w:rsid w:val="01534994"/>
    <w:rsid w:val="0C8165E0"/>
    <w:rsid w:val="26E4235F"/>
    <w:rsid w:val="2CBF8107"/>
    <w:rsid w:val="2EB70209"/>
    <w:rsid w:val="2F7C0483"/>
    <w:rsid w:val="30FF2B40"/>
    <w:rsid w:val="35D339CB"/>
    <w:rsid w:val="3FF79B31"/>
    <w:rsid w:val="40750F19"/>
    <w:rsid w:val="4BA31FDB"/>
    <w:rsid w:val="4BFF9656"/>
    <w:rsid w:val="537A1457"/>
    <w:rsid w:val="537B9DA3"/>
    <w:rsid w:val="55FF75FF"/>
    <w:rsid w:val="577FC547"/>
    <w:rsid w:val="5A474F5C"/>
    <w:rsid w:val="5DDF52D1"/>
    <w:rsid w:val="5EDB0B63"/>
    <w:rsid w:val="5F9F33EB"/>
    <w:rsid w:val="66BF394D"/>
    <w:rsid w:val="6AC7B1A3"/>
    <w:rsid w:val="6B77FB6F"/>
    <w:rsid w:val="6EE9A86C"/>
    <w:rsid w:val="6FD43E60"/>
    <w:rsid w:val="71C7657F"/>
    <w:rsid w:val="71DB912D"/>
    <w:rsid w:val="744A290E"/>
    <w:rsid w:val="74D0108E"/>
    <w:rsid w:val="763E871D"/>
    <w:rsid w:val="79EBFCAD"/>
    <w:rsid w:val="7BBD97BD"/>
    <w:rsid w:val="7BED256C"/>
    <w:rsid w:val="7BFE4A5B"/>
    <w:rsid w:val="7BFFEC6B"/>
    <w:rsid w:val="7DBF4FBB"/>
    <w:rsid w:val="7DCD9330"/>
    <w:rsid w:val="7DD758A1"/>
    <w:rsid w:val="7E562264"/>
    <w:rsid w:val="7E5EB5A1"/>
    <w:rsid w:val="7F2773F9"/>
    <w:rsid w:val="7F3909BD"/>
    <w:rsid w:val="7F7C49BA"/>
    <w:rsid w:val="7FBB7A42"/>
    <w:rsid w:val="7FBF70D0"/>
    <w:rsid w:val="7FEF84D3"/>
    <w:rsid w:val="7FF719AD"/>
    <w:rsid w:val="7FFB0E8E"/>
    <w:rsid w:val="99F65BCE"/>
    <w:rsid w:val="9BFD2FEF"/>
    <w:rsid w:val="9EF75851"/>
    <w:rsid w:val="AA5E3CAD"/>
    <w:rsid w:val="AFDDEFDC"/>
    <w:rsid w:val="B2DFF942"/>
    <w:rsid w:val="B5FC34C6"/>
    <w:rsid w:val="BAEFCA12"/>
    <w:rsid w:val="BD5D8A02"/>
    <w:rsid w:val="D4CEDA1A"/>
    <w:rsid w:val="D5A31DC0"/>
    <w:rsid w:val="D7FF1616"/>
    <w:rsid w:val="DFEAA56F"/>
    <w:rsid w:val="E6922BE3"/>
    <w:rsid w:val="EB5BB730"/>
    <w:rsid w:val="EDFF835A"/>
    <w:rsid w:val="EEBB59E1"/>
    <w:rsid w:val="EF27E3F9"/>
    <w:rsid w:val="EFCF022D"/>
    <w:rsid w:val="F37B3AB2"/>
    <w:rsid w:val="F6FF4047"/>
    <w:rsid w:val="F7E365DE"/>
    <w:rsid w:val="FA5A168B"/>
    <w:rsid w:val="FD3F40DC"/>
    <w:rsid w:val="FD8E962E"/>
    <w:rsid w:val="FEF8056D"/>
    <w:rsid w:val="FEF82787"/>
    <w:rsid w:val="FEFD3F0E"/>
    <w:rsid w:val="FEFDF142"/>
    <w:rsid w:val="FFBDEA55"/>
    <w:rsid w:val="FFF96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4">
    <w:name w:val="Body Text"/>
    <w:basedOn w:val="1"/>
    <w:next w:val="1"/>
    <w:qFormat/>
    <w:uiPriority w:val="0"/>
    <w:pPr>
      <w:spacing w:before="0" w:after="140" w:line="276" w:lineRule="auto"/>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Hyperlink"/>
    <w:basedOn w:val="9"/>
    <w:qFormat/>
    <w:uiPriority w:val="0"/>
    <w:rPr>
      <w:color w:val="0000FF"/>
      <w:u w:val="single"/>
    </w:rPr>
  </w:style>
  <w:style w:type="character" w:customStyle="1" w:styleId="11">
    <w:name w:val="font81"/>
    <w:basedOn w:val="9"/>
    <w:qFormat/>
    <w:uiPriority w:val="0"/>
    <w:rPr>
      <w:rFonts w:hint="eastAsia" w:ascii="宋体" w:hAnsi="宋体" w:eastAsia="宋体" w:cs="宋体"/>
      <w:color w:val="000000"/>
      <w:sz w:val="20"/>
      <w:szCs w:val="20"/>
      <w:u w:val="none"/>
    </w:rPr>
  </w:style>
  <w:style w:type="character" w:customStyle="1" w:styleId="12">
    <w:name w:val="font11"/>
    <w:basedOn w:val="9"/>
    <w:qFormat/>
    <w:uiPriority w:val="0"/>
    <w:rPr>
      <w:rFonts w:hint="eastAsia" w:ascii="仿宋_GB2312" w:eastAsia="仿宋_GB2312" w:cs="仿宋_GB2312"/>
      <w:color w:val="000000"/>
      <w:sz w:val="24"/>
      <w:szCs w:val="24"/>
      <w:u w:val="none"/>
    </w:rPr>
  </w:style>
  <w:style w:type="character" w:customStyle="1" w:styleId="13">
    <w:name w:val="font61"/>
    <w:basedOn w:val="9"/>
    <w:qFormat/>
    <w:uiPriority w:val="0"/>
    <w:rPr>
      <w:rFonts w:hint="eastAsia" w:ascii="仿宋_GB2312" w:eastAsia="仿宋_GB2312" w:cs="仿宋_GB2312"/>
      <w:color w:val="000000"/>
      <w:sz w:val="24"/>
      <w:szCs w:val="24"/>
      <w:u w:val="none"/>
    </w:rPr>
  </w:style>
  <w:style w:type="character" w:customStyle="1" w:styleId="14">
    <w:name w:val="font71"/>
    <w:basedOn w:val="9"/>
    <w:qFormat/>
    <w:uiPriority w:val="0"/>
    <w:rPr>
      <w:rFonts w:hint="eastAsia" w:ascii="宋体" w:hAnsi="宋体" w:eastAsia="宋体" w:cs="宋体"/>
      <w:color w:val="FF0000"/>
      <w:sz w:val="20"/>
      <w:szCs w:val="20"/>
      <w:u w:val="none"/>
    </w:rPr>
  </w:style>
  <w:style w:type="paragraph" w:customStyle="1" w:styleId="15">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16">
    <w:name w:val="首行缩进"/>
    <w:basedOn w:val="1"/>
    <w:qFormat/>
    <w:uiPriority w:val="0"/>
    <w:pPr>
      <w:ind w:firstLine="480"/>
    </w:pPr>
    <w:rPr>
      <w:szCs w:val="20"/>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1414</Words>
  <Characters>1565</Characters>
  <Lines>0</Lines>
  <Paragraphs>0</Paragraphs>
  <TotalTime>0</TotalTime>
  <ScaleCrop>false</ScaleCrop>
  <LinksUpToDate>false</LinksUpToDate>
  <CharactersWithSpaces>1593</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2024-03-16T03:08:00Z</dcterms:created>
  <dc:creator>user</dc:creator>
  <cp:lastModifiedBy>user</cp:lastModifiedBy>
  <cp:lastPrinted>2025-03-05T17:23:00Z</cp:lastPrinted>
  <dcterms:modified xsi:type="dcterms:W3CDTF">2025-10-09T11:32:43Z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CEB71A01B53243FFBEAD89F9BD951871</vt:lpwstr>
  </property>
  <property fmtid="{D5CDD505-2E9C-101B-9397-08002B2CF9AE}" pid="4" name="KSOTemplateDocerSaveRecord">
    <vt:lpwstr>eyJoZGlkIjoiYjJkYWRjNjQxMmE2MDM5ZTNiOWM1Zjc3MWEwZTM2ZWUiLCJ1c2VySWQiOiIzMTg3MjM0MDMifQ==</vt:lpwstr>
  </property>
</Properties>
</file>