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Arial" w:hAnsi="Arial" w:cs="Arial"/>
          <w:b/>
          <w:bCs/>
          <w:color w:val="auto"/>
          <w:sz w:val="36"/>
          <w:szCs w:val="36"/>
        </w:rPr>
      </w:pPr>
      <w:r>
        <w:rPr>
          <w:rFonts w:hint="eastAsia" w:ascii="宋体" w:hAnsi="宋体" w:cs="Arial"/>
          <w:b/>
          <w:bCs/>
          <w:color w:val="auto"/>
          <w:sz w:val="36"/>
          <w:szCs w:val="36"/>
        </w:rPr>
        <w:t>项目支出</w:t>
      </w:r>
      <w:r>
        <w:rPr>
          <w:rFonts w:ascii="宋体" w:hAnsi="宋体" w:cs="Arial"/>
          <w:b/>
          <w:bCs/>
          <w:color w:val="auto"/>
          <w:sz w:val="36"/>
          <w:szCs w:val="36"/>
        </w:rPr>
        <w:t>绩效</w:t>
      </w:r>
      <w:r>
        <w:rPr>
          <w:rFonts w:hint="eastAsia" w:ascii="宋体" w:hAnsi="宋体" w:cs="Arial"/>
          <w:b/>
          <w:bCs/>
          <w:color w:val="auto"/>
          <w:sz w:val="36"/>
          <w:szCs w:val="36"/>
        </w:rPr>
        <w:t>评价报告</w:t>
      </w:r>
    </w:p>
    <w:p>
      <w:pPr>
        <w:jc w:val="center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（2024年北京市“两区”展示会客厅运营管理项目）</w:t>
      </w:r>
    </w:p>
    <w:p>
      <w:pPr>
        <w:pStyle w:val="2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auto"/>
          <w:kern w:val="0"/>
          <w:sz w:val="32"/>
          <w:szCs w:val="32"/>
        </w:rPr>
        <w:t>一、基本情况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</w:rPr>
        <w:t>（一）项目概况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《中国(北京)自由贸易试验区国际商务服务片区通州组团三年行动方案(2022-2024年)》明确提出要完善园区服务体系，推进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北京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市“两区”展示会客厅建设，打造园区展示推介空间，将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北京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市“两区”展示会客厅建设成为集“两区”政策发布、宣传推介、招商引资、展览展示等一体的综合功能体。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北京市通州区运河商务区管理委员会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023年第14次党工委会会议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研究通过，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与北京运河商务区产业发展服务有限公司签订《北京市“两区”展示会客厅委托运营管理协议》，服务期自2023年度实际运营之日起至与中标、成交供应商签订正式协议之日止，期间运营管理相关费用由中标、成交供应商向北京运河商务区产业发展服务有限公司支付。北京市“两区”展示会客厅2024年1-4月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由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北京运河商务区产业发展服务有限公司运营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经公开招投标，由2024年第15次党工委会研究通过，确定北京城市副中心绿投科技发展有限公司（2024年7月更名为“北京通政城市副中心绿投科技发展有限公司”）（以下简称“绿投公司”）为北京市“两区”展示会客厅运营管理项目服务单位，并签订《北京市“两区”展示会客厅运营管理项目(503转)文化产品展览服务采购项目合同书》，服务期限为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2024年5月1日-2025年4月30日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北京市“两区”展示会客厅2024年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5-12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由绿投科技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公司运营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通过对北京市“两区”展示会客厅进行运营管理，打造“两区”规划建设、政策支持、企业服务、营商环境等方面的宣传展示窗口和招商引资平台。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-SA"/>
        </w:rPr>
        <w:t>2024年项目资金为280万元，均为区财政资金，项目内容包含北京市“两区”展示会客厅运营管理事宜。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</w:rPr>
        <w:t>（二）项目绩效目标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通过对北京市“两区”展示会客厅的运营管理，将展厅打造成为“两区”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建设成果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的展示平台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城市副中心的招商推介平台。通过科技化、数字化、媒体技术的沉浸式体验方式，搭建公众交流互动的平台，传播通州运河文化、通州历史文化，展示城市副中心建设成就、北京发展新格局。通过打造“两区”规划建设、政策支持、企业服务、营商环境等方面的宣传展示窗口和招商引资平台吸引优质企业进驻，带动区域经济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auto"/>
          <w:kern w:val="0"/>
          <w:sz w:val="32"/>
          <w:szCs w:val="32"/>
        </w:rPr>
        <w:t>二、绩效评价工作开展情况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</w:rPr>
        <w:t>（一）绩效评价目的、对象</w:t>
      </w: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lang w:eastAsia="zh-CN"/>
        </w:rPr>
        <w:t>和范围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-SA"/>
        </w:rPr>
        <w:t>1.评价目的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通过科学、系统的评价机制，围绕项目决策、过程、产出及效益情况开展评价，全方位衡量项目执行成效，发现展厅运营管理项目执行过程中问题，剖析原因，提出改进建议，为科学决策、规范管理提供参考，确保展厅正常运营管理，服务“两区”建设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-SA"/>
        </w:rPr>
        <w:t>2.评价对象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2024年北京市“两区”展示会客厅运营管理项目。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-SA"/>
        </w:rPr>
        <w:t>3.评价范围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对于2024年度北京市“两区”展示会客厅运营管理相关工作开展绩效评价。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</w:rPr>
        <w:t>（二）绩效评价原则、评价指标体系</w:t>
      </w: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lang w:eastAsia="zh-CN"/>
        </w:rPr>
        <w:t>和标准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-SA"/>
        </w:rPr>
        <w:t>1.评价原则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科学规范：建立系统化、标准化的评价指标体系，确保评价过程规范、结果客观。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公平公正：评价过程公开透明，评价标准统一适用，确保结果真实反映项目实际成效。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注重实效：突出结果导向，重点关注项目产生的实际效益，避免形式主义。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-SA"/>
        </w:rPr>
        <w:t>2.评价指标体系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结合项目特点和预期绩效目标，按照科学合理原则，明确评价标准，确定了该项目绩效评价指标体系，其中一级指标3个，二级指标8个，三级指标11个。</w:t>
      </w:r>
    </w:p>
    <w:p>
      <w:pPr>
        <w:pStyle w:val="2"/>
        <w:rPr>
          <w:rFonts w:hint="eastAsia"/>
          <w:lang w:val="en-US" w:eastAsia="zh-CN"/>
        </w:rPr>
      </w:pPr>
    </w:p>
    <w:tbl>
      <w:tblPr>
        <w:tblStyle w:val="4"/>
        <w:tblW w:w="134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4" w:space="0"/>
          <w:insideV w:val="non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7"/>
        <w:gridCol w:w="1424"/>
        <w:gridCol w:w="1517"/>
        <w:gridCol w:w="2733"/>
        <w:gridCol w:w="71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  <w:jc w:val="center"/>
        </w:trPr>
        <w:tc>
          <w:tcPr>
            <w:tcW w:w="577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</w:rPr>
              <w:t>绩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</w:rPr>
              <w:t>效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</w:rPr>
              <w:t>指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</w:rPr>
              <w:t>标</w:t>
            </w:r>
          </w:p>
        </w:tc>
        <w:tc>
          <w:tcPr>
            <w:tcW w:w="1424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</w:rPr>
              <w:t>一级指标</w:t>
            </w:r>
          </w:p>
        </w:tc>
        <w:tc>
          <w:tcPr>
            <w:tcW w:w="1517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</w:rPr>
              <w:t>二级指标</w:t>
            </w:r>
          </w:p>
        </w:tc>
        <w:tc>
          <w:tcPr>
            <w:tcW w:w="273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</w:rPr>
              <w:t>三级指标</w:t>
            </w:r>
          </w:p>
        </w:tc>
        <w:tc>
          <w:tcPr>
            <w:tcW w:w="7164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</w:rPr>
              <w:t>年度指标值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77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42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产出指标</w:t>
            </w:r>
          </w:p>
        </w:tc>
        <w:tc>
          <w:tcPr>
            <w:tcW w:w="15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数量指标</w:t>
            </w:r>
          </w:p>
        </w:tc>
        <w:tc>
          <w:tcPr>
            <w:tcW w:w="2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>展厅运营管理人员</w:t>
            </w:r>
          </w:p>
        </w:tc>
        <w:tc>
          <w:tcPr>
            <w:tcW w:w="7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招聘项目经理、讲解接待、咨询服务、品宣策划等岗位，保证展厅日常运作及管理需要。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exact"/>
          <w:jc w:val="center"/>
        </w:trPr>
        <w:tc>
          <w:tcPr>
            <w:tcW w:w="577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4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5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2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>制度建设</w:t>
            </w:r>
          </w:p>
        </w:tc>
        <w:tc>
          <w:tcPr>
            <w:tcW w:w="7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有健全的管理制度，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内容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完善、合理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4" w:hRule="exact"/>
          <w:jc w:val="center"/>
        </w:trPr>
        <w:tc>
          <w:tcPr>
            <w:tcW w:w="577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42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51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质量指标</w:t>
            </w:r>
          </w:p>
        </w:tc>
        <w:tc>
          <w:tcPr>
            <w:tcW w:w="2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>展厅日常维护</w:t>
            </w:r>
          </w:p>
        </w:tc>
        <w:tc>
          <w:tcPr>
            <w:tcW w:w="7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>展厅环境整洁、舒适，参观通道、出入口、疏散通道畅通，安全标志、指示标志、服务标志清晰，卫生间等基本服务项目、设施设备完好，使用方便，婴儿车、轮椅、AED等物品配备齐全。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exact"/>
          <w:jc w:val="center"/>
        </w:trPr>
        <w:tc>
          <w:tcPr>
            <w:tcW w:w="577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4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5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2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>展厅展品的保护</w:t>
            </w:r>
          </w:p>
        </w:tc>
        <w:tc>
          <w:tcPr>
            <w:tcW w:w="7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>展厅所有的展品、展项登记、确保安全、无损等。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exact"/>
          <w:jc w:val="center"/>
        </w:trPr>
        <w:tc>
          <w:tcPr>
            <w:tcW w:w="577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4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时效指标</w:t>
            </w:r>
          </w:p>
        </w:tc>
        <w:tc>
          <w:tcPr>
            <w:tcW w:w="2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 xml:space="preserve"> 展厅日常维护</w:t>
            </w:r>
          </w:p>
        </w:tc>
        <w:tc>
          <w:tcPr>
            <w:tcW w:w="7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>展厅设备的老化、维修、系统更新最多3天之内完成。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77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4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5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成本指标</w:t>
            </w:r>
          </w:p>
        </w:tc>
        <w:tc>
          <w:tcPr>
            <w:tcW w:w="2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>展厅运营管理人员</w:t>
            </w:r>
          </w:p>
        </w:tc>
        <w:tc>
          <w:tcPr>
            <w:tcW w:w="7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>招聘项目经理、讲解接待、咨询服务、品宣策划等岗位，保证展厅日常运作及管理需要。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77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4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5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2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>展厅运营能源经费</w:t>
            </w:r>
          </w:p>
        </w:tc>
        <w:tc>
          <w:tcPr>
            <w:tcW w:w="7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>展厅基础设施维护升级改造、展示内容更新及维护、日常水电、制冷供暖、配套设施及服务等费用。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4" w:hRule="exact"/>
          <w:jc w:val="center"/>
        </w:trPr>
        <w:tc>
          <w:tcPr>
            <w:tcW w:w="577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42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效益指标</w:t>
            </w:r>
          </w:p>
        </w:tc>
        <w:tc>
          <w:tcPr>
            <w:tcW w:w="1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经济效益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指标</w:t>
            </w:r>
          </w:p>
        </w:tc>
        <w:tc>
          <w:tcPr>
            <w:tcW w:w="2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>经济效益指标</w:t>
            </w:r>
          </w:p>
        </w:tc>
        <w:tc>
          <w:tcPr>
            <w:tcW w:w="7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>通过打造“两区”建设、政策支持、企业服务、营商环境等方面的宣传展示窗口，招商引资，吸引更多的优秀资源，带动区域经济发展。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77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4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社会效益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指标</w:t>
            </w:r>
          </w:p>
        </w:tc>
        <w:tc>
          <w:tcPr>
            <w:tcW w:w="2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>社会效益指标</w:t>
            </w:r>
          </w:p>
        </w:tc>
        <w:tc>
          <w:tcPr>
            <w:tcW w:w="7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>通过对北京市“两区”展示会客厅进行运营管理，举办宣传活动，并获得区级及以上媒体报道。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7" w:hRule="exact"/>
          <w:jc w:val="center"/>
        </w:trPr>
        <w:tc>
          <w:tcPr>
            <w:tcW w:w="577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4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可持续影响指标</w:t>
            </w:r>
          </w:p>
        </w:tc>
        <w:tc>
          <w:tcPr>
            <w:tcW w:w="2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>可持续影响指标</w:t>
            </w:r>
          </w:p>
        </w:tc>
        <w:tc>
          <w:tcPr>
            <w:tcW w:w="7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>通过对北京市“两区”展示会客厅进行运营管理，打造“两区”规划建设、政策支持、企业服务、营商环境等方面的宣传展示窗口和招商引资平台。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7" w:hRule="exact"/>
          <w:jc w:val="center"/>
        </w:trPr>
        <w:tc>
          <w:tcPr>
            <w:tcW w:w="577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指标</w:t>
            </w:r>
          </w:p>
        </w:tc>
        <w:tc>
          <w:tcPr>
            <w:tcW w:w="1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服务对象满意度指标</w:t>
            </w:r>
          </w:p>
        </w:tc>
        <w:tc>
          <w:tcPr>
            <w:tcW w:w="2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>服务对象满意度指标</w:t>
            </w:r>
          </w:p>
        </w:tc>
        <w:tc>
          <w:tcPr>
            <w:tcW w:w="7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>开展参观人员满意度调查，满意度达到95%及以上满分；达到85%及以上、未达到95%扣1分；达到80%及以上、未达到85%扣2分；未达到80%不得分。</w:t>
            </w:r>
          </w:p>
        </w:tc>
      </w:tr>
    </w:tbl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-SA"/>
        </w:rPr>
        <w:t>3.评价标准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结合项目实际情况，以预先制定的目标、计划、预算作为本次绩效评价的标准。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</w:rPr>
        <w:t>（三）绩效评价工作过程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前期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组建绩效评价工作小组，按照绩效评价开展要求，开展绩效评价工作。通过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收集项目合同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、日常维护合同及记录、展厅接待调研记录、工作总结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等基础资料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，结合专家意见建议，从产出指标、效益指标和满意度指标三方面构建绩效评价指标体系。评价工作小组通过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查阅项目资料，分析评价项目的绩效实现情况，确认项目绩效是否达到预期目标，并完成绩效评价报告撰写工作。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color w:val="auto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/>
          <w:color w:val="auto"/>
          <w:kern w:val="0"/>
          <w:sz w:val="32"/>
          <w:szCs w:val="32"/>
          <w:lang w:eastAsia="zh-CN"/>
        </w:rPr>
        <w:t>三、综合评价情况及评价结论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4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-SA"/>
        </w:rPr>
        <w:t>北京市“两区”展示会客厅集政策展示、招商引资、交流洽谈、活动承接、对外宣传城市副中心等功能于一体，向参观者集中展示了北京“两区”建设路径与成果，为“两区”政策、园区建设、营商环境等方面提供宣传窗口与招商平台，基本达到经济效益、社会效益、可持续影响指标等运营目标，为推动“两区”建设和项目落地发挥了重要作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2024年北京市“两区”展示会客厅运营管理项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目绩效评价综合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得分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98分，评价结果优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其中，扣分项主要在于社会效益指标和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可持续影响指标：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bookmarkStart w:id="0" w:name="OLE_LINK2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社会效益指标：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扣分原因：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年展厅相关宣传活动获得人民网、中国日报、北京日报、北京电视台、凤凰网等媒体报道，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展厅相关宣传活动获央广网、北京日报、新京报、北京青年报等媒体报道，媒体层级较上一年下降。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改进措施：加强活动宣传，提升活动宣传的新闻价值，加强与区级、市级媒体合作，扩大展厅影响力和知晓度，深入宣传“两区”建设成果。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2.可持续影响指标：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扣分原因：</w:t>
      </w:r>
      <w:r>
        <w:rPr>
          <w:rFonts w:hint="eastAsia" w:ascii="仿宋_GB2312" w:eastAsia="仿宋_GB2312" w:cstheme="minorBidi"/>
          <w:kern w:val="2"/>
          <w:sz w:val="32"/>
          <w:szCs w:val="32"/>
          <w:lang w:val="en-US" w:eastAsia="zh-CN" w:bidi="ar-SA"/>
        </w:rPr>
        <w:t>2023年展厅接待各类单位、企业和团体参观调研11677人次，2024年展厅接待各类单位、企业和团体参观调研7556人次。2024年接待调研参观人次下降，在宣传展示“两区”建设成果方面相较上一年需要提升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改进措施：用好“两区”展示平台，加强对外宣传推介，利用展厅宣传展示平台作用，借助市级、区级活动，聚焦政策解读、招商推介等核心成果，扩大展厅影响力和知晓度，深入宣传“两区”建设成果。</w:t>
      </w:r>
      <w:bookmarkEnd w:id="0"/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auto"/>
          <w:kern w:val="0"/>
          <w:sz w:val="32"/>
          <w:szCs w:val="32"/>
          <w:lang w:eastAsia="zh-CN"/>
        </w:rPr>
        <w:t>四、绩效评价指标分析</w:t>
      </w:r>
      <w:r>
        <w:rPr>
          <w:rFonts w:hint="eastAsia" w:ascii="黑体" w:hAnsi="黑体" w:eastAsia="黑体" w:cs="黑体"/>
          <w:b w:val="0"/>
          <w:bCs/>
          <w:color w:val="auto"/>
          <w:kern w:val="0"/>
          <w:sz w:val="32"/>
          <w:szCs w:val="32"/>
          <w:lang w:val="en-US" w:eastAsia="zh-CN"/>
        </w:rPr>
        <w:t xml:space="preserve"> 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lang w:eastAsia="zh-CN"/>
        </w:rPr>
        <w:t>（一）</w:t>
      </w: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</w:rPr>
        <w:t>项目决策情况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北京市通州区运河商务区管理委员会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023年第14次党工委会会议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研究通过，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与北京运河商务区产业发展服务有限公司签订《北京市“两区”展示会客厅委托运营管理协议》，服务期自2023年度实际运营之日起至与中标、成交供应商签订正式协议之日止，期间运营管理相关费用由中标、成交供应商向北京运河商务区产业发展服务有限公司支付。北京市“两区”展示会客厅2024年1-4月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由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北京运河商务区产业发展服务有限公司运营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经公开招投标，由2024年第15次党工委会研究通过，确定北京城市副中心绿投科技发展有限公司（2024年7月更名为“北京通政城市副中心绿投科技发展有限公司”）（以下简称“绿投公司”）为北京市“两区”展示会客厅运营管理项目服务单位，并签订《北京市“两区”展示会客厅运营管理项目(503转)文化产品展览服务采购项目合同书》，服务期限为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2024年5月1日-2025年4月30日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北京市“两区”展示会客厅2024年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5-12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由绿投科技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公司运营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负责北京市“两区”展示会客厅的运营管理和讲解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展览及相关会议、活动的服务接待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游客的服务引导、咨询解答、秩序维护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等服务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-SA"/>
        </w:rPr>
        <w:t>该项目严格按照相关文件及合同等进行项目立项和资金安排，立项依据充分，决策程序规范，符合法律法规、相关政策、发展规划以及部门职责。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lang w:eastAsia="zh-CN"/>
        </w:rPr>
        <w:t>（二）</w:t>
      </w: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</w:rPr>
        <w:t>项目过程情况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2024年，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北京运河商务区产业发展服务有限公司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及绿投科技公司作为运营主体，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统筹运营北京市“两区”展示会客厅，提供“两区”展示区域讲解服务，做好展厅基础网络建设、安保、保洁、供冷供暖供水供电等保障工作，维护保养展厅内基础设施和多媒体设备，使展厅随时保持可供接待状态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。同时，统筹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安排在展厅开展的各类调研、参观、接待及主题活动以及其他相关工作。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-SA"/>
        </w:rPr>
        <w:t>该项目2024年批复预算资金280万元，用于北京市“两区”展示会客厅运营管理费用开支。截至2024年12月31日，开支使用280万元，预算执行率为100%。项目资金管理严格，开支范围合规，审批程序规范，为目标实现提供了资金保障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lang w:eastAsia="zh-CN"/>
        </w:rPr>
        <w:t>（三）</w:t>
      </w: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</w:rPr>
        <w:t>项目产出情况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年，北京市“两区”展示会客厅运营良好，对外开放期间环境整洁、舒适，各通道、出入口、疏散通道畅通；安全、指示、服务标识清晰；卫生间等基本服务项目、设施设备完好，使用方便；婴儿车、轮椅、AED等物品配备齐全；保障展厅各种设备正常使用、运行正常；展厅多媒体设备报修、维修响应及时；展厅建筑、绿植、消防、安防、空调等设备出现故障和损坏维修响应及时。经统计，202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年全年接待中国人民对外友好协会、东京都区市町村友好代表团、乌鲁木齐自贸试验区、商务部等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各类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单位、企业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和团体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参观调研7556人次，参观人员对展厅的讲解接待工作均给予了满意评价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同时，展厅积极策划举办大型活动，举办城市副中心“两区”建设新闻发布会、“亲密伙伴”计划政务服务专场政策解读会等重要活动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11场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，获得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央广网、北京日报、新京报、北京青年报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等媒体平台广泛关注和采访报道，有效提升副中心“两区”建设显示度和“两区”政策知晓度，为推动城市副中心招商引资和“两区”建设发挥重要平台作用。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lang w:eastAsia="zh-CN"/>
        </w:rPr>
        <w:t>（四）</w:t>
      </w: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</w:rPr>
        <w:t>项目效益情况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2024年，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北京市“两区”展示会客厅作为社会公益性质展厅，全年免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费对外开放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365天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北京市“两区”展示会客厅保持了较大规模接待量，参观群众满意度高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经问卷调查，参观人员对展厅的讲解接待工作满意度达100%。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通过接待调研参观和举办大型活动，深入宣传北京市和副中心“两区”建设成果，展示了“两区”建设对于首都发展、城市副中心发展的重要作用。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auto"/>
          <w:kern w:val="0"/>
          <w:sz w:val="32"/>
          <w:szCs w:val="32"/>
          <w:lang w:eastAsia="zh-CN"/>
        </w:rPr>
        <w:t>五、</w:t>
      </w:r>
      <w:r>
        <w:rPr>
          <w:rFonts w:hint="eastAsia" w:ascii="黑体" w:hAnsi="黑体" w:eastAsia="黑体" w:cs="黑体"/>
          <w:b w:val="0"/>
          <w:bCs/>
          <w:color w:val="auto"/>
          <w:kern w:val="0"/>
          <w:sz w:val="32"/>
          <w:szCs w:val="32"/>
        </w:rPr>
        <w:t>主要经验及做法、存在的问题及原因分析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lang w:val="en-US" w:eastAsia="zh-CN"/>
        </w:rPr>
        <w:t>（一）主要经验及做法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 w:val="0"/>
          <w:kern w:val="0"/>
          <w:sz w:val="32"/>
          <w:szCs w:val="32"/>
          <w:lang w:val="en-US" w:eastAsia="zh-CN"/>
        </w:rPr>
        <w:t>1.成立绩效评价工作小组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val="en-US" w:eastAsia="zh-CN"/>
        </w:rPr>
        <w:t>成立绩效评价工作小组，建立健全内部工作机制，强化工作责任，明确预算绩效管理工作，确保绩效管理工作有人管、有人抓。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 w:val="0"/>
          <w:kern w:val="0"/>
          <w:sz w:val="32"/>
          <w:szCs w:val="32"/>
          <w:lang w:val="en-US" w:eastAsia="zh-CN"/>
        </w:rPr>
        <w:t>2.强化过程管理，科学建立指标体系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val="en-US" w:eastAsia="zh-CN"/>
        </w:rPr>
        <w:t>结合展厅运营管理项目收集的基础资料以及专家意见建议，综合考虑影响项目实际情况，以及项目管理、实际效益、满意度等多方面要求，根据项目实际情况科学建立评估指标体系，确保全方位衡量项目执行情况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lang w:eastAsia="zh-CN"/>
        </w:rPr>
        <w:t>（二）存在问题及原因分析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val="en-US" w:eastAsia="zh-CN"/>
        </w:rPr>
        <w:t>绩效理念有待加强。目前对于绩效理念还比较淡薄，目标的设定不够精准，对于绩效目标产出及效果的设定结果存在一定的偏差，后续的培训学习工作应该加强。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auto"/>
          <w:kern w:val="0"/>
          <w:sz w:val="32"/>
          <w:szCs w:val="32"/>
        </w:rPr>
        <w:t>六、有关建议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明确预算绩效目标，提升绩效管理水平。在绩效目标、绩效管理方面加强学习与培训，产出从项目实施主要内容方面提炼，效果从项目总体目标进行分解，建立目标导向绩效理念，提升绩效管理水平。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auto"/>
          <w:kern w:val="0"/>
          <w:sz w:val="32"/>
          <w:szCs w:val="32"/>
        </w:rPr>
        <w:t>七、其他需要说明的问题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无。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-SA"/>
        </w:rPr>
      </w:pPr>
    </w:p>
    <w:p>
      <w:bookmarkStart w:id="1" w:name="_GoBack"/>
      <w:bookmarkEnd w:id="1"/>
    </w:p>
    <w:sectPr>
      <w:footerReference r:id="rId3" w:type="default"/>
      <w:pgSz w:w="16838" w:h="11906" w:orient="landscape"/>
      <w:pgMar w:top="1803" w:right="1440" w:bottom="1803" w:left="1440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4473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2025-08-19T08:44:07Z</dcterms:created>
  <dc:creator>cw</dc:creator>
  <cp:lastModifiedBy>cw</cp:lastModifiedBy>
  <dcterms:modified xsi:type="dcterms:W3CDTF">2025-08-19T08:44:39Z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</Properties>
</file>