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699DC">
      <w:pPr>
        <w:jc w:val="center"/>
        <w:rPr>
          <w:rFonts w:ascii="仿宋_GB2312" w:eastAsia="仿宋_GB2312"/>
          <w:b/>
          <w:sz w:val="32"/>
          <w:szCs w:val="32"/>
        </w:rPr>
      </w:pPr>
    </w:p>
    <w:p w14:paraId="6079F0FD">
      <w:pPr>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default" w:ascii="黑体" w:eastAsia="黑体"/>
          <w:sz w:val="32"/>
          <w:szCs w:val="32"/>
          <w:lang w:val="en" w:eastAsia="zh-CN"/>
        </w:rPr>
        <w:t>4</w:t>
      </w:r>
      <w:r>
        <w:rPr>
          <w:rFonts w:hint="eastAsia" w:ascii="黑体" w:eastAsia="黑体"/>
          <w:sz w:val="32"/>
          <w:szCs w:val="32"/>
          <w:lang w:eastAsia="zh-CN"/>
        </w:rPr>
        <w:t>年度</w:t>
      </w:r>
      <w:r>
        <w:rPr>
          <w:rFonts w:hint="eastAsia" w:ascii="黑体" w:eastAsia="黑体"/>
          <w:sz w:val="32"/>
          <w:szCs w:val="32"/>
        </w:rPr>
        <w:t>部门绩效评价情况</w:t>
      </w:r>
    </w:p>
    <w:p w14:paraId="03E989A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黑体" w:eastAsia="黑体"/>
          <w:sz w:val="28"/>
          <w:szCs w:val="28"/>
          <w:highlight w:val="none"/>
          <w:lang w:val="en" w:eastAsia="zh-CN"/>
        </w:rPr>
      </w:pPr>
      <w:r>
        <w:rPr>
          <w:rFonts w:hint="eastAsia" w:ascii="黑体" w:eastAsia="黑体"/>
          <w:sz w:val="28"/>
          <w:szCs w:val="28"/>
          <w:highlight w:val="none"/>
          <w:lang w:val="en" w:eastAsia="zh-CN"/>
        </w:rPr>
        <w:t>一、部门整体绩效评价报告</w:t>
      </w:r>
    </w:p>
    <w:p w14:paraId="35F4FA3B">
      <w:pPr>
        <w:keepNext w:val="0"/>
        <w:keepLines w:val="0"/>
        <w:pageBreakBefore w:val="0"/>
        <w:widowControl w:val="0"/>
        <w:kinsoku/>
        <w:wordWrap/>
        <w:overflowPunct/>
        <w:topLinePunct w:val="0"/>
        <w:autoSpaceDE/>
        <w:autoSpaceDN/>
        <w:bidi w:val="0"/>
        <w:adjustRightInd/>
        <w:snapToGrid/>
        <w:spacing w:line="580" w:lineRule="exact"/>
        <w:ind w:firstLine="420" w:firstLineChars="150"/>
        <w:textAlignment w:val="auto"/>
        <w:outlineLvl w:val="9"/>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（一）部门概况</w:t>
      </w:r>
    </w:p>
    <w:p w14:paraId="420A133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机构设置及职责工作任务情况</w:t>
      </w:r>
    </w:p>
    <w:p w14:paraId="2D9D48CA">
      <w:pPr>
        <w:keepNext w:val="0"/>
        <w:keepLines w:val="0"/>
        <w:pageBreakBefore w:val="0"/>
        <w:widowControl w:val="0"/>
        <w:kinsoku/>
        <w:wordWrap/>
        <w:overflowPunct/>
        <w:topLinePunct w:val="0"/>
        <w:autoSpaceDE/>
        <w:autoSpaceDN/>
        <w:bidi w:val="0"/>
        <w:adjustRightInd/>
        <w:snapToGrid/>
        <w:spacing w:line="580" w:lineRule="exact"/>
        <w:ind w:firstLine="420" w:firstLineChars="150"/>
        <w:textAlignment w:val="auto"/>
        <w:outlineLvl w:val="9"/>
        <w:rPr>
          <w:rFonts w:hint="eastAsia" w:ascii="仿宋_GB2312" w:hAnsi="Times New Roman" w:eastAsia="仿宋_GB2312" w:cs="Times New Roman"/>
          <w:sz w:val="28"/>
          <w:szCs w:val="28"/>
          <w:lang w:val="en-US" w:eastAsia="zh-CN"/>
        </w:rPr>
      </w:pPr>
      <w:r>
        <w:rPr>
          <w:rFonts w:hint="eastAsia" w:ascii="仿宋_GB2312" w:eastAsia="仿宋_GB2312" w:cs="Times New Roman"/>
          <w:sz w:val="28"/>
          <w:szCs w:val="28"/>
          <w:lang w:val="en-US" w:eastAsia="zh-CN"/>
        </w:rPr>
        <w:t>（1）</w:t>
      </w:r>
      <w:r>
        <w:rPr>
          <w:rFonts w:hint="eastAsia" w:ascii="仿宋_GB2312" w:hAnsi="Times New Roman" w:eastAsia="仿宋_GB2312" w:cs="Times New Roman"/>
          <w:sz w:val="28"/>
          <w:szCs w:val="28"/>
          <w:lang w:val="en-US" w:eastAsia="zh-CN"/>
        </w:rPr>
        <w:t>机构设置</w:t>
      </w:r>
    </w:p>
    <w:p w14:paraId="606A69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仿宋_GB2312" w:eastAsia="仿宋_GB2312" w:cs="仿宋_GB2312"/>
          <w:sz w:val="28"/>
          <w:szCs w:val="28"/>
          <w:highlight w:val="none"/>
          <w:lang w:val="en-US" w:eastAsia="zh-CN"/>
        </w:rPr>
        <w:t>北京市通州区审计局行政编制人数38名,工勤编制人数5名，截至2024年12月31日行政编制实有人数33名，工勤编制实有人数3名；事业编制人数18名，实有人数14名；离退休人员人数44名，其中：离休0人，退休44人；内设7科1室，分别为办公室、综合科、内审指导科、财政审计科、民生保障审计科、投资审计科、经济责任审计科、人事教育科。</w:t>
      </w:r>
      <w:bookmarkStart w:id="0" w:name="_GoBack"/>
      <w:bookmarkEnd w:id="0"/>
    </w:p>
    <w:p w14:paraId="0F4C6FD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下辖1家非独立核算的全额拨款事业单位：北京市通州区专项审计工作中心。</w:t>
      </w:r>
    </w:p>
    <w:p w14:paraId="33D78A86">
      <w:pPr>
        <w:keepNext w:val="0"/>
        <w:keepLines w:val="0"/>
        <w:pageBreakBefore w:val="0"/>
        <w:widowControl w:val="0"/>
        <w:kinsoku/>
        <w:wordWrap/>
        <w:overflowPunct/>
        <w:topLinePunct w:val="0"/>
        <w:autoSpaceDE/>
        <w:autoSpaceDN/>
        <w:bidi w:val="0"/>
        <w:adjustRightInd/>
        <w:snapToGrid/>
        <w:spacing w:line="580" w:lineRule="exact"/>
        <w:ind w:firstLine="420" w:firstLineChars="15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（2）职责工作情况</w:t>
      </w:r>
    </w:p>
    <w:p w14:paraId="5C6D5C2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主管全区审计工作。负责对本区财政收支和法律法规规定属于审计监督范围的财务收支的真实、合法和效益进行审计监督，对公共资金、国有资产、国有资源和领导干部履行经济责任情况进行审计全覆盖，对领导干部实行自然资源资产离任审计，对国家和市、区重大政策措施贯彻落实情况进行跟踪审计。对审计、专项审计调查和核查社会审计机构相关审计报告的结果承担责任，并负有督促被审计单位整改的责任。</w:t>
      </w:r>
    </w:p>
    <w:p w14:paraId="2372543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②贯彻落实国家及本市关于审计工作方面的法律、法规、规章和政策，制定并组织实施审计工作规划和年度审计</w:t>
      </w:r>
    </w:p>
    <w:p w14:paraId="138646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计划。对直接审计、调查和核实的事项依法进行审计评价，做出审计决定或提出审计建议。</w:t>
      </w:r>
    </w:p>
    <w:p w14:paraId="2BF2243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向区委审计委员会提出年度区级预算执行和其它财政收支情况的审计结果报告、审计查出问题整改情况报告。向区政府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调查情况及结果。依法向社会公布审计结果。向区委、区政府有关部门通报审计情况和审计结果。</w:t>
      </w:r>
    </w:p>
    <w:p w14:paraId="63EA5F8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sz w:val="28"/>
          <w:szCs w:val="28"/>
          <w:lang w:eastAsia="zh-CN"/>
        </w:rPr>
      </w:pPr>
      <w:r>
        <w:rPr>
          <w:rFonts w:hint="eastAsia" w:ascii="仿宋_GB2312" w:hAnsi="仿宋_GB2312" w:eastAsia="仿宋_GB2312" w:cs="仿宋_GB2312"/>
          <w:sz w:val="28"/>
          <w:szCs w:val="28"/>
          <w:highlight w:val="none"/>
          <w:lang w:val="en-US" w:eastAsia="zh-CN"/>
        </w:rPr>
        <w:t>④直接审计下列事项，出具审计报告，在法定职权范围内做出审计决定。区级预算执行情况和其他财政收支、区级各部门（含所属单位）预算的执行情况、决算草案和其他财政收支。包括国家及市、区有关重大政策措施贯彻落实情况。按规定对处级党政主要领导干部及其他单位主要负责人实施经济责任审计和自然资源资产离任审计。区属国有企业和金融机构、区级国有资本占控股或主导地位的企业和金融机构的资产、负债和损益。区政府投资和以区政府投资为主的建设项目的预算执行情况和决算，全区重大公共工程项目的资金管理使用和建设运营情况。自然资源管理、污染防治和生态保护与修复情况。有关社会保障基金、社会捐赠资金及其他有关基金、资金的财务收支。市审计局授权审计的国际组织和外国政府援助、贷款项目及其他审计事项。组织实施对国家财经法律、法规、规章、政策和宏观调控措施执行情况。依法检查审计决定执行情况，督促整改审计查出的问题，依法办理被审计单位对审计决定提请行政复议、行政诉讼或区政府裁决中的有关事项。协助配合有关部门查处相关重大案件。指导和监督本区内部审计工作，核查社会审计机构对依</w:t>
      </w:r>
      <w:r>
        <w:rPr>
          <w:rFonts w:hint="eastAsia" w:ascii="仿宋_GB2312" w:hAnsi="Times New Roman" w:eastAsia="仿宋_GB2312" w:cs="Times New Roman"/>
          <w:b w:val="0"/>
          <w:kern w:val="2"/>
          <w:sz w:val="28"/>
          <w:szCs w:val="28"/>
          <w:lang w:val="en-US" w:eastAsia="zh-CN" w:bidi="ar-SA"/>
        </w:rPr>
        <w:t>法属于审计监督对象的单位出具的相关审计报告。依法组织审计区属单位的境外资产、负债和损益。完成区委、区政府和市审计局交办的其他任务。法律法规规定的其他事项。</w:t>
      </w:r>
    </w:p>
    <w:p w14:paraId="300CF8C7">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sz w:val="28"/>
          <w:szCs w:val="28"/>
          <w:lang w:eastAsia="zh-CN"/>
        </w:rPr>
      </w:pPr>
      <w:r>
        <w:rPr>
          <w:rFonts w:hint="eastAsia" w:ascii="仿宋_GB2312" w:hAnsi="仿宋_GB2312" w:eastAsia="仿宋_GB2312" w:cs="仿宋_GB2312"/>
          <w:sz w:val="28"/>
          <w:szCs w:val="28"/>
          <w:highlight w:val="none"/>
          <w:lang w:val="en-US" w:eastAsia="zh-CN"/>
        </w:rPr>
        <w:t>2.部门整体绩效目标设立情况</w:t>
      </w:r>
    </w:p>
    <w:p w14:paraId="36C6A98D">
      <w:pPr>
        <w:keepNext w:val="0"/>
        <w:keepLines w:val="0"/>
        <w:pageBreakBefore w:val="0"/>
        <w:kinsoku/>
        <w:wordWrap/>
        <w:overflowPunct/>
        <w:topLinePunct w:val="0"/>
        <w:autoSpaceDE/>
        <w:autoSpaceDN/>
        <w:bidi w:val="0"/>
        <w:adjustRightInd/>
        <w:snapToGrid/>
        <w:spacing w:line="580" w:lineRule="exact"/>
        <w:ind w:firstLine="700" w:firstLineChars="250"/>
        <w:textAlignment w:val="auto"/>
        <w:outlineLvl w:val="9"/>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按照年度审计项目计划和区政府相关工作要求，根据《中华人民共和国审计法》、《中华人民共和国审计法实施条例》（以下简称《实施条例》）及其他相关法律法规的规定，制定审计项目计划、审计实施方案。依据“三定”“方案部门职责，按照区财政局制定的《项目支出绩效评价管理办法》，针对不同审计项目的实际情况设定了绩效目标，绩效目标主要围绕产出指标、时效指标、质量指标、成本指标、经济效益、社会效益以及服务对象满意度设定。建立科学合理的绩效评价体系，不断深化绩效评价工作，促进被审计单位管理规范化、科学化，提高财政资金使用效益。</w:t>
      </w:r>
    </w:p>
    <w:p w14:paraId="29E21111">
      <w:pPr>
        <w:keepNext w:val="0"/>
        <w:keepLines w:val="0"/>
        <w:pageBreakBefore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（二）当年预算执行情况</w:t>
      </w:r>
    </w:p>
    <w:p w14:paraId="333A971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2024年全年预算数3545.42万元，其中，基本支出预算数1811.56万元，项目支出预算数1983.53万元，其他支出预算数0.00万元。资金总体支出3545.42万元，其中，基本支出1766.88万元，项目支出1778.54万元，其他支出0.00万元。预算执行率为100.00%。</w:t>
      </w:r>
    </w:p>
    <w:p w14:paraId="6F35421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（三）整体绩效目标实现情况</w:t>
      </w:r>
    </w:p>
    <w:p w14:paraId="1E651C8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产出完成情况分析</w:t>
      </w:r>
    </w:p>
    <w:p w14:paraId="03E5B3A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（1）产出数量</w:t>
      </w:r>
    </w:p>
    <w:p w14:paraId="53A8C48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保障人员经费及日常工作运转。2024年末通州区审计局在职行政编制人员36人，下辖1家全额拨款事业单位在职事业编制人员14人，共计50人；退休人员44人。严格遵守中央八项规定精神，本着厉行节约的原则，压缩了一般性支出，同时保障了机关的正常运转和人员工资福利支出发放到位。</w:t>
      </w:r>
    </w:p>
    <w:p w14:paraId="5C60981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②在区委、区政府及市审计局的坚强领导下，以习近平新时代中国特色社会主义思想为指导，全面贯彻党的二十</w:t>
      </w:r>
    </w:p>
    <w:p w14:paraId="0DB9CF1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大和二十届二中、三中全会精神，坚决落实各项决策部署，以“11311”工作体系为抓手，紧紧围绕城市副中心发展大局，全面完成了2024年审计工作，其中审计项目31个，信息化项目3个，法律咨询项目1个，档案数字化项目1个，内审业务培训3次，购置设备项目2个。</w:t>
      </w:r>
    </w:p>
    <w:p w14:paraId="62A9127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（2）产出质量</w:t>
      </w:r>
    </w:p>
    <w:p w14:paraId="2A0F53A6">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审计过程中共发现违规金额3217.00万元，管理不规范金额4703.00万元，非金额计量问题192个，提出审计建</w:t>
      </w:r>
    </w:p>
    <w:p w14:paraId="7CCC0C63">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议87条，报送审计专报6件。对审计发现的涉嫌违纪及严重违规问题出具12份审计事项移送处理书，其中移送纪检监察机关7份，移送相关主管部门5份。</w:t>
      </w:r>
    </w:p>
    <w:p w14:paraId="3A572418">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（3）</w:t>
      </w:r>
      <w:r>
        <w:rPr>
          <w:rFonts w:hint="eastAsia" w:ascii="仿宋_GB2312" w:hAnsi="Times New Roman" w:eastAsia="仿宋_GB2312" w:cs="Times New Roman"/>
          <w:b w:val="0"/>
          <w:kern w:val="2"/>
          <w:sz w:val="28"/>
          <w:szCs w:val="28"/>
          <w:lang w:val="en-US" w:eastAsia="zh-CN" w:bidi="ar-SA"/>
        </w:rPr>
        <w:t>产出进度</w:t>
      </w:r>
    </w:p>
    <w:p w14:paraId="40C8CAC5">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2024年所有项目均按照时间节点在年度内完成。</w:t>
      </w:r>
    </w:p>
    <w:p w14:paraId="0054B185">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（4）</w:t>
      </w:r>
      <w:r>
        <w:rPr>
          <w:rFonts w:hint="eastAsia" w:ascii="仿宋_GB2312" w:hAnsi="Times New Roman" w:eastAsia="仿宋_GB2312" w:cs="Times New Roman"/>
          <w:b w:val="0"/>
          <w:kern w:val="2"/>
          <w:sz w:val="28"/>
          <w:szCs w:val="28"/>
          <w:lang w:val="en-US" w:eastAsia="zh-CN" w:bidi="ar-SA"/>
        </w:rPr>
        <w:t>产出成本</w:t>
      </w:r>
    </w:p>
    <w:p w14:paraId="1765AF1B">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严格按照市区两级工重点工作部署，发扬艰苦奋斗、勤俭节约的优良传统，聚焦重点、精打细算、控制成本。2024</w:t>
      </w:r>
    </w:p>
    <w:p w14:paraId="21111BC1">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年年初预算数3795.09万元，其中:基本支出1811.56万元（其中：人员经费1622.17万元，公用经费189.39万元），项目支出1983.53万元；2024年决算数3545.42万元，基本支出1766.88万元，（其中：人员经费1594.24万元，公用经费172.64万元），项目支出1778.54万元，实际支出较年初预算节约249.67万元。</w:t>
      </w:r>
    </w:p>
    <w:p w14:paraId="38E4BF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效果实现情况分析</w:t>
      </w:r>
    </w:p>
    <w:p w14:paraId="4A18141F">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（1）</w:t>
      </w:r>
      <w:r>
        <w:rPr>
          <w:rFonts w:hint="eastAsia" w:ascii="仿宋_GB2312" w:hAnsi="Times New Roman" w:eastAsia="仿宋_GB2312" w:cs="Times New Roman"/>
          <w:b w:val="0"/>
          <w:kern w:val="2"/>
          <w:sz w:val="28"/>
          <w:szCs w:val="28"/>
          <w:lang w:val="en-US" w:eastAsia="zh-CN" w:bidi="ar-SA"/>
        </w:rPr>
        <w:t>经济效益</w:t>
      </w:r>
    </w:p>
    <w:p w14:paraId="6C451375">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促进被审计单位和项目严格控制成本。直接表现为被审计单位将审计查出的问题资金交回财政统筹管理，节约财</w:t>
      </w:r>
    </w:p>
    <w:p w14:paraId="228DB647">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政资金。间接表现为因审计介入而减少了风险的发生，按程序要求出具了审计报告。</w:t>
      </w:r>
    </w:p>
    <w:p w14:paraId="2A77324A">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（2）</w:t>
      </w:r>
      <w:r>
        <w:rPr>
          <w:rFonts w:hint="eastAsia" w:ascii="仿宋_GB2312" w:hAnsi="Times New Roman" w:eastAsia="仿宋_GB2312" w:cs="Times New Roman"/>
          <w:b w:val="0"/>
          <w:kern w:val="2"/>
          <w:sz w:val="28"/>
          <w:szCs w:val="28"/>
          <w:lang w:val="en-US" w:eastAsia="zh-CN" w:bidi="ar-SA"/>
        </w:rPr>
        <w:t>社会效益</w:t>
      </w:r>
    </w:p>
    <w:p w14:paraId="6C34BF2F">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促进被审计提高预算编制及预算管理水平和国家、北京市及区级重大政策措施的落实、促进重点项目的推进，按</w:t>
      </w:r>
    </w:p>
    <w:p w14:paraId="2A271A2D">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要求出具了审计结果，促进被审计单位根据审计建议建立健全规章制度，对审计发现的问题进立行立改、持续整改，推动被审计单位科学发展，有效促进依法行政。</w:t>
      </w:r>
    </w:p>
    <w:p w14:paraId="292A2695">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（3）</w:t>
      </w:r>
      <w:r>
        <w:rPr>
          <w:rFonts w:hint="eastAsia" w:ascii="仿宋_GB2312" w:hAnsi="Times New Roman" w:eastAsia="仿宋_GB2312" w:cs="Times New Roman"/>
          <w:b w:val="0"/>
          <w:kern w:val="2"/>
          <w:sz w:val="28"/>
          <w:szCs w:val="28"/>
          <w:lang w:val="en-US" w:eastAsia="zh-CN" w:bidi="ar-SA"/>
        </w:rPr>
        <w:t xml:space="preserve">可持续性影响                                                                              </w:t>
      </w:r>
    </w:p>
    <w:p w14:paraId="2E108F42">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按要求出具了审计结果，被审计单位存在的问题得到整改、各项制度不断完善，促进领导干部守法、守纪、守规、</w:t>
      </w:r>
    </w:p>
    <w:p w14:paraId="2F7101EB">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 xml:space="preserve">尽责，被审计单位各项管理规范化、科学化，进一步提高了财政资金使用效益。 </w:t>
      </w:r>
    </w:p>
    <w:p w14:paraId="6672CFFD">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eastAsia="仿宋_GB2312" w:cs="Times New Roman"/>
          <w:b w:val="0"/>
          <w:kern w:val="2"/>
          <w:sz w:val="28"/>
          <w:szCs w:val="28"/>
          <w:lang w:val="en-US" w:eastAsia="zh-CN" w:bidi="ar-SA"/>
        </w:rPr>
        <w:t>（4）</w:t>
      </w:r>
      <w:r>
        <w:rPr>
          <w:rFonts w:hint="eastAsia" w:ascii="仿宋_GB2312" w:hAnsi="Times New Roman" w:eastAsia="仿宋_GB2312" w:cs="Times New Roman"/>
          <w:b w:val="0"/>
          <w:kern w:val="2"/>
          <w:sz w:val="28"/>
          <w:szCs w:val="28"/>
          <w:lang w:val="en-US" w:eastAsia="zh-CN" w:bidi="ar-SA"/>
        </w:rPr>
        <w:t>服务对象满意度</w:t>
      </w:r>
    </w:p>
    <w:p w14:paraId="0C7DFAD3">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被审计单位全部接受和采纳了审计建议，完善了管理，并且未发生被审计单位对审计结果发起行政复议或诉讼且</w:t>
      </w:r>
    </w:p>
    <w:p w14:paraId="2B78A502">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审计机关败诉情况。</w:t>
      </w:r>
    </w:p>
    <w:p w14:paraId="54701438">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（四）预算管理情况分析</w:t>
      </w:r>
    </w:p>
    <w:p w14:paraId="63DD7AA2">
      <w:pPr>
        <w:keepNext w:val="0"/>
        <w:keepLines w:val="0"/>
        <w:pageBreakBefore w:val="0"/>
        <w:widowControl w:val="0"/>
        <w:kinsoku/>
        <w:wordWrap/>
        <w:overflowPunct/>
        <w:topLinePunct w:val="0"/>
        <w:autoSpaceDE/>
        <w:autoSpaceDN/>
        <w:bidi w:val="0"/>
        <w:adjustRightInd/>
        <w:snapToGrid/>
        <w:spacing w:line="580" w:lineRule="exact"/>
        <w:ind w:firstLine="840" w:firstLineChars="3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财务管理</w:t>
      </w:r>
    </w:p>
    <w:p w14:paraId="422FC6F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财务管理制度健全性</w:t>
      </w:r>
    </w:p>
    <w:p w14:paraId="6FD36D7A">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为确保财政资金的合理和有效使用</w:t>
      </w:r>
      <w:r>
        <w:rPr>
          <w:rFonts w:hint="eastAsia" w:ascii="仿宋_GB2312" w:eastAsia="仿宋_GB2312" w:cs="Times New Roman"/>
          <w:b w:val="0"/>
          <w:kern w:val="2"/>
          <w:sz w:val="28"/>
          <w:szCs w:val="28"/>
          <w:lang w:val="en-US" w:eastAsia="zh-CN" w:bidi="ar-SA"/>
        </w:rPr>
        <w:t>，</w:t>
      </w:r>
      <w:r>
        <w:rPr>
          <w:rFonts w:hint="eastAsia" w:ascii="仿宋_GB2312" w:hAnsi="Times New Roman" w:eastAsia="仿宋_GB2312" w:cs="Times New Roman"/>
          <w:b w:val="0"/>
          <w:kern w:val="2"/>
          <w:sz w:val="28"/>
          <w:szCs w:val="28"/>
          <w:lang w:val="en-US" w:eastAsia="zh-CN" w:bidi="ar-SA"/>
        </w:rPr>
        <w:t>研究制定了比较完整的财务管理制度和内部财务控制制度，涵</w:t>
      </w:r>
    </w:p>
    <w:p w14:paraId="2C9F0F5C">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盖了内部管理，会计核算，货币资金管理、“三公”经费管理、培训经费支出、资产管理、专项资金管理等方面，相关管理制度合法、合规、完整，并在实际工作中得到有效执行。</w:t>
      </w:r>
    </w:p>
    <w:p w14:paraId="55BF62E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资金使用合规性和安全性</w:t>
      </w:r>
    </w:p>
    <w:p w14:paraId="24D11568">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280" w:firstLineChars="100"/>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各项支出按照国家财经法规和财务管理制度以及专项资金管理办法等规定执行，资金支付有完整的审批程序和手</w:t>
      </w:r>
    </w:p>
    <w:p w14:paraId="561404CD">
      <w:pPr>
        <w:keepNext w:val="0"/>
        <w:keepLines w:val="0"/>
        <w:pageBreakBefore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Times New Roman" w:eastAsia="仿宋_GB2312" w:cs="Times New Roman"/>
          <w:b w:val="0"/>
          <w:kern w:val="2"/>
          <w:sz w:val="28"/>
          <w:szCs w:val="28"/>
          <w:lang w:val="en-US" w:eastAsia="zh-CN" w:bidi="ar-SA"/>
        </w:rPr>
      </w:pPr>
      <w:r>
        <w:rPr>
          <w:rFonts w:hint="eastAsia" w:ascii="仿宋_GB2312" w:hAnsi="Times New Roman" w:eastAsia="仿宋_GB2312" w:cs="Times New Roman"/>
          <w:b w:val="0"/>
          <w:kern w:val="2"/>
          <w:sz w:val="28"/>
          <w:szCs w:val="28"/>
          <w:lang w:val="en-US" w:eastAsia="zh-CN" w:bidi="ar-SA"/>
        </w:rPr>
        <w:t>续，各项支出均按照财政局批复的部门预算的用途安排使用，需要调整部门支出经济分类科目的项目，也严格按照流程在预算一体化中进行调整，待财政批复重新下达指标后再安排使用，无截留</w:t>
      </w:r>
      <w:r>
        <w:rPr>
          <w:rFonts w:hint="eastAsia" w:ascii="仿宋_GB2312" w:eastAsia="仿宋_GB2312" w:cs="Times New Roman"/>
          <w:b w:val="0"/>
          <w:kern w:val="2"/>
          <w:sz w:val="28"/>
          <w:szCs w:val="28"/>
          <w:lang w:val="en-US" w:eastAsia="zh-CN" w:bidi="ar-SA"/>
        </w:rPr>
        <w:t>、</w:t>
      </w:r>
      <w:r>
        <w:rPr>
          <w:rFonts w:hint="eastAsia" w:ascii="仿宋_GB2312" w:hAnsi="Times New Roman" w:eastAsia="仿宋_GB2312" w:cs="Times New Roman"/>
          <w:b w:val="0"/>
          <w:kern w:val="2"/>
          <w:sz w:val="28"/>
          <w:szCs w:val="28"/>
          <w:lang w:val="en-US" w:eastAsia="zh-CN" w:bidi="ar-SA"/>
        </w:rPr>
        <w:t>挪用、挤占、虚列支出等情况。</w:t>
      </w:r>
    </w:p>
    <w:p w14:paraId="3E60D01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（3）会计基础信息完善性</w:t>
      </w:r>
    </w:p>
    <w:p w14:paraId="3FB0B86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处理会计业务时，按照实际发生的各项业务取得真实合法可靠的原始凭证。通过取得的凭证做账务处理，记账凭</w:t>
      </w:r>
    </w:p>
    <w:p w14:paraId="093C684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证所附原始票据单据齐全。涉及采购业务记账凭证还对合同，采购订单、银行支出回单等相关原始凭证。及时装订会计凭证和会计账簿，根据《会计档案管理办法》的规定，科学管理财务会计档案，保证会计档案妥善有序存放。</w:t>
      </w:r>
    </w:p>
    <w:p w14:paraId="06C8237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2.资产管理</w:t>
      </w:r>
    </w:p>
    <w:p w14:paraId="5597072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val="en-US" w:eastAsia="zh-CN"/>
        </w:rPr>
        <w:t>建立健全固定资产管理制度，明确固定资产购置、验收登记、核算入账、领用交回、出租出借、转让处置、毁损报废等环节的具体操作流程，并严格执行。同时，建立健全固定资产使用登记台账，完善资产使用信息资料，确保账、卡、物一致。</w:t>
      </w:r>
    </w:p>
    <w:p w14:paraId="007CE1A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强化源头管理‌：资产配置应严格实行预算管理，以存量制约增量，优化新增资产配置预算编报审核机制。通用办公家具和设备严格按照配置标准核定，从数量、价格和最低使用年限三个维度增强约束，从配置源头控制成本‌。</w:t>
      </w:r>
    </w:p>
    <w:p w14:paraId="18DD695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val="en-US" w:eastAsia="zh-CN"/>
        </w:rPr>
        <w:t>‌加强内部控制‌：根据《</w:t>
      </w:r>
      <w:r>
        <w:rPr>
          <w:rFonts w:hint="eastAsia" w:ascii="仿宋_GB2312" w:hAnsi="仿宋_GB2312" w:eastAsia="仿宋_GB2312" w:cs="仿宋_GB2312"/>
          <w:sz w:val="28"/>
          <w:szCs w:val="28"/>
          <w:highlight w:val="none"/>
          <w:lang w:val="en-US" w:eastAsia="zh-CN"/>
        </w:rPr>
        <w:t>北京市通州区审计局内部控制手册</w:t>
      </w:r>
      <w:r>
        <w:rPr>
          <w:rFonts w:hint="default" w:ascii="仿宋_GB2312" w:hAnsi="仿宋_GB2312" w:eastAsia="仿宋_GB2312" w:cs="仿宋_GB2312"/>
          <w:sz w:val="28"/>
          <w:szCs w:val="28"/>
          <w:highlight w:val="none"/>
          <w:lang w:val="en-US" w:eastAsia="zh-CN"/>
        </w:rPr>
        <w:t>》规定，强化固定资产配置、使用、处置等关键环节的管控。加强固定资产管理部门与政府采购、财务、人事等部门的沟通协作，形成管理合力‌。</w:t>
      </w:r>
    </w:p>
    <w:p w14:paraId="23CA00F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lang w:val="en-US" w:eastAsia="zh-CN"/>
        </w:rPr>
        <w:t>‌规范使用和处置‌：</w:t>
      </w:r>
      <w:r>
        <w:rPr>
          <w:rFonts w:hint="eastAsia" w:ascii="仿宋_GB2312" w:hAnsi="仿宋_GB2312" w:eastAsia="仿宋_GB2312" w:cs="仿宋_GB2312"/>
          <w:sz w:val="28"/>
          <w:szCs w:val="28"/>
          <w:highlight w:val="none"/>
          <w:lang w:val="en-US" w:eastAsia="zh-CN"/>
        </w:rPr>
        <w:t>固定资产在使用过程中已经达到报废年限或是已经损坏需要处置时，严格按照财政局相关规定</w:t>
      </w:r>
      <w:r>
        <w:rPr>
          <w:rFonts w:hint="default" w:ascii="仿宋_GB2312" w:hAnsi="仿宋_GB2312" w:eastAsia="仿宋_GB2312" w:cs="仿宋_GB2312"/>
          <w:sz w:val="28"/>
          <w:szCs w:val="28"/>
          <w:highlight w:val="none"/>
          <w:lang w:val="en-US" w:eastAsia="zh-CN"/>
        </w:rPr>
        <w:t>依法依规审批</w:t>
      </w:r>
      <w:r>
        <w:rPr>
          <w:rFonts w:hint="eastAsia" w:ascii="仿宋_GB2312" w:hAnsi="仿宋_GB2312" w:eastAsia="仿宋_GB2312" w:cs="仿宋_GB2312"/>
          <w:sz w:val="28"/>
          <w:szCs w:val="28"/>
          <w:highlight w:val="none"/>
          <w:lang w:val="en-US" w:eastAsia="zh-CN"/>
        </w:rPr>
        <w:t>进行处置。</w:t>
      </w:r>
      <w:r>
        <w:rPr>
          <w:rFonts w:hint="default" w:ascii="仿宋_GB2312" w:hAnsi="仿宋_GB2312" w:eastAsia="仿宋_GB2312" w:cs="仿宋_GB2312"/>
          <w:sz w:val="28"/>
          <w:szCs w:val="28"/>
          <w:highlight w:val="none"/>
          <w:lang w:val="en-US" w:eastAsia="zh-CN"/>
        </w:rPr>
        <w:t>严禁擅自处置‌</w:t>
      </w:r>
      <w:r>
        <w:rPr>
          <w:rFonts w:hint="eastAsia" w:ascii="仿宋_GB2312" w:hAnsi="仿宋_GB2312" w:eastAsia="仿宋_GB2312" w:cs="仿宋_GB2312"/>
          <w:sz w:val="28"/>
          <w:szCs w:val="28"/>
          <w:highlight w:val="none"/>
          <w:lang w:val="en-US" w:eastAsia="zh-CN"/>
        </w:rPr>
        <w:t>，避免造成国有资产的损失和浪费</w:t>
      </w:r>
      <w:r>
        <w:rPr>
          <w:rFonts w:hint="default" w:ascii="仿宋_GB2312" w:hAnsi="仿宋_GB2312" w:eastAsia="仿宋_GB2312" w:cs="仿宋_GB2312"/>
          <w:sz w:val="28"/>
          <w:szCs w:val="28"/>
          <w:highlight w:val="none"/>
          <w:lang w:val="en-US" w:eastAsia="zh-CN"/>
        </w:rPr>
        <w:t>。</w:t>
      </w:r>
    </w:p>
    <w:p w14:paraId="0ACBD87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3.绩效管理</w:t>
      </w:r>
    </w:p>
    <w:p w14:paraId="73BC31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结合实际情况建立健全了财务管理制度和约束机制，依法、有效地利用财政资金，提高财政资金使用效率，合理分配人、财、物，完成了部门职能目标，实现了较高的工作效率和支出绩效。2024年部门预算编制规范、准确，各项经费足额纳入预算安排，确保了部门正常运转和专项工作的顺利开展，较好完成年初绩效目标任务。</w:t>
      </w:r>
    </w:p>
    <w:p w14:paraId="17CC7C1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4.结转结余率</w:t>
      </w:r>
    </w:p>
    <w:p w14:paraId="0C1D90F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无结转结余资金</w:t>
      </w:r>
    </w:p>
    <w:p w14:paraId="71F67F0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5.部门预决算差异率</w:t>
      </w:r>
    </w:p>
    <w:p w14:paraId="7F45086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部门预决算无差异率</w:t>
      </w:r>
    </w:p>
    <w:p w14:paraId="4AF00D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（五）总体评价结论</w:t>
      </w:r>
    </w:p>
    <w:p w14:paraId="2ADE5A0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1.评价得分情况</w:t>
      </w:r>
    </w:p>
    <w:p w14:paraId="34D2A46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根据（《北京市通州区财政局关于开展2025年预算绩效管理工作的通知》通财绩效发〔2025〕11号）文件要求，通州区审计局认真开展自查工作，逐项分析账目，收集整理资料，并根据绩效自评表打分。2024年，我局部门整体支出绩效评价自查自评结果优秀，全年基本支出保证了部门的正常运行和日常工作的正常开展，项目支出保障了重点工作的开展，达到了预期绩效目标，综合分析自评得分99.875分，自评结果为优秀。</w:t>
      </w:r>
    </w:p>
    <w:p w14:paraId="5FBF148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2.存在的问题及原因分析</w:t>
      </w:r>
    </w:p>
    <w:p w14:paraId="6397153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2024年，通州区审计局围绕副中心发展大局，充分发挥审计经济监督作用，比较圆满的完成了各项工作。绩效工作虽然取得一些进展，但与财政局要求还存在一定的差距。</w:t>
      </w:r>
    </w:p>
    <w:p w14:paraId="5D534BC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预算控制有待提高。由于政策性原因，人员经费有追加项目，导致追加预算有超出实际支出现象。在预算执行中，严格按照预算科目支出，确保项目绩效目标的完成，发挥资金的使用效益，提高预算完成率。</w:t>
      </w:r>
    </w:p>
    <w:p w14:paraId="70C62D6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预算绩效观念不深入。支出绩效管理工作虽然在不断进步，但在日常财务工作中存在重支出、轻绩效的情况，主要原因是绩效理念较薄弱，对资金绩效管理的重视程度不够。</w:t>
      </w:r>
    </w:p>
    <w:p w14:paraId="497B352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（六）措施建议</w:t>
      </w:r>
    </w:p>
    <w:p w14:paraId="4621C29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以后的工作中，继续加强绩效评价工作，进一步加强规章制度建设，不断完善绩效评价体系，加快对绩效指标的研究设计，形成符合目标内容、突出项目绩效特色的评价指标体系；进一步加强预算管理意识，严格按照预算编制的相关制度和要求，提高预算编制的科学性、准确性，在预算执行中，严格按照预算科目支出，确保项目绩效目标的完成，发挥资金的使用效益，提高预算完成率；对相关人员加强培训，进一步提高对绩效管理工作的认识，加强内部控制和绩效监督，切实提高财政资金使用效益。</w:t>
      </w:r>
    </w:p>
    <w:p w14:paraId="13534984">
      <w:pPr>
        <w:pStyle w:val="2"/>
        <w:ind w:left="0" w:leftChars="0" w:firstLine="0" w:firstLineChars="0"/>
        <w:rPr>
          <w:rFonts w:hint="eastAsia"/>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仿宋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9655">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5</w:t>
    </w:r>
    <w:r>
      <w:fldChar w:fldCharType="end"/>
    </w:r>
  </w:p>
  <w:p w14:paraId="74B26F0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9703">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15</w:t>
    </w:r>
    <w:r>
      <w:fldChar w:fldCharType="end"/>
    </w:r>
  </w:p>
  <w:p w14:paraId="57FF304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51ED5"/>
    <w:multiLevelType w:val="singleLevel"/>
    <w:tmpl w:val="96B51E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36D5D19"/>
    <w:rsid w:val="03984524"/>
    <w:rsid w:val="039C4689"/>
    <w:rsid w:val="03C377B9"/>
    <w:rsid w:val="04C3537C"/>
    <w:rsid w:val="05E516F1"/>
    <w:rsid w:val="079004AC"/>
    <w:rsid w:val="0BA148CA"/>
    <w:rsid w:val="0C1165C4"/>
    <w:rsid w:val="0D634D86"/>
    <w:rsid w:val="0D6D544B"/>
    <w:rsid w:val="0DD136FE"/>
    <w:rsid w:val="0F8E2C57"/>
    <w:rsid w:val="1059665E"/>
    <w:rsid w:val="10AC13BA"/>
    <w:rsid w:val="12B965A6"/>
    <w:rsid w:val="13AC123A"/>
    <w:rsid w:val="145A6C1B"/>
    <w:rsid w:val="14B73493"/>
    <w:rsid w:val="167A2FF9"/>
    <w:rsid w:val="18581C69"/>
    <w:rsid w:val="19306E8B"/>
    <w:rsid w:val="1A372D56"/>
    <w:rsid w:val="1A79617E"/>
    <w:rsid w:val="1AEC0734"/>
    <w:rsid w:val="1BBC3C42"/>
    <w:rsid w:val="1C6D605C"/>
    <w:rsid w:val="1DEF20B0"/>
    <w:rsid w:val="214243FA"/>
    <w:rsid w:val="21AD613C"/>
    <w:rsid w:val="21B91FE3"/>
    <w:rsid w:val="22467189"/>
    <w:rsid w:val="24812065"/>
    <w:rsid w:val="252C2672"/>
    <w:rsid w:val="254B28B1"/>
    <w:rsid w:val="257A14F5"/>
    <w:rsid w:val="25EA2E11"/>
    <w:rsid w:val="27196C26"/>
    <w:rsid w:val="29EF086F"/>
    <w:rsid w:val="29FE4342"/>
    <w:rsid w:val="2CDE053B"/>
    <w:rsid w:val="2D25135C"/>
    <w:rsid w:val="2EFFE297"/>
    <w:rsid w:val="2F73744C"/>
    <w:rsid w:val="301437CA"/>
    <w:rsid w:val="326B238A"/>
    <w:rsid w:val="32EC2B03"/>
    <w:rsid w:val="349D1F0A"/>
    <w:rsid w:val="34DD0473"/>
    <w:rsid w:val="35EC2A36"/>
    <w:rsid w:val="363B0400"/>
    <w:rsid w:val="38800770"/>
    <w:rsid w:val="3BAA0244"/>
    <w:rsid w:val="3BED1F83"/>
    <w:rsid w:val="3C684897"/>
    <w:rsid w:val="3DC52364"/>
    <w:rsid w:val="3DD3167A"/>
    <w:rsid w:val="3E810EE1"/>
    <w:rsid w:val="41EF7DE8"/>
    <w:rsid w:val="42D17D0C"/>
    <w:rsid w:val="433E495C"/>
    <w:rsid w:val="44635CDA"/>
    <w:rsid w:val="45253639"/>
    <w:rsid w:val="489F2FD7"/>
    <w:rsid w:val="49132400"/>
    <w:rsid w:val="4ABC4A39"/>
    <w:rsid w:val="4AC27CB3"/>
    <w:rsid w:val="4BCC5946"/>
    <w:rsid w:val="4BF72BEF"/>
    <w:rsid w:val="4F67621A"/>
    <w:rsid w:val="4FA90297"/>
    <w:rsid w:val="4FC41A43"/>
    <w:rsid w:val="5065602E"/>
    <w:rsid w:val="50FC6397"/>
    <w:rsid w:val="51DB3C59"/>
    <w:rsid w:val="528B68D2"/>
    <w:rsid w:val="549916EC"/>
    <w:rsid w:val="550C0952"/>
    <w:rsid w:val="55762E42"/>
    <w:rsid w:val="57872067"/>
    <w:rsid w:val="57A7B272"/>
    <w:rsid w:val="57CB0254"/>
    <w:rsid w:val="58470068"/>
    <w:rsid w:val="58747CAC"/>
    <w:rsid w:val="59F12C84"/>
    <w:rsid w:val="5A1720F9"/>
    <w:rsid w:val="5A4F6535"/>
    <w:rsid w:val="5B9C37C2"/>
    <w:rsid w:val="5BA7C654"/>
    <w:rsid w:val="5FE55650"/>
    <w:rsid w:val="60A54109"/>
    <w:rsid w:val="61D01CDF"/>
    <w:rsid w:val="64C0607C"/>
    <w:rsid w:val="65756C86"/>
    <w:rsid w:val="66986F5D"/>
    <w:rsid w:val="674D385B"/>
    <w:rsid w:val="676F09E1"/>
    <w:rsid w:val="6B4F3947"/>
    <w:rsid w:val="6B7F2A4E"/>
    <w:rsid w:val="6E070C01"/>
    <w:rsid w:val="6EE86099"/>
    <w:rsid w:val="711C66C3"/>
    <w:rsid w:val="71793A80"/>
    <w:rsid w:val="7357290B"/>
    <w:rsid w:val="75A14F02"/>
    <w:rsid w:val="763F0958"/>
    <w:rsid w:val="792D2AE3"/>
    <w:rsid w:val="798524E4"/>
    <w:rsid w:val="7A7F1C49"/>
    <w:rsid w:val="7B5B7AE6"/>
    <w:rsid w:val="7B69258C"/>
    <w:rsid w:val="7B7B6628"/>
    <w:rsid w:val="7BA7071E"/>
    <w:rsid w:val="7BA97403"/>
    <w:rsid w:val="7BDF6DA8"/>
    <w:rsid w:val="7C7EDC1A"/>
    <w:rsid w:val="7C965F0B"/>
    <w:rsid w:val="7CCED98D"/>
    <w:rsid w:val="7D08410F"/>
    <w:rsid w:val="7D69042C"/>
    <w:rsid w:val="7DB96DED"/>
    <w:rsid w:val="7DD3AD81"/>
    <w:rsid w:val="7EFC5E8F"/>
    <w:rsid w:val="7F7FE70F"/>
    <w:rsid w:val="7F8A5401"/>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7EDD55E"/>
    <w:rsid w:val="EBE88FA4"/>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caption"/>
    <w:basedOn w:val="1"/>
    <w:next w:val="1"/>
    <w:unhideWhenUsed/>
    <w:qFormat/>
    <w:uiPriority w:val="0"/>
    <w:rPr>
      <w:rFonts w:ascii="Arial" w:hAnsi="Arial" w:eastAsia="黑体"/>
      <w:sz w:val="20"/>
    </w:r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footnote text"/>
    <w:qFormat/>
    <w:uiPriority w:val="99"/>
    <w:pPr>
      <w:widowControl w:val="0"/>
      <w:suppressAutoHyphens/>
      <w:bidi w:val="0"/>
      <w:snapToGrid w:val="0"/>
      <w:spacing w:after="120"/>
      <w:jc w:val="left"/>
    </w:pPr>
    <w:rPr>
      <w:rFonts w:ascii="Arial" w:hAnsi="Arial" w:eastAsia="宋体" w:cs="Times New Roman"/>
      <w:color w:val="auto"/>
      <w:kern w:val="2"/>
      <w:sz w:val="18"/>
      <w:szCs w:val="20"/>
      <w:lang w:val="en-US" w:eastAsia="zh-CN" w:bidi="ar-SA"/>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qFormat/>
    <w:uiPriority w:val="0"/>
  </w:style>
  <w:style w:type="character" w:customStyle="1" w:styleId="17">
    <w:name w:val="页脚 Char"/>
    <w:link w:val="8"/>
    <w:qFormat/>
    <w:uiPriority w:val="0"/>
    <w:rPr>
      <w:rFonts w:eastAsia="宋体"/>
      <w:kern w:val="2"/>
      <w:sz w:val="18"/>
      <w:szCs w:val="18"/>
      <w:lang w:val="en-US" w:eastAsia="zh-CN" w:bidi="ar-SA"/>
    </w:rPr>
  </w:style>
  <w:style w:type="character" w:customStyle="1" w:styleId="18">
    <w:name w:val="页眉 Char"/>
    <w:link w:val="9"/>
    <w:qFormat/>
    <w:uiPriority w:val="0"/>
    <w:rPr>
      <w:rFonts w:ascii="Calibri" w:hAnsi="Calibri" w:eastAsia="宋体"/>
      <w:kern w:val="2"/>
      <w:sz w:val="18"/>
      <w:szCs w:val="18"/>
      <w:lang w:val="en-US" w:eastAsia="zh-CN" w:bidi="ar-SA"/>
    </w:rPr>
  </w:style>
  <w:style w:type="paragraph" w:customStyle="1" w:styleId="19">
    <w:name w:val="Char Char Char Char Char Char Char"/>
    <w:basedOn w:val="1"/>
    <w:qFormat/>
    <w:uiPriority w:val="0"/>
    <w:rPr>
      <w:rFonts w:ascii="Tahoma" w:hAnsi="Tahoma"/>
      <w:sz w:val="24"/>
      <w:szCs w:val="20"/>
    </w:rPr>
  </w:style>
  <w:style w:type="paragraph" w:customStyle="1" w:styleId="20">
    <w:name w:val="Char1 Char Char Char"/>
    <w:basedOn w:val="1"/>
    <w:qFormat/>
    <w:uiPriority w:val="0"/>
    <w:pPr>
      <w:widowControl/>
      <w:spacing w:after="160" w:line="240" w:lineRule="exact"/>
      <w:jc w:val="left"/>
    </w:pPr>
    <w:rPr>
      <w:szCs w:val="20"/>
    </w:rPr>
  </w:style>
  <w:style w:type="paragraph" w:customStyle="1" w:styleId="21">
    <w:name w:val="Char"/>
    <w:basedOn w:val="1"/>
    <w:qFormat/>
    <w:uiPriority w:val="0"/>
    <w:rPr>
      <w:rFonts w:ascii="Tahoma" w:hAnsi="Tahoma"/>
      <w:sz w:val="24"/>
      <w:szCs w:val="20"/>
    </w:rPr>
  </w:style>
  <w:style w:type="paragraph" w:customStyle="1" w:styleId="22">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3432</Words>
  <Characters>5781</Characters>
  <Lines>44</Lines>
  <Paragraphs>12</Paragraphs>
  <TotalTime>25</TotalTime>
  <ScaleCrop>false</ScaleCrop>
  <LinksUpToDate>false</LinksUpToDate>
  <CharactersWithSpaces>5802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2017-07-12T07:16:00Z</dcterms:created>
  <dc:creator>常程</dc:creator>
  <cp:lastModifiedBy>shenjiju</cp:lastModifiedBy>
  <cp:lastPrinted>2020-08-08T03:39:00Z</cp:lastPrinted>
  <dcterms:modified xsi:type="dcterms:W3CDTF">2025-09-28T10:54:32Z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