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B2442A">
      <w:pPr>
        <w:keepNext w:val="0"/>
        <w:keepLines w:val="0"/>
        <w:pageBreakBefore w:val="0"/>
        <w:widowControl w:val="0"/>
        <w:kinsoku/>
        <w:wordWrap/>
        <w:overflowPunct/>
        <w:topLinePunct w:val="0"/>
        <w:autoSpaceDE/>
        <w:autoSpaceDN/>
        <w:bidi w:val="0"/>
        <w:spacing w:line="560" w:lineRule="exact"/>
        <w:jc w:val="center"/>
        <w:textAlignment w:val="auto"/>
        <w:outlineLvl w:val="0"/>
        <w:rPr>
          <w:rFonts w:ascii="仿宋_GB2312"/>
          <w:sz w:val="44"/>
          <w:szCs w:val="44"/>
        </w:rPr>
      </w:pPr>
      <w:r>
        <w:rPr>
          <w:rFonts w:hint="eastAsia" w:ascii="方正小标宋简体" w:eastAsia="方正小标宋简体"/>
          <w:sz w:val="44"/>
          <w:szCs w:val="44"/>
        </w:rPr>
        <w:t>通州区</w:t>
      </w:r>
      <w:r>
        <w:rPr>
          <w:rFonts w:hint="eastAsia" w:ascii="方正小标宋简体" w:eastAsia="方正小标宋简体"/>
          <w:sz w:val="44"/>
          <w:szCs w:val="44"/>
          <w:lang w:val="en-US" w:eastAsia="zh-CN"/>
        </w:rPr>
        <w:t>西集镇人民政府</w:t>
      </w:r>
      <w:r>
        <w:rPr>
          <w:rFonts w:hint="eastAsia" w:ascii="方正小标宋简体" w:eastAsia="方正小标宋简体"/>
          <w:sz w:val="44"/>
          <w:szCs w:val="44"/>
        </w:rPr>
        <w:t>整体绩效评价报告</w:t>
      </w:r>
    </w:p>
    <w:p w14:paraId="5DE7FFF8">
      <w:pPr>
        <w:keepNext w:val="0"/>
        <w:keepLines w:val="0"/>
        <w:pageBreakBefore w:val="0"/>
        <w:widowControl w:val="0"/>
        <w:kinsoku/>
        <w:wordWrap/>
        <w:overflowPunct/>
        <w:topLinePunct w:val="0"/>
        <w:autoSpaceDE/>
        <w:autoSpaceDN/>
        <w:bidi w:val="0"/>
        <w:spacing w:line="560" w:lineRule="exact"/>
        <w:jc w:val="center"/>
        <w:textAlignment w:val="auto"/>
        <w:rPr>
          <w:rFonts w:ascii="仿宋_GB2312"/>
          <w:szCs w:val="30"/>
        </w:rPr>
      </w:pPr>
    </w:p>
    <w:p w14:paraId="1B712E86">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ascii="黑体" w:hAnsi="黑体" w:eastAsia="黑体" w:cs="宋体"/>
          <w:kern w:val="0"/>
          <w:sz w:val="32"/>
          <w:szCs w:val="32"/>
        </w:rPr>
      </w:pPr>
      <w:r>
        <w:rPr>
          <w:rFonts w:hint="eastAsia" w:ascii="黑体" w:hAnsi="黑体" w:eastAsia="黑体" w:cs="宋体"/>
          <w:kern w:val="0"/>
          <w:sz w:val="32"/>
          <w:szCs w:val="32"/>
        </w:rPr>
        <w:t>一、部门概况</w:t>
      </w:r>
    </w:p>
    <w:p w14:paraId="14731DD6">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楷体_GB2312" w:eastAsia="楷体_GB2312"/>
          <w:sz w:val="32"/>
          <w:szCs w:val="32"/>
        </w:rPr>
      </w:pPr>
      <w:r>
        <w:rPr>
          <w:rFonts w:hint="eastAsia" w:ascii="楷体_GB2312" w:eastAsia="楷体_GB2312"/>
          <w:sz w:val="32"/>
          <w:szCs w:val="32"/>
        </w:rPr>
        <w:t>（一）机构设置及职责工作任务情况</w:t>
      </w:r>
    </w:p>
    <w:p w14:paraId="24E41D18">
      <w:pPr>
        <w:keepNext w:val="0"/>
        <w:keepLines w:val="0"/>
        <w:pageBreakBefore w:val="0"/>
        <w:widowControl w:val="0"/>
        <w:kinsoku/>
        <w:wordWrap/>
        <w:overflowPunct/>
        <w:topLinePunct w:val="0"/>
        <w:autoSpaceDE/>
        <w:autoSpaceDN/>
        <w:bidi w:val="0"/>
        <w:adjustRightInd/>
        <w:snapToGrid/>
        <w:spacing w:line="560" w:lineRule="exact"/>
        <w:ind w:left="0" w:firstLine="643" w:firstLineChars="200"/>
        <w:textAlignment w:val="auto"/>
        <w:outlineLvl w:val="1"/>
        <w:rPr>
          <w:rFonts w:ascii="仿宋_GB2312" w:hAnsi="仿宋_GB2312" w:eastAsia="仿宋_GB2312" w:cs="仿宋_GB2312"/>
          <w:b/>
          <w:bCs/>
          <w:sz w:val="32"/>
          <w:szCs w:val="22"/>
        </w:rPr>
      </w:pPr>
      <w:r>
        <w:rPr>
          <w:rFonts w:hint="eastAsia" w:ascii="仿宋_GB2312" w:hAnsi="仿宋_GB2312" w:eastAsia="仿宋_GB2312" w:cs="仿宋_GB2312"/>
          <w:b/>
          <w:bCs/>
          <w:sz w:val="32"/>
          <w:szCs w:val="22"/>
        </w:rPr>
        <w:t>1.部门机构设置</w:t>
      </w:r>
    </w:p>
    <w:p w14:paraId="60655568">
      <w:pPr>
        <w:keepNext w:val="0"/>
        <w:keepLines w:val="0"/>
        <w:pageBreakBefore w:val="0"/>
        <w:widowControl w:val="0"/>
        <w:kinsoku/>
        <w:wordWrap/>
        <w:overflowPunct/>
        <w:topLinePunct w:val="0"/>
        <w:autoSpaceDE/>
        <w:autoSpaceDN/>
        <w:bidi w:val="0"/>
        <w:adjustRightInd/>
        <w:snapToGrid/>
        <w:spacing w:line="560" w:lineRule="exact"/>
        <w:ind w:left="0" w:firstLine="660"/>
        <w:textAlignment w:val="auto"/>
        <w:rPr>
          <w:rFonts w:ascii="仿宋_GB2312" w:eastAsia="仿宋_GB2312"/>
          <w:sz w:val="32"/>
          <w:szCs w:val="32"/>
        </w:rPr>
      </w:pPr>
      <w:r>
        <w:rPr>
          <w:rFonts w:hint="eastAsia" w:ascii="仿宋_GB2312" w:eastAsia="仿宋_GB2312"/>
          <w:sz w:val="32"/>
          <w:szCs w:val="32"/>
        </w:rPr>
        <w:t>根据《中共北京市委办公厅 北京市人民政府办公厅关于印发〈北京市通州区机构改革方案)的通知》《关于深化党建引领2“街乡吹哨、部门报到”改革的实施意见》和《中共北京市委村构编制委员会印发(关于本市乡镇机构改革的指导意见》的通知》精神，结合实际。</w:t>
      </w:r>
    </w:p>
    <w:p w14:paraId="6666605F">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eastAsia="仿宋_GB2312"/>
          <w:sz w:val="32"/>
          <w:szCs w:val="32"/>
        </w:rPr>
      </w:pPr>
      <w:r>
        <w:rPr>
          <w:rFonts w:hint="eastAsia" w:ascii="仿宋_GB2312" w:eastAsia="仿宋_GB2312"/>
          <w:sz w:val="32"/>
          <w:szCs w:val="32"/>
        </w:rPr>
        <w:t>西集镇党委、政府综合设置7个内设机构：综合办公室、党群工作办公室（加挂人大工作办公室牌子）、平安建设办公室（加挂司法所、人民武装部牌子）、城乡建设办公室、经济发展办公室（加挂统计所牌子）、农业农村办公室、社区建设和民生保障办公室</w:t>
      </w:r>
    </w:p>
    <w:p w14:paraId="04495DDB">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eastAsia="仿宋_GB2312"/>
          <w:sz w:val="32"/>
          <w:szCs w:val="32"/>
        </w:rPr>
      </w:pPr>
      <w:r>
        <w:rPr>
          <w:rFonts w:hint="eastAsia" w:ascii="仿宋_GB2312" w:eastAsia="仿宋_GB2312"/>
          <w:sz w:val="32"/>
          <w:szCs w:val="32"/>
        </w:rPr>
        <w:t>纪检监察机构按有关规定设置。人大、武装部，总工会、团委、妇联、残联等群团组织按有关规定与党政机构综合设置。</w:t>
      </w:r>
    </w:p>
    <w:p w14:paraId="76E2A4A3">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eastAsia="仿宋_GB2312"/>
          <w:sz w:val="32"/>
          <w:szCs w:val="32"/>
        </w:rPr>
      </w:pPr>
      <w:r>
        <w:rPr>
          <w:rFonts w:hint="eastAsia" w:ascii="仿宋_GB2312" w:eastAsia="仿宋_GB2312"/>
          <w:sz w:val="32"/>
          <w:szCs w:val="32"/>
        </w:rPr>
        <w:t>西集镇党委、政府综合设置1个综合行政执法队：北京市通州区西集镇综合行政执法队。</w:t>
      </w:r>
    </w:p>
    <w:p w14:paraId="3798A5ED">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eastAsia="仿宋_GB2312"/>
          <w:sz w:val="32"/>
          <w:szCs w:val="32"/>
        </w:rPr>
      </w:pPr>
      <w:r>
        <w:rPr>
          <w:rFonts w:hint="eastAsia" w:ascii="仿宋_GB2312" w:eastAsia="仿宋_GB2312"/>
          <w:sz w:val="32"/>
          <w:szCs w:val="32"/>
        </w:rPr>
        <w:t>西集镇党委、政府综合设置5个财政补助事业单位：</w:t>
      </w:r>
    </w:p>
    <w:p w14:paraId="37AAD888">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w:t>
      </w:r>
      <w:r>
        <w:rPr>
          <w:rFonts w:hint="eastAsia" w:ascii="仿宋_GB2312" w:eastAsia="仿宋_GB2312"/>
          <w:sz w:val="32"/>
          <w:szCs w:val="32"/>
        </w:rPr>
        <w:t>设立北京市通州区西集镇便民服务中心（挂北京市通州区西集镇退役军人服务站牌子）</w:t>
      </w:r>
    </w:p>
    <w:p w14:paraId="78976383">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2</w:t>
      </w:r>
      <w:r>
        <w:rPr>
          <w:rFonts w:hint="eastAsia" w:ascii="仿宋_GB2312" w:eastAsia="仿宋_GB2312"/>
          <w:sz w:val="32"/>
          <w:szCs w:val="32"/>
          <w:lang w:eastAsia="zh-CN"/>
        </w:rPr>
        <w:t>）</w:t>
      </w:r>
      <w:r>
        <w:rPr>
          <w:rFonts w:hint="eastAsia" w:ascii="仿宋_GB2312" w:eastAsia="仿宋_GB2312"/>
          <w:sz w:val="32"/>
          <w:szCs w:val="32"/>
        </w:rPr>
        <w:t>设立北京市通州区西集镇市民活动中心（挂北京市通州区西集镇党群活动中心牌子）</w:t>
      </w:r>
    </w:p>
    <w:p w14:paraId="37D5DA0F">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3</w:t>
      </w:r>
      <w:r>
        <w:rPr>
          <w:rFonts w:hint="eastAsia" w:ascii="仿宋_GB2312" w:eastAsia="仿宋_GB2312"/>
          <w:sz w:val="32"/>
          <w:szCs w:val="32"/>
          <w:lang w:eastAsia="zh-CN"/>
        </w:rPr>
        <w:t>）</w:t>
      </w:r>
      <w:r>
        <w:rPr>
          <w:rFonts w:hint="eastAsia" w:ascii="仿宋_GB2312" w:eastAsia="仿宋_GB2312"/>
          <w:sz w:val="32"/>
          <w:szCs w:val="32"/>
        </w:rPr>
        <w:t>设立北京市通州区西集镇市民诉求处置中心（挂北京市通州区西集镇综治中心牌子）</w:t>
      </w:r>
    </w:p>
    <w:p w14:paraId="000E9CB9">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4</w:t>
      </w:r>
      <w:r>
        <w:rPr>
          <w:rFonts w:hint="eastAsia" w:ascii="仿宋_GB2312" w:eastAsia="仿宋_GB2312"/>
          <w:sz w:val="32"/>
          <w:szCs w:val="32"/>
          <w:lang w:eastAsia="zh-CN"/>
        </w:rPr>
        <w:t>）</w:t>
      </w:r>
      <w:r>
        <w:rPr>
          <w:rFonts w:hint="eastAsia" w:ascii="仿宋_GB2312" w:eastAsia="仿宋_GB2312"/>
          <w:sz w:val="32"/>
          <w:szCs w:val="32"/>
        </w:rPr>
        <w:t>设立北京市通州区西集镇农业综合服务中心</w:t>
      </w:r>
    </w:p>
    <w:p w14:paraId="658F9096">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5</w:t>
      </w:r>
      <w:r>
        <w:rPr>
          <w:rFonts w:hint="eastAsia" w:ascii="仿宋_GB2312" w:eastAsia="仿宋_GB2312"/>
          <w:sz w:val="32"/>
          <w:szCs w:val="32"/>
          <w:lang w:eastAsia="zh-CN"/>
        </w:rPr>
        <w:t>）</w:t>
      </w:r>
      <w:r>
        <w:rPr>
          <w:rFonts w:hint="eastAsia" w:ascii="仿宋_GB2312" w:eastAsia="仿宋_GB2312"/>
          <w:sz w:val="32"/>
          <w:szCs w:val="32"/>
        </w:rPr>
        <w:t>设立北京市通州区西集镇生态环境事务中心</w:t>
      </w:r>
    </w:p>
    <w:p w14:paraId="6441359E">
      <w:pPr>
        <w:keepNext w:val="0"/>
        <w:keepLines w:val="0"/>
        <w:pageBreakBefore w:val="0"/>
        <w:widowControl w:val="0"/>
        <w:kinsoku/>
        <w:wordWrap/>
        <w:overflowPunct/>
        <w:topLinePunct w:val="0"/>
        <w:autoSpaceDE/>
        <w:autoSpaceDN/>
        <w:bidi w:val="0"/>
        <w:adjustRightInd/>
        <w:snapToGrid/>
        <w:spacing w:line="560" w:lineRule="exact"/>
        <w:ind w:left="0" w:firstLine="643" w:firstLineChars="200"/>
        <w:textAlignment w:val="auto"/>
        <w:rPr>
          <w:rFonts w:ascii="仿宋_GB2312" w:hAnsi="仿宋" w:eastAsia="仿宋_GB2312"/>
          <w:b/>
          <w:bCs/>
          <w:sz w:val="32"/>
          <w:szCs w:val="32"/>
        </w:rPr>
      </w:pPr>
      <w:r>
        <w:rPr>
          <w:rFonts w:hint="eastAsia" w:ascii="仿宋_GB2312" w:hAnsi="仿宋" w:eastAsia="仿宋_GB2312"/>
          <w:b/>
          <w:bCs/>
          <w:sz w:val="32"/>
          <w:szCs w:val="32"/>
        </w:rPr>
        <w:t>2.</w:t>
      </w:r>
      <w:r>
        <w:rPr>
          <w:rFonts w:ascii="仿宋_GB2312" w:hAnsi="仿宋" w:eastAsia="仿宋_GB2312"/>
          <w:b/>
          <w:bCs/>
          <w:sz w:val="32"/>
          <w:szCs w:val="32"/>
        </w:rPr>
        <w:t>职责</w:t>
      </w:r>
      <w:r>
        <w:rPr>
          <w:rFonts w:hint="eastAsia" w:ascii="仿宋_GB2312" w:hAnsi="仿宋" w:eastAsia="仿宋_GB2312"/>
          <w:b/>
          <w:bCs/>
          <w:sz w:val="32"/>
          <w:szCs w:val="32"/>
        </w:rPr>
        <w:t>工作任务情况</w:t>
      </w:r>
    </w:p>
    <w:p w14:paraId="5F3E6469">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lang w:eastAsia="zh-CN"/>
        </w:rPr>
        <w:t>）</w:t>
      </w:r>
      <w:r>
        <w:rPr>
          <w:rFonts w:hint="eastAsia" w:ascii="仿宋_GB2312" w:eastAsia="仿宋_GB2312"/>
          <w:sz w:val="32"/>
          <w:szCs w:val="32"/>
        </w:rPr>
        <w:t>贯彻落实国家和本市关于财政、财务、会计管理方面的法律、法规、规章和政策；编制并组织实施本区中长期财政计划；参与拟订本区重大经济决策</w:t>
      </w:r>
      <w:r>
        <w:rPr>
          <w:rFonts w:hint="eastAsia" w:ascii="仿宋_GB2312" w:eastAsia="仿宋_GB2312"/>
          <w:sz w:val="32"/>
          <w:szCs w:val="32"/>
          <w:lang w:eastAsia="zh-CN"/>
        </w:rPr>
        <w:t>、</w:t>
      </w:r>
      <w:r>
        <w:rPr>
          <w:rFonts w:hint="eastAsia" w:ascii="仿宋_GB2312" w:eastAsia="仿宋_GB2312"/>
          <w:sz w:val="32"/>
          <w:szCs w:val="32"/>
        </w:rPr>
        <w:t>措施</w:t>
      </w:r>
      <w:r>
        <w:rPr>
          <w:rFonts w:hint="eastAsia" w:ascii="仿宋_GB2312" w:eastAsia="仿宋_GB2312"/>
          <w:sz w:val="32"/>
          <w:szCs w:val="32"/>
          <w:lang w:eastAsia="zh-CN"/>
        </w:rPr>
        <w:t>和</w:t>
      </w:r>
      <w:r>
        <w:rPr>
          <w:rFonts w:hint="eastAsia" w:ascii="仿宋_GB2312" w:eastAsia="仿宋_GB2312"/>
          <w:sz w:val="32"/>
          <w:szCs w:val="32"/>
        </w:rPr>
        <w:t>办法，研究提出运用财税政策对经济运行实施调控和综合平衡本区财力的建议；执行市与区县、国家与企业的分配政策；拟订完善鼓励公益事业发展的财税相关措施、办法。</w:t>
      </w:r>
    </w:p>
    <w:p w14:paraId="5C136A62">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2</w:t>
      </w:r>
      <w:r>
        <w:rPr>
          <w:rFonts w:hint="eastAsia" w:ascii="仿宋_GB2312" w:eastAsia="仿宋_GB2312"/>
          <w:sz w:val="32"/>
          <w:szCs w:val="32"/>
          <w:lang w:eastAsia="zh-CN"/>
        </w:rPr>
        <w:t>）</w:t>
      </w:r>
      <w:r>
        <w:rPr>
          <w:rFonts w:hint="eastAsia" w:ascii="仿宋_GB2312" w:eastAsia="仿宋_GB2312"/>
          <w:sz w:val="32"/>
          <w:szCs w:val="32"/>
        </w:rPr>
        <w:t>承担本区各项财政收支管理的责任，编制年度预决算草案并组织执行；受区政府委托，向区人民代表大会报告预算及其执行情况，向区人大常委会报告决算</w:t>
      </w:r>
      <w:r>
        <w:rPr>
          <w:rFonts w:hint="eastAsia" w:ascii="仿宋_GB2312" w:eastAsia="仿宋_GB2312"/>
          <w:sz w:val="32"/>
          <w:szCs w:val="32"/>
          <w:lang w:eastAsia="zh-CN"/>
        </w:rPr>
        <w:t>情况</w:t>
      </w:r>
      <w:r>
        <w:rPr>
          <w:rFonts w:hint="eastAsia" w:ascii="仿宋_GB2312" w:eastAsia="仿宋_GB2312"/>
          <w:sz w:val="32"/>
          <w:szCs w:val="32"/>
        </w:rPr>
        <w:t>；组织制定行政机关、事业单位经费开支标准、定额；负责审批部门和单位的年度预决算，完善转移支付制度；研究拟订区与乡镇财政管理体制。</w:t>
      </w:r>
    </w:p>
    <w:p w14:paraId="77DD964C">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3</w:t>
      </w:r>
      <w:r>
        <w:rPr>
          <w:rFonts w:hint="eastAsia" w:ascii="仿宋_GB2312" w:eastAsia="仿宋_GB2312"/>
          <w:sz w:val="32"/>
          <w:szCs w:val="32"/>
          <w:lang w:eastAsia="zh-CN"/>
        </w:rPr>
        <w:t>）</w:t>
      </w:r>
      <w:r>
        <w:rPr>
          <w:rFonts w:hint="eastAsia" w:ascii="仿宋_GB2312" w:eastAsia="仿宋_GB2312"/>
          <w:sz w:val="32"/>
          <w:szCs w:val="32"/>
        </w:rPr>
        <w:t>负责本区政府非税收入</w:t>
      </w:r>
      <w:r>
        <w:rPr>
          <w:rFonts w:hint="eastAsia" w:ascii="仿宋_GB2312" w:eastAsia="仿宋_GB2312"/>
          <w:sz w:val="32"/>
          <w:szCs w:val="32"/>
          <w:lang w:eastAsia="zh-CN"/>
        </w:rPr>
        <w:t>、</w:t>
      </w:r>
      <w:r>
        <w:rPr>
          <w:rFonts w:hint="eastAsia" w:ascii="仿宋_GB2312" w:eastAsia="仿宋_GB2312"/>
          <w:sz w:val="32"/>
          <w:szCs w:val="32"/>
        </w:rPr>
        <w:t>政府性基金</w:t>
      </w:r>
      <w:r>
        <w:rPr>
          <w:rFonts w:hint="eastAsia" w:ascii="仿宋_GB2312" w:eastAsia="仿宋_GB2312"/>
          <w:sz w:val="32"/>
          <w:szCs w:val="32"/>
          <w:lang w:eastAsia="zh-CN"/>
        </w:rPr>
        <w:t>、行</w:t>
      </w:r>
      <w:r>
        <w:rPr>
          <w:rFonts w:hint="eastAsia" w:ascii="仿宋_GB2312" w:eastAsia="仿宋_GB2312"/>
          <w:sz w:val="32"/>
          <w:szCs w:val="32"/>
        </w:rPr>
        <w:t>政事业性收费</w:t>
      </w:r>
      <w:r>
        <w:rPr>
          <w:rFonts w:hint="eastAsia" w:ascii="仿宋_GB2312" w:eastAsia="仿宋_GB2312"/>
          <w:sz w:val="32"/>
          <w:szCs w:val="32"/>
          <w:lang w:eastAsia="zh-CN"/>
        </w:rPr>
        <w:t>、</w:t>
      </w:r>
      <w:r>
        <w:rPr>
          <w:rFonts w:hint="eastAsia" w:ascii="仿宋_GB2312" w:eastAsia="仿宋_GB2312"/>
          <w:sz w:val="32"/>
          <w:szCs w:val="32"/>
        </w:rPr>
        <w:t>财政票据</w:t>
      </w:r>
      <w:r>
        <w:rPr>
          <w:rFonts w:hint="eastAsia" w:ascii="仿宋_GB2312" w:eastAsia="仿宋_GB2312"/>
          <w:sz w:val="32"/>
          <w:szCs w:val="32"/>
          <w:lang w:eastAsia="zh-CN"/>
        </w:rPr>
        <w:t>、</w:t>
      </w:r>
      <w:r>
        <w:rPr>
          <w:rFonts w:hint="eastAsia" w:ascii="仿宋_GB2312" w:eastAsia="仿宋_GB2312"/>
          <w:sz w:val="32"/>
          <w:szCs w:val="32"/>
        </w:rPr>
        <w:t>彩票资金</w:t>
      </w:r>
      <w:r>
        <w:rPr>
          <w:rFonts w:hint="eastAsia" w:ascii="仿宋_GB2312" w:eastAsia="仿宋_GB2312"/>
          <w:sz w:val="32"/>
          <w:szCs w:val="32"/>
          <w:lang w:eastAsia="zh-CN"/>
        </w:rPr>
        <w:t>等</w:t>
      </w:r>
      <w:r>
        <w:rPr>
          <w:rFonts w:hint="eastAsia" w:ascii="仿宋_GB2312" w:eastAsia="仿宋_GB2312"/>
          <w:sz w:val="32"/>
          <w:szCs w:val="32"/>
        </w:rPr>
        <w:t>管理工作。</w:t>
      </w:r>
    </w:p>
    <w:p w14:paraId="5FD28A70">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4</w:t>
      </w:r>
      <w:r>
        <w:rPr>
          <w:rFonts w:hint="eastAsia" w:ascii="仿宋_GB2312" w:eastAsia="仿宋_GB2312"/>
          <w:sz w:val="32"/>
          <w:szCs w:val="32"/>
          <w:lang w:eastAsia="zh-CN"/>
        </w:rPr>
        <w:t>）</w:t>
      </w:r>
      <w:r>
        <w:rPr>
          <w:rFonts w:hint="eastAsia" w:ascii="仿宋_GB2312" w:eastAsia="仿宋_GB2312"/>
          <w:sz w:val="32"/>
          <w:szCs w:val="32"/>
        </w:rPr>
        <w:t>组织制定本区国库管理制度、国库集中收付制度，指导和监督本区国库业务，负责本区国库现金、各项财政收入、预算外资金和财政专户管理有关工作。</w:t>
      </w:r>
    </w:p>
    <w:p w14:paraId="082274F2">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5</w:t>
      </w:r>
      <w:r>
        <w:rPr>
          <w:rFonts w:hint="eastAsia" w:ascii="仿宋_GB2312" w:eastAsia="仿宋_GB2312"/>
          <w:sz w:val="32"/>
          <w:szCs w:val="32"/>
          <w:lang w:eastAsia="zh-CN"/>
        </w:rPr>
        <w:t>）</w:t>
      </w:r>
      <w:r>
        <w:rPr>
          <w:rFonts w:hint="eastAsia" w:ascii="仿宋_GB2312" w:eastAsia="仿宋_GB2312"/>
          <w:sz w:val="32"/>
          <w:szCs w:val="32"/>
        </w:rPr>
        <w:t>拟订本区政府采购的有关规定并进行监督管理；负责本区党政机关、财政拨款事业单位汽车定编工作。</w:t>
      </w:r>
    </w:p>
    <w:p w14:paraId="489C72D3">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6</w:t>
      </w:r>
      <w:r>
        <w:rPr>
          <w:rFonts w:hint="eastAsia" w:ascii="仿宋_GB2312" w:eastAsia="仿宋_GB2312"/>
          <w:sz w:val="32"/>
          <w:szCs w:val="32"/>
          <w:lang w:eastAsia="zh-CN"/>
        </w:rPr>
        <w:t>）</w:t>
      </w:r>
      <w:r>
        <w:rPr>
          <w:rFonts w:hint="eastAsia" w:ascii="仿宋_GB2312" w:eastAsia="仿宋_GB2312"/>
          <w:sz w:val="32"/>
          <w:szCs w:val="32"/>
        </w:rPr>
        <w:t>负责承办和监督本区财政的经济发展支出、政府性投资项目的财政拨款，参与拟订建设投资的有关制度、办法，负责落实基本建设财务管理制度；负责有关政策性补贴和专项储备资金财政管理工作；负责农业综合开发管理工作；承担财政投资评审管理工作。</w:t>
      </w:r>
    </w:p>
    <w:p w14:paraId="457625C2">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7</w:t>
      </w:r>
      <w:r>
        <w:rPr>
          <w:rFonts w:hint="eastAsia" w:ascii="仿宋_GB2312" w:eastAsia="仿宋_GB2312"/>
          <w:sz w:val="32"/>
          <w:szCs w:val="32"/>
          <w:lang w:eastAsia="zh-CN"/>
        </w:rPr>
        <w:t>）</w:t>
      </w:r>
      <w:r>
        <w:rPr>
          <w:rFonts w:hint="eastAsia" w:ascii="仿宋_GB2312" w:eastAsia="仿宋_GB2312"/>
          <w:sz w:val="32"/>
          <w:szCs w:val="32"/>
        </w:rPr>
        <w:t>会同有关部门管理本区财政社会保障</w:t>
      </w:r>
      <w:r>
        <w:rPr>
          <w:rFonts w:hint="eastAsia" w:ascii="仿宋_GB2312" w:eastAsia="仿宋_GB2312"/>
          <w:sz w:val="32"/>
          <w:szCs w:val="32"/>
          <w:lang w:eastAsia="zh-CN"/>
        </w:rPr>
        <w:t>、</w:t>
      </w:r>
      <w:r>
        <w:rPr>
          <w:rFonts w:hint="eastAsia" w:ascii="仿宋_GB2312" w:eastAsia="仿宋_GB2312"/>
          <w:sz w:val="32"/>
          <w:szCs w:val="32"/>
        </w:rPr>
        <w:t>就业及医疗卫生支出，贯彻执行社会保障资金的财务管理制度，编制本区社会保障预决算草案，组织实施对社会保障资金使用的财政监督。</w:t>
      </w:r>
    </w:p>
    <w:p w14:paraId="706B5F10">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8</w:t>
      </w:r>
      <w:r>
        <w:rPr>
          <w:rFonts w:hint="eastAsia" w:ascii="仿宋_GB2312" w:eastAsia="仿宋_GB2312"/>
          <w:sz w:val="32"/>
          <w:szCs w:val="32"/>
          <w:lang w:eastAsia="zh-CN"/>
        </w:rPr>
        <w:t>）</w:t>
      </w:r>
      <w:r>
        <w:rPr>
          <w:rFonts w:hint="eastAsia" w:ascii="仿宋_GB2312" w:eastAsia="仿宋_GB2312"/>
          <w:sz w:val="32"/>
          <w:szCs w:val="32"/>
        </w:rPr>
        <w:t>负责管理本区的会计工作，监督和规范会计行为，执行国家统一的会计制度。</w:t>
      </w:r>
    </w:p>
    <w:p w14:paraId="790E445A">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9</w:t>
      </w:r>
      <w:r>
        <w:rPr>
          <w:rFonts w:hint="eastAsia" w:ascii="仿宋_GB2312" w:eastAsia="仿宋_GB2312"/>
          <w:sz w:val="32"/>
          <w:szCs w:val="32"/>
          <w:lang w:eastAsia="zh-CN"/>
        </w:rPr>
        <w:t>）</w:t>
      </w:r>
      <w:r>
        <w:rPr>
          <w:rFonts w:hint="eastAsia" w:ascii="仿宋_GB2312" w:eastAsia="仿宋_GB2312"/>
          <w:sz w:val="32"/>
          <w:szCs w:val="32"/>
        </w:rPr>
        <w:t>负责制定本区行政事业单位国有资产管理制度和办法，按照规定管理本区行政事业单位国有资产，制定全区统一的开支标准和支出管理办法。</w:t>
      </w:r>
    </w:p>
    <w:p w14:paraId="36538C0F">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10</w:t>
      </w:r>
      <w:r>
        <w:rPr>
          <w:rFonts w:hint="eastAsia" w:ascii="仿宋_GB2312" w:eastAsia="仿宋_GB2312"/>
          <w:sz w:val="32"/>
          <w:szCs w:val="32"/>
          <w:lang w:eastAsia="zh-CN"/>
        </w:rPr>
        <w:t>）</w:t>
      </w:r>
      <w:r>
        <w:rPr>
          <w:rFonts w:hint="eastAsia" w:ascii="仿宋_GB2312" w:eastAsia="仿宋_GB2312"/>
          <w:sz w:val="32"/>
          <w:szCs w:val="32"/>
        </w:rPr>
        <w:t>依法负责本区国有资本经营预算相关工作，收取区本级企业国有资本收益，组织实施企业财务制度，参与拟订企业国有资产管理相关制度，负责资产评估的有关管理工作。</w:t>
      </w:r>
    </w:p>
    <w:p w14:paraId="396077BE">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11</w:t>
      </w:r>
      <w:r>
        <w:rPr>
          <w:rFonts w:hint="eastAsia" w:ascii="仿宋_GB2312" w:eastAsia="仿宋_GB2312"/>
          <w:sz w:val="32"/>
          <w:szCs w:val="32"/>
          <w:lang w:eastAsia="zh-CN"/>
        </w:rPr>
        <w:t>）</w:t>
      </w:r>
      <w:r>
        <w:rPr>
          <w:rFonts w:hint="eastAsia" w:ascii="仿宋_GB2312" w:eastAsia="仿宋_GB2312"/>
          <w:sz w:val="32"/>
          <w:szCs w:val="32"/>
        </w:rPr>
        <w:t>研究建立本区财政支出绩效评价制度和评价体系；监督检查财税法律、法规政策的执行情况；反映财政收支管理中的重大问题；研究提出加强财政管理的政策性建议。</w:t>
      </w:r>
    </w:p>
    <w:p w14:paraId="6F64EEA1">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12</w:t>
      </w:r>
      <w:r>
        <w:rPr>
          <w:rFonts w:hint="eastAsia" w:ascii="仿宋_GB2312" w:eastAsia="仿宋_GB2312"/>
          <w:sz w:val="32"/>
          <w:szCs w:val="32"/>
          <w:lang w:eastAsia="zh-CN"/>
        </w:rPr>
        <w:t>）</w:t>
      </w:r>
      <w:r>
        <w:rPr>
          <w:rFonts w:hint="eastAsia" w:ascii="仿宋_GB2312" w:eastAsia="仿宋_GB2312"/>
          <w:sz w:val="32"/>
          <w:szCs w:val="32"/>
        </w:rPr>
        <w:t>负责管理外国政府和国际金融组织对本区的贷款业务；贯彻执行政府国内债务管理的制度和政策；参与制定政府性债务管理办法；参与拟定政府防范债务风险的措施。</w:t>
      </w:r>
    </w:p>
    <w:p w14:paraId="42BDD875">
      <w:pPr>
        <w:keepNext w:val="0"/>
        <w:keepLines w:val="0"/>
        <w:pageBreakBefore w:val="0"/>
        <w:widowControl w:val="0"/>
        <w:kinsoku/>
        <w:wordWrap/>
        <w:overflowPunct/>
        <w:topLinePunct w:val="0"/>
        <w:autoSpaceDE/>
        <w:autoSpaceDN/>
        <w:bidi w:val="0"/>
        <w:adjustRightInd/>
        <w:snapToGrid/>
        <w:spacing w:line="560" w:lineRule="exact"/>
        <w:ind w:left="0" w:firstLine="713" w:firstLineChars="223"/>
        <w:textAlignment w:val="auto"/>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13</w:t>
      </w:r>
      <w:r>
        <w:rPr>
          <w:rFonts w:hint="eastAsia" w:ascii="仿宋_GB2312" w:eastAsia="仿宋_GB2312"/>
          <w:sz w:val="32"/>
          <w:szCs w:val="32"/>
          <w:lang w:eastAsia="zh-CN"/>
        </w:rPr>
        <w:t>）</w:t>
      </w:r>
      <w:r>
        <w:rPr>
          <w:rFonts w:hint="eastAsia" w:ascii="仿宋_GB2312" w:eastAsia="仿宋_GB2312"/>
          <w:sz w:val="32"/>
          <w:szCs w:val="32"/>
        </w:rPr>
        <w:t>承办区政府交办的其他事项。</w:t>
      </w:r>
    </w:p>
    <w:p w14:paraId="3BBEBEE7">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eastAsia="仿宋_GB2312"/>
          <w:color w:val="0000FF"/>
          <w:sz w:val="32"/>
          <w:szCs w:val="32"/>
        </w:rPr>
      </w:pPr>
      <w:r>
        <w:rPr>
          <w:rFonts w:hint="eastAsia" w:ascii="楷体_GB2312" w:eastAsia="楷体_GB2312"/>
          <w:sz w:val="32"/>
          <w:szCs w:val="32"/>
        </w:rPr>
        <w:t>（二）部门整体绩效目标设立情况</w:t>
      </w:r>
    </w:p>
    <w:p w14:paraId="010DEF63">
      <w:pPr>
        <w:keepNext w:val="0"/>
        <w:keepLines w:val="0"/>
        <w:pageBreakBefore w:val="0"/>
        <w:widowControl w:val="0"/>
        <w:kinsoku/>
        <w:wordWrap/>
        <w:overflowPunct/>
        <w:topLinePunct w:val="0"/>
        <w:autoSpaceDE/>
        <w:autoSpaceDN/>
        <w:bidi w:val="0"/>
        <w:adjustRightInd/>
        <w:snapToGrid/>
        <w:spacing w:line="560" w:lineRule="exact"/>
        <w:ind w:left="0" w:firstLine="713" w:firstLineChars="223"/>
        <w:textAlignment w:val="auto"/>
        <w:rPr>
          <w:rFonts w:hint="eastAsia" w:ascii="仿宋_GB2312" w:eastAsia="仿宋_GB2312"/>
          <w:color w:val="auto"/>
          <w:sz w:val="32"/>
          <w:szCs w:val="32"/>
        </w:rPr>
      </w:pPr>
      <w:r>
        <w:rPr>
          <w:rFonts w:hint="eastAsia" w:ascii="仿宋_GB2312" w:eastAsia="仿宋_GB2312"/>
          <w:color w:val="auto"/>
          <w:sz w:val="32"/>
          <w:szCs w:val="32"/>
        </w:rPr>
        <w:t>根据《北京市通州区西集镇机构改革方案》（京通办字[2020]25号）确定的机构设置及主要职责，并结合局内中长期规划、年度工作计划、政策要求以及年度主要工作任务设立，反映区财政局使用部门预算资金在年度履职中预期达到的总体产出和效果。</w:t>
      </w:r>
    </w:p>
    <w:p w14:paraId="4713296C">
      <w:pPr>
        <w:keepNext w:val="0"/>
        <w:keepLines w:val="0"/>
        <w:pageBreakBefore w:val="0"/>
        <w:widowControl w:val="0"/>
        <w:kinsoku/>
        <w:wordWrap/>
        <w:overflowPunct/>
        <w:topLinePunct w:val="0"/>
        <w:autoSpaceDE/>
        <w:autoSpaceDN/>
        <w:bidi w:val="0"/>
        <w:adjustRightInd/>
        <w:snapToGrid/>
        <w:spacing w:line="560" w:lineRule="exact"/>
        <w:ind w:left="0" w:firstLine="713" w:firstLineChars="223"/>
        <w:textAlignment w:val="auto"/>
        <w:rPr>
          <w:rFonts w:hint="eastAsia" w:ascii="仿宋_GB2312" w:eastAsia="仿宋_GB2312"/>
          <w:color w:val="auto"/>
          <w:sz w:val="32"/>
          <w:szCs w:val="32"/>
        </w:rPr>
      </w:pPr>
      <w:r>
        <w:rPr>
          <w:rFonts w:hint="eastAsia" w:ascii="仿宋_GB2312" w:eastAsia="仿宋_GB2312"/>
          <w:color w:val="auto"/>
          <w:sz w:val="32"/>
          <w:szCs w:val="32"/>
        </w:rPr>
        <w:t>根据本单位职能职责合理设置绩效目标：编制年度财政预算决算草案；开展资金支付工作；开展会计人员培训；开展绩效评价；开展管理国有资产工作。</w:t>
      </w:r>
    </w:p>
    <w:p w14:paraId="4514D430">
      <w:pPr>
        <w:keepNext w:val="0"/>
        <w:keepLines w:val="0"/>
        <w:pageBreakBefore w:val="0"/>
        <w:widowControl w:val="0"/>
        <w:kinsoku/>
        <w:wordWrap/>
        <w:overflowPunct/>
        <w:topLinePunct w:val="0"/>
        <w:autoSpaceDE/>
        <w:autoSpaceDN/>
        <w:bidi w:val="0"/>
        <w:adjustRightInd/>
        <w:snapToGrid/>
        <w:spacing w:line="560" w:lineRule="exact"/>
        <w:ind w:left="0" w:firstLine="713" w:firstLineChars="223"/>
        <w:textAlignment w:val="auto"/>
        <w:rPr>
          <w:rFonts w:ascii="黑体" w:hAnsi="黑体" w:eastAsia="黑体" w:cs="宋体"/>
          <w:kern w:val="0"/>
          <w:sz w:val="32"/>
          <w:szCs w:val="32"/>
        </w:rPr>
      </w:pPr>
      <w:r>
        <w:rPr>
          <w:rFonts w:hint="eastAsia" w:ascii="黑体" w:hAnsi="黑体" w:eastAsia="黑体" w:cs="宋体"/>
          <w:kern w:val="0"/>
          <w:sz w:val="32"/>
          <w:szCs w:val="32"/>
        </w:rPr>
        <w:t>二</w:t>
      </w:r>
      <w:r>
        <w:rPr>
          <w:rFonts w:ascii="黑体" w:hAnsi="黑体" w:eastAsia="黑体" w:cs="宋体"/>
          <w:kern w:val="0"/>
          <w:sz w:val="32"/>
          <w:szCs w:val="32"/>
        </w:rPr>
        <w:t>、</w:t>
      </w:r>
      <w:r>
        <w:rPr>
          <w:rFonts w:hint="eastAsia" w:ascii="黑体" w:hAnsi="黑体" w:eastAsia="黑体" w:cs="宋体"/>
          <w:kern w:val="0"/>
          <w:sz w:val="32"/>
          <w:szCs w:val="32"/>
        </w:rPr>
        <w:t>当年</w:t>
      </w:r>
      <w:r>
        <w:rPr>
          <w:rFonts w:ascii="黑体" w:hAnsi="黑体" w:eastAsia="黑体" w:cs="宋体"/>
          <w:kern w:val="0"/>
          <w:sz w:val="32"/>
          <w:szCs w:val="32"/>
        </w:rPr>
        <w:t>预算执行情况</w:t>
      </w:r>
    </w:p>
    <w:p w14:paraId="6756E449">
      <w:pPr>
        <w:keepNext w:val="0"/>
        <w:keepLines w:val="0"/>
        <w:widowControl/>
        <w:suppressLineNumbers w:val="0"/>
        <w:ind w:firstLine="640" w:firstLineChars="200"/>
        <w:jc w:val="left"/>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lang w:eastAsia="zh-CN"/>
        </w:rPr>
        <w:t>2024年全年预算数6518</w:t>
      </w:r>
      <w:r>
        <w:rPr>
          <w:rFonts w:hint="default" w:ascii="仿宋_GB2312" w:hAnsi="宋体" w:eastAsia="仿宋_GB2312" w:cs="宋体"/>
          <w:color w:val="auto"/>
          <w:kern w:val="0"/>
          <w:sz w:val="32"/>
          <w:szCs w:val="32"/>
          <w:lang w:val="en-US" w:eastAsia="zh-CN"/>
        </w:rPr>
        <w:t>.</w:t>
      </w:r>
      <w:r>
        <w:rPr>
          <w:rFonts w:hint="eastAsia" w:ascii="仿宋_GB2312" w:hAnsi="宋体" w:eastAsia="仿宋_GB2312" w:cs="宋体"/>
          <w:color w:val="auto"/>
          <w:kern w:val="0"/>
          <w:sz w:val="32"/>
          <w:szCs w:val="32"/>
          <w:lang w:val="en-US" w:eastAsia="zh-CN"/>
        </w:rPr>
        <w:t>80</w:t>
      </w:r>
      <w:r>
        <w:rPr>
          <w:rFonts w:hint="eastAsia" w:ascii="仿宋_GB2312" w:hAnsi="宋体" w:eastAsia="仿宋_GB2312" w:cs="宋体"/>
          <w:color w:val="auto"/>
          <w:kern w:val="0"/>
          <w:sz w:val="32"/>
          <w:szCs w:val="32"/>
          <w:lang w:eastAsia="zh-CN"/>
        </w:rPr>
        <w:t>万元，其中，基本支出预算数6047</w:t>
      </w:r>
      <w:r>
        <w:rPr>
          <w:rFonts w:hint="default" w:ascii="仿宋_GB2312" w:hAnsi="宋体" w:eastAsia="仿宋_GB2312" w:cs="宋体"/>
          <w:color w:val="auto"/>
          <w:kern w:val="0"/>
          <w:sz w:val="32"/>
          <w:szCs w:val="32"/>
          <w:lang w:val="en-US" w:eastAsia="zh-CN"/>
        </w:rPr>
        <w:t>.</w:t>
      </w:r>
      <w:r>
        <w:rPr>
          <w:rFonts w:hint="eastAsia" w:ascii="仿宋_GB2312" w:hAnsi="宋体" w:eastAsia="仿宋_GB2312" w:cs="宋体"/>
          <w:color w:val="auto"/>
          <w:kern w:val="0"/>
          <w:sz w:val="32"/>
          <w:szCs w:val="32"/>
          <w:lang w:val="en-US" w:eastAsia="zh-CN"/>
        </w:rPr>
        <w:t>80</w:t>
      </w:r>
      <w:r>
        <w:rPr>
          <w:rFonts w:hint="eastAsia" w:ascii="仿宋_GB2312" w:hAnsi="宋体" w:eastAsia="仿宋_GB2312" w:cs="宋体"/>
          <w:color w:val="auto"/>
          <w:kern w:val="0"/>
          <w:sz w:val="32"/>
          <w:szCs w:val="32"/>
          <w:lang w:eastAsia="zh-CN"/>
        </w:rPr>
        <w:t>万元，项目支出预算数678</w:t>
      </w:r>
      <w:r>
        <w:rPr>
          <w:rFonts w:hint="eastAsia" w:ascii="仿宋_GB2312" w:hAnsi="宋体" w:eastAsia="仿宋_GB2312" w:cs="宋体"/>
          <w:color w:val="auto"/>
          <w:kern w:val="0"/>
          <w:sz w:val="32"/>
          <w:szCs w:val="32"/>
          <w:lang w:val="en-US" w:eastAsia="zh-CN"/>
        </w:rPr>
        <w:t>.</w:t>
      </w:r>
      <w:r>
        <w:rPr>
          <w:rFonts w:hint="eastAsia" w:ascii="仿宋_GB2312" w:hAnsi="宋体" w:eastAsia="仿宋_GB2312" w:cs="宋体"/>
          <w:color w:val="auto"/>
          <w:kern w:val="0"/>
          <w:sz w:val="32"/>
          <w:szCs w:val="32"/>
          <w:lang w:eastAsia="zh-CN"/>
        </w:rPr>
        <w:t>20万元，</w:t>
      </w:r>
      <w:r>
        <w:rPr>
          <w:rFonts w:hint="eastAsia" w:ascii="仿宋_GB2312" w:hAnsi="宋体" w:eastAsia="仿宋_GB2312" w:cs="宋体"/>
          <w:color w:val="auto"/>
          <w:kern w:val="0"/>
          <w:sz w:val="32"/>
          <w:szCs w:val="32"/>
          <w:lang w:val="en-US" w:eastAsia="zh-CN"/>
        </w:rPr>
        <w:t>无</w:t>
      </w:r>
      <w:r>
        <w:rPr>
          <w:rFonts w:hint="eastAsia" w:ascii="仿宋_GB2312" w:hAnsi="宋体" w:eastAsia="仿宋_GB2312" w:cs="宋体"/>
          <w:color w:val="auto"/>
          <w:kern w:val="0"/>
          <w:sz w:val="32"/>
          <w:szCs w:val="32"/>
          <w:lang w:eastAsia="zh-CN"/>
        </w:rPr>
        <w:t>其他支出预算数。资金总体支出</w:t>
      </w:r>
      <w:r>
        <w:rPr>
          <w:rFonts w:hint="eastAsia" w:ascii="仿宋_GB2312" w:hAnsi="仿宋" w:eastAsia="仿宋_GB2312"/>
          <w:sz w:val="32"/>
          <w:szCs w:val="32"/>
          <w:highlight w:val="none"/>
          <w:u w:val="none"/>
        </w:rPr>
        <w:t>75273.28</w:t>
      </w:r>
      <w:r>
        <w:rPr>
          <w:rFonts w:hint="eastAsia" w:ascii="仿宋_GB2312" w:hAnsi="宋体" w:eastAsia="仿宋_GB2312" w:cs="宋体"/>
          <w:color w:val="auto"/>
          <w:kern w:val="0"/>
          <w:sz w:val="32"/>
          <w:szCs w:val="32"/>
        </w:rPr>
        <w:t>万元</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rPr>
        <w:t>其中</w:t>
      </w:r>
      <w:r>
        <w:rPr>
          <w:rFonts w:ascii="仿宋_GB2312" w:hAnsi="宋体" w:eastAsia="仿宋_GB2312" w:cs="宋体"/>
          <w:color w:val="auto"/>
          <w:kern w:val="0"/>
          <w:sz w:val="32"/>
          <w:szCs w:val="32"/>
        </w:rPr>
        <w:t>，基本</w:t>
      </w:r>
      <w:r>
        <w:rPr>
          <w:rFonts w:hint="eastAsia" w:ascii="仿宋_GB2312" w:hAnsi="宋体" w:eastAsia="仿宋_GB2312" w:cs="宋体"/>
          <w:color w:val="auto"/>
          <w:kern w:val="0"/>
          <w:sz w:val="32"/>
          <w:szCs w:val="32"/>
        </w:rPr>
        <w:t>支出为</w:t>
      </w:r>
      <w:r>
        <w:rPr>
          <w:rFonts w:hint="eastAsia" w:ascii="仿宋_GB2312" w:hAnsi="仿宋" w:eastAsia="仿宋_GB2312"/>
          <w:strike w:val="0"/>
          <w:dstrike w:val="0"/>
          <w:sz w:val="32"/>
          <w:szCs w:val="32"/>
          <w:highlight w:val="none"/>
          <w:u w:val="none"/>
          <w:lang w:val="en-US" w:eastAsia="zh-CN"/>
        </w:rPr>
        <w:t>6003.92</w:t>
      </w:r>
      <w:r>
        <w:rPr>
          <w:rFonts w:ascii="仿宋_GB2312" w:hAnsi="宋体" w:eastAsia="仿宋_GB2312" w:cs="宋体"/>
          <w:color w:val="auto"/>
          <w:kern w:val="0"/>
          <w:sz w:val="32"/>
          <w:szCs w:val="32"/>
        </w:rPr>
        <w:t>万元，</w:t>
      </w:r>
      <w:r>
        <w:rPr>
          <w:rFonts w:hint="eastAsia" w:ascii="仿宋_GB2312" w:hAnsi="宋体" w:eastAsia="仿宋_GB2312" w:cs="宋体"/>
          <w:color w:val="auto"/>
          <w:kern w:val="0"/>
          <w:sz w:val="32"/>
          <w:szCs w:val="32"/>
        </w:rPr>
        <w:t>项目支出</w:t>
      </w:r>
      <w:r>
        <w:rPr>
          <w:rFonts w:hint="eastAsia" w:ascii="仿宋_GB2312" w:hAnsi="宋体" w:eastAsia="仿宋_GB2312" w:cs="宋体"/>
          <w:color w:val="auto"/>
          <w:kern w:val="0"/>
          <w:sz w:val="32"/>
          <w:szCs w:val="32"/>
          <w:lang w:val="en-US" w:eastAsia="zh-CN"/>
        </w:rPr>
        <w:t>69269.36</w:t>
      </w:r>
      <w:r>
        <w:rPr>
          <w:rFonts w:ascii="仿宋_GB2312" w:hAnsi="宋体" w:eastAsia="仿宋_GB2312" w:cs="宋体"/>
          <w:color w:val="auto"/>
          <w:kern w:val="0"/>
          <w:sz w:val="32"/>
          <w:szCs w:val="32"/>
        </w:rPr>
        <w:t>万元</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lang w:val="en-US" w:eastAsia="zh-CN"/>
        </w:rPr>
        <w:t>无</w:t>
      </w:r>
      <w:r>
        <w:rPr>
          <w:rFonts w:hint="eastAsia" w:ascii="仿宋_GB2312" w:hAnsi="宋体" w:eastAsia="仿宋_GB2312" w:cs="宋体"/>
          <w:color w:val="auto"/>
          <w:kern w:val="0"/>
          <w:sz w:val="32"/>
          <w:szCs w:val="32"/>
          <w:lang w:eastAsia="zh-CN"/>
        </w:rPr>
        <w:t>其他支出</w:t>
      </w:r>
      <w:r>
        <w:rPr>
          <w:rFonts w:hint="eastAsia"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highlight w:val="none"/>
        </w:rPr>
        <w:t>预算</w:t>
      </w:r>
      <w:r>
        <w:rPr>
          <w:rFonts w:ascii="仿宋_GB2312" w:hAnsi="宋体" w:eastAsia="仿宋_GB2312" w:cs="宋体"/>
          <w:color w:val="auto"/>
          <w:kern w:val="0"/>
          <w:sz w:val="32"/>
          <w:szCs w:val="32"/>
          <w:highlight w:val="none"/>
        </w:rPr>
        <w:t>执行</w:t>
      </w:r>
      <w:r>
        <w:rPr>
          <w:rFonts w:hint="eastAsia" w:ascii="仿宋_GB2312" w:hAnsi="宋体" w:eastAsia="仿宋_GB2312" w:cs="宋体"/>
          <w:color w:val="auto"/>
          <w:kern w:val="0"/>
          <w:sz w:val="32"/>
          <w:szCs w:val="32"/>
          <w:highlight w:val="none"/>
          <w:lang w:eastAsia="zh-CN"/>
        </w:rPr>
        <w:t>率</w:t>
      </w:r>
      <w:r>
        <w:rPr>
          <w:rFonts w:hint="eastAsia" w:ascii="仿宋_GB2312" w:hAnsi="宋体" w:eastAsia="仿宋_GB2312" w:cs="宋体"/>
          <w:color w:val="auto"/>
          <w:kern w:val="0"/>
          <w:sz w:val="32"/>
          <w:szCs w:val="32"/>
          <w:highlight w:val="none"/>
          <w:lang w:val="en-US" w:eastAsia="zh-CN"/>
        </w:rPr>
        <w:t>1154.7%</w:t>
      </w:r>
      <w:r>
        <w:rPr>
          <w:rFonts w:hint="eastAsia" w:ascii="仿宋_GB2312" w:hAnsi="宋体" w:eastAsia="仿宋_GB2312" w:cs="宋体"/>
          <w:color w:val="auto"/>
          <w:kern w:val="0"/>
          <w:sz w:val="32"/>
          <w:szCs w:val="32"/>
          <w:highlight w:val="none"/>
        </w:rPr>
        <w:t>。</w:t>
      </w:r>
    </w:p>
    <w:p w14:paraId="0FF94CF7">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黑体" w:hAnsi="黑体" w:eastAsia="黑体" w:cs="宋体"/>
          <w:kern w:val="0"/>
          <w:sz w:val="32"/>
          <w:szCs w:val="32"/>
        </w:rPr>
      </w:pPr>
      <w:r>
        <w:rPr>
          <w:rFonts w:hint="eastAsia" w:ascii="黑体" w:hAnsi="黑体" w:eastAsia="黑体" w:cs="宋体"/>
          <w:kern w:val="0"/>
          <w:sz w:val="32"/>
          <w:szCs w:val="32"/>
          <w:lang w:val="en-US" w:eastAsia="zh-CN"/>
        </w:rPr>
        <w:t>三</w:t>
      </w:r>
      <w:r>
        <w:rPr>
          <w:rFonts w:hint="eastAsia" w:ascii="黑体" w:hAnsi="黑体" w:eastAsia="黑体" w:cs="宋体"/>
          <w:kern w:val="0"/>
          <w:sz w:val="32"/>
          <w:szCs w:val="32"/>
        </w:rPr>
        <w:t>、整体绩效目标实现情况</w:t>
      </w:r>
    </w:p>
    <w:p w14:paraId="48709256">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kern w:val="0"/>
          <w:sz w:val="32"/>
          <w:szCs w:val="32"/>
        </w:rPr>
      </w:pPr>
      <w:r>
        <w:rPr>
          <w:rFonts w:hint="eastAsia" w:ascii="楷体_GB2312" w:hAnsi="楷体_GB2312" w:eastAsia="楷体_GB2312" w:cs="楷体_GB2312"/>
          <w:kern w:val="0"/>
          <w:sz w:val="32"/>
          <w:szCs w:val="32"/>
        </w:rPr>
        <w:t>（一）产出完成情况</w:t>
      </w:r>
      <w:bookmarkStart w:id="0" w:name="_GoBack"/>
      <w:bookmarkEnd w:id="0"/>
    </w:p>
    <w:p w14:paraId="6CB25260">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2024年，西集镇聚焦财政收入、支出、预算管理、绩效管理、财会监督五大核心板块推进工作，年末各项指标均达成年初设定值，财政运行管理有序。</w:t>
      </w:r>
    </w:p>
    <w:p w14:paraId="739A8D37">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firstLine="643" w:firstLineChars="200"/>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财政收入</w:t>
      </w:r>
    </w:p>
    <w:p w14:paraId="07A7613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镇级一般公共预算收入完成64065.47亿元 ，受经济环境等因素影响，同比减少26.89%，但仍按计划完成既定任务。</w:t>
      </w:r>
    </w:p>
    <w:p w14:paraId="3E727357">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firstLine="643" w:firstLineChars="200"/>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财政支出</w:t>
      </w:r>
    </w:p>
    <w:p w14:paraId="62A9F9C3">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秉持“过紧日子”理念，应对收支矛盾。先全面摸底盘活资金，动态调整“预算账”“缺口账”，优化支出结构；再细化审核支出，大力削减三方服务费，同时统筹年初预算资金、债券资金等，将资金精准投向关键领域，保障重点项目推进。</w:t>
      </w:r>
    </w:p>
    <w:p w14:paraId="54EE8B94">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firstLine="643" w:firstLineChars="200"/>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预算管理</w:t>
      </w:r>
    </w:p>
    <w:p w14:paraId="54561CBD">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落实“紧日子”要求，严守预算支出关口。深挖节支潜力，压减一般性支出；巩固三方服务清理成果，控制编外人员规模与支出，为重大项目、重点领域腾出财力，保障关键支出需求。</w:t>
      </w:r>
    </w:p>
    <w:p w14:paraId="0EB2573B">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kern w:val="0"/>
          <w:sz w:val="32"/>
          <w:szCs w:val="32"/>
        </w:rPr>
        <w:tab/>
      </w:r>
      <w:r>
        <w:rPr>
          <w:rFonts w:hint="eastAsia" w:ascii="仿宋_GB2312" w:hAnsi="仿宋_GB2312" w:eastAsia="仿宋_GB2312" w:cs="仿宋_GB2312"/>
          <w:kern w:val="0"/>
          <w:sz w:val="32"/>
          <w:szCs w:val="32"/>
          <w:lang w:val="en-US" w:eastAsia="zh-CN"/>
        </w:rPr>
        <w:t xml:space="preserve"> 4.</w:t>
      </w:r>
      <w:r>
        <w:rPr>
          <w:rFonts w:hint="eastAsia" w:ascii="仿宋_GB2312" w:hAnsi="仿宋_GB2312" w:eastAsia="仿宋_GB2312" w:cs="仿宋_GB2312"/>
          <w:b/>
          <w:bCs/>
          <w:kern w:val="0"/>
          <w:sz w:val="32"/>
          <w:szCs w:val="32"/>
        </w:rPr>
        <w:t>绩效管理</w:t>
      </w:r>
    </w:p>
    <w:p w14:paraId="44224C4B">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深化预算绩效管理改革，以绩效分析为抓手促资金降本增效。开展XX个项目事前绩效评估，预判风险与效益；完成XX个项目事后绩效评价，复盘资金使用成效，针对性压降低效无效成本，推动重点领域项目优化投入产出。</w:t>
      </w:r>
    </w:p>
    <w:p w14:paraId="75945E2C">
      <w:pPr>
        <w:keepNext w:val="0"/>
        <w:keepLines w:val="0"/>
        <w:pageBreakBefore w:val="0"/>
        <w:widowControl w:val="0"/>
        <w:kinsoku/>
        <w:wordWrap/>
        <w:overflowPunct/>
        <w:topLinePunct w:val="0"/>
        <w:autoSpaceDE/>
        <w:autoSpaceDN/>
        <w:bidi w:val="0"/>
        <w:adjustRightInd/>
        <w:snapToGrid/>
        <w:spacing w:line="560" w:lineRule="exact"/>
        <w:ind w:left="0" w:firstLine="643" w:firstLineChars="200"/>
        <w:textAlignment w:val="auto"/>
        <w:rPr>
          <w:rFonts w:hint="eastAsia" w:ascii="仿宋_GB2312" w:hAnsi="仿宋_GB2312" w:eastAsia="仿宋_GB2312" w:cs="仿宋_GB2312"/>
          <w:b/>
          <w:bCs/>
          <w:kern w:val="0"/>
          <w:sz w:val="32"/>
          <w:szCs w:val="32"/>
          <w:lang w:val="en-US" w:eastAsia="zh-CN"/>
        </w:rPr>
      </w:pPr>
      <w:r>
        <w:rPr>
          <w:rFonts w:hint="eastAsia" w:ascii="仿宋_GB2312" w:hAnsi="仿宋_GB2312" w:eastAsia="仿宋_GB2312" w:cs="仿宋_GB2312"/>
          <w:b/>
          <w:bCs/>
          <w:kern w:val="0"/>
          <w:sz w:val="32"/>
          <w:szCs w:val="32"/>
          <w:lang w:val="en-US" w:eastAsia="zh-CN"/>
        </w:rPr>
        <w:t>5.财会监督</w:t>
      </w:r>
    </w:p>
    <w:p w14:paraId="627D9DED">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发挥监督效能，推进全区内控管理信息化改革，从源头防控腐败。聚焦预算编制、执行、绩效管理等7个内控环节强化监督，依托“业务财务一体化内控管理系统”，实现财政资金全流程闭环监管，确保资金规范安全使用。</w:t>
      </w:r>
    </w:p>
    <w:p w14:paraId="615CACF8">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（二）效果实现情况</w:t>
      </w:r>
    </w:p>
    <w:p w14:paraId="258D5DBE">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西集镇2024年部门整体支出聚焦发展与风险防控，实现多重积极效果：以积极财政政策稳经济，保障财政平稳可持续运行；统筹优化支出结构，优先保障民生经费，完善大事要事保障机制，提升民生福祉与政务保障水平；坚守艰苦奋斗导向，深化降本增效，塑造节约型、效益型财政支出管理模式；严守债务底线，加强政府债务管理，有效防范化解财政风险，维护财政健康生态。</w:t>
      </w:r>
    </w:p>
    <w:p w14:paraId="5F5C8EE9">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黑体" w:hAnsi="黑体" w:eastAsia="黑体" w:cs="宋体"/>
          <w:kern w:val="0"/>
          <w:sz w:val="32"/>
          <w:szCs w:val="32"/>
          <w:lang w:val="en-US" w:eastAsia="zh-CN"/>
        </w:rPr>
      </w:pPr>
      <w:r>
        <w:rPr>
          <w:rFonts w:hint="eastAsia" w:ascii="黑体" w:hAnsi="黑体" w:eastAsia="黑体" w:cs="宋体"/>
          <w:kern w:val="0"/>
          <w:sz w:val="32"/>
          <w:szCs w:val="32"/>
          <w:lang w:val="en-US" w:eastAsia="zh-CN"/>
        </w:rPr>
        <w:t>四、预算管理情况分析</w:t>
      </w:r>
    </w:p>
    <w:p w14:paraId="3F3ECBD7">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（一）财务管理</w:t>
      </w:r>
    </w:p>
    <w:p w14:paraId="02AC4683">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ab/>
      </w:r>
      <w:r>
        <w:rPr>
          <w:rFonts w:hint="eastAsia" w:ascii="仿宋_GB2312" w:hAnsi="仿宋_GB2312" w:eastAsia="仿宋_GB2312" w:cs="仿宋_GB2312"/>
          <w:b/>
          <w:bCs/>
          <w:kern w:val="0"/>
          <w:sz w:val="32"/>
          <w:szCs w:val="32"/>
        </w:rPr>
        <w:t>1.</w:t>
      </w:r>
      <w:r>
        <w:rPr>
          <w:rFonts w:hint="eastAsia" w:ascii="仿宋_GB2312" w:hAnsi="仿宋_GB2312" w:eastAsia="仿宋_GB2312" w:cs="仿宋_GB2312"/>
          <w:b/>
          <w:bCs/>
          <w:kern w:val="0"/>
          <w:sz w:val="32"/>
          <w:szCs w:val="32"/>
        </w:rPr>
        <w:tab/>
      </w:r>
      <w:r>
        <w:rPr>
          <w:rFonts w:hint="eastAsia" w:ascii="仿宋_GB2312" w:hAnsi="仿宋_GB2312" w:eastAsia="仿宋_GB2312" w:cs="仿宋_GB2312"/>
          <w:b/>
          <w:bCs/>
          <w:kern w:val="0"/>
          <w:sz w:val="32"/>
          <w:szCs w:val="32"/>
        </w:rPr>
        <w:t>制度健全性</w:t>
      </w:r>
    </w:p>
    <w:p w14:paraId="31AA6758">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西集镇结合自身业务，构建涵盖财务管理、资产管理、采购管理、合同管理的制度体系，同步实施内部控制，制度覆盖业务全流程，为资金规范使用筑牢制度根基，保障部门资金管理有章可循。</w:t>
      </w:r>
    </w:p>
    <w:p w14:paraId="7B0A9C4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3" w:firstLineChars="200"/>
        <w:textAlignment w:val="auto"/>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lang w:val="en-US" w:eastAsia="zh-CN"/>
        </w:rPr>
        <w:t>2.</w:t>
      </w:r>
      <w:r>
        <w:rPr>
          <w:rFonts w:hint="eastAsia" w:ascii="仿宋_GB2312" w:hAnsi="仿宋_GB2312" w:eastAsia="仿宋_GB2312" w:cs="仿宋_GB2312"/>
          <w:b/>
          <w:bCs/>
          <w:kern w:val="0"/>
          <w:sz w:val="32"/>
          <w:szCs w:val="32"/>
        </w:rPr>
        <w:t>资金合规性与安全性</w:t>
      </w:r>
    </w:p>
    <w:p w14:paraId="4586A22B">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资金使用严格遵循国家财经纪律、局内财务制度及专项资金管理办法，无截留、挤占、挪用、虚列支出等违规行为，合法合规性达标。重大支出落实集体研究决策，强化监督；预算执行严格对接政府采购与局内采购流程；会计核算专款专用，项目资金在统一账簿按明细单独核算，凭证资料完整规范，从流程到核算全方位保障资金安全。</w:t>
      </w:r>
    </w:p>
    <w:p w14:paraId="0CA84F68">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（二）资产管理</w:t>
      </w:r>
    </w:p>
    <w:p w14:paraId="7B11E0FE">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依据《行政单位国有资产管理暂行办法》等国家规定，结合区域实际，区财政局制定《通州区财政局固定资产管理办法》，明确资产管理部门职责、资产配置、处置、出租出借等全流程要求，规范局机关资产管理，助力国有资产安全完整、合理配置与高效利用，实现资产管理标准化、规范化。</w:t>
      </w:r>
    </w:p>
    <w:p w14:paraId="55ACD7AD">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（三）绩效管理</w:t>
      </w:r>
    </w:p>
    <w:p w14:paraId="14D4369D">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西集镇扎实推进绩效管理，实现工作“三进阶”：一是绩效自评“全覆盖”，对2024年部门预算管理的所有项目开展自评，全面复盘资金绩效；二是执行跟踪“强干预”，对部门预算项目上半年执行情况实施绩效跟踪，发现偏离目标或预期无效项目，及时采取调整方案、暂缓支出等措施纠正；三是目标编报“提质量”，持续优化绩效目标编制，细化指标、明确标准，提升预算编制科学性与执行约束性，让绩效引领资金配置。</w:t>
      </w:r>
    </w:p>
    <w:p w14:paraId="075A8B69">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（四）结转结余率</w:t>
      </w:r>
    </w:p>
    <w:p w14:paraId="677ABA13">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2024年末西集镇财政资金无结转结余，结转结余率为0 ，资金当年收支匹配度高，全部投入年度既定工作，保障资金高效周转使用。</w:t>
      </w:r>
    </w:p>
    <w:p w14:paraId="557945E9">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楷体_GB2312" w:hAnsi="楷体_GB2312" w:eastAsia="楷体_GB2312" w:cs="楷体_GB2312"/>
          <w:kern w:val="0"/>
          <w:sz w:val="32"/>
          <w:szCs w:val="32"/>
        </w:rPr>
      </w:pPr>
      <w:r>
        <w:rPr>
          <w:rFonts w:hint="eastAsia" w:ascii="楷体_GB2312" w:hAnsi="楷体_GB2312" w:eastAsia="楷体_GB2312" w:cs="楷体_GB2312"/>
          <w:kern w:val="0"/>
          <w:sz w:val="32"/>
          <w:szCs w:val="32"/>
        </w:rPr>
        <w:t>（五）部门预决算差异率</w:t>
      </w:r>
    </w:p>
    <w:p w14:paraId="32397B7B">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2024年西集镇部门预决算收入数与支出数完全一致，差异率为0 ，预决算编制精准度高，预算执行与预期高度契合，反映财政管理对收支把控到位。</w:t>
      </w:r>
    </w:p>
    <w:p w14:paraId="49EECF07">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default" w:ascii="黑体" w:hAnsi="黑体" w:eastAsia="黑体" w:cs="宋体"/>
          <w:kern w:val="0"/>
          <w:sz w:val="32"/>
          <w:szCs w:val="32"/>
          <w:lang w:val="en-US" w:eastAsia="zh-CN"/>
        </w:rPr>
      </w:pPr>
      <w:r>
        <w:rPr>
          <w:rFonts w:hint="eastAsia" w:ascii="黑体" w:hAnsi="黑体" w:eastAsia="黑体" w:cs="宋体"/>
          <w:kern w:val="0"/>
          <w:sz w:val="32"/>
          <w:szCs w:val="32"/>
          <w:lang w:val="en-US" w:eastAsia="zh-CN"/>
        </w:rPr>
        <w:t>五、总体评价结论</w:t>
      </w:r>
    </w:p>
    <w:p w14:paraId="67A121B1">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1</w:t>
      </w:r>
      <w:r>
        <w:rPr>
          <w:rFonts w:hint="default" w:ascii="仿宋_GB2312" w:hAnsi="仿宋_GB2312" w:eastAsia="仿宋_GB2312" w:cs="仿宋_GB2312"/>
          <w:kern w:val="0"/>
          <w:sz w:val="32"/>
          <w:szCs w:val="32"/>
          <w:highlight w:val="none"/>
          <w:lang w:val="en-US" w:eastAsia="zh-CN"/>
        </w:rPr>
        <w:t>.</w:t>
      </w:r>
      <w:r>
        <w:rPr>
          <w:rFonts w:hint="eastAsia" w:ascii="仿宋_GB2312" w:hAnsi="仿宋_GB2312" w:eastAsia="仿宋_GB2312" w:cs="仿宋_GB2312"/>
          <w:kern w:val="0"/>
          <w:sz w:val="32"/>
          <w:szCs w:val="32"/>
          <w:highlight w:val="none"/>
          <w:lang w:val="en-US" w:eastAsia="zh-CN"/>
        </w:rPr>
        <w:t>评价得分情况</w:t>
      </w:r>
    </w:p>
    <w:p w14:paraId="534655F0">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0"/>
        <w:rPr>
          <w:rFonts w:hint="eastAsia" w:ascii="仿宋_GB2312" w:hAnsi="宋体" w:eastAsia="仿宋_GB2312" w:cs="宋体"/>
          <w:b/>
          <w:bCs/>
          <w:kern w:val="0"/>
          <w:sz w:val="32"/>
          <w:szCs w:val="32"/>
          <w:lang w:eastAsia="zh-CN"/>
        </w:rPr>
      </w:pPr>
      <w:r>
        <w:rPr>
          <w:rFonts w:hint="eastAsia" w:ascii="仿宋_GB2312" w:hAnsi="宋体" w:eastAsia="仿宋_GB2312" w:cs="宋体"/>
          <w:color w:val="auto"/>
          <w:kern w:val="0"/>
          <w:sz w:val="32"/>
          <w:szCs w:val="32"/>
        </w:rPr>
        <w:t>202</w:t>
      </w:r>
      <w:r>
        <w:rPr>
          <w:rFonts w:hint="eastAsia" w:ascii="仿宋_GB2312" w:hAnsi="宋体" w:eastAsia="仿宋_GB2312" w:cs="宋体"/>
          <w:color w:val="auto"/>
          <w:kern w:val="0"/>
          <w:sz w:val="32"/>
          <w:szCs w:val="32"/>
          <w:lang w:val="en-US" w:eastAsia="zh-CN"/>
        </w:rPr>
        <w:t>4</w:t>
      </w:r>
      <w:r>
        <w:rPr>
          <w:rFonts w:hint="eastAsia" w:ascii="仿宋_GB2312" w:hAnsi="宋体" w:eastAsia="仿宋_GB2312" w:cs="宋体"/>
          <w:color w:val="auto"/>
          <w:kern w:val="0"/>
          <w:sz w:val="32"/>
          <w:szCs w:val="32"/>
        </w:rPr>
        <w:t>年度</w:t>
      </w:r>
      <w:r>
        <w:rPr>
          <w:rFonts w:hint="eastAsia" w:ascii="仿宋_GB2312" w:hAnsi="宋体" w:eastAsia="仿宋_GB2312" w:cs="宋体"/>
          <w:color w:val="auto"/>
          <w:kern w:val="0"/>
          <w:sz w:val="32"/>
          <w:szCs w:val="32"/>
          <w:lang w:val="en-US" w:eastAsia="zh-CN"/>
        </w:rPr>
        <w:t>西集镇人民政府</w:t>
      </w:r>
      <w:r>
        <w:rPr>
          <w:rFonts w:hint="eastAsia" w:ascii="仿宋_GB2312" w:hAnsi="宋体" w:eastAsia="仿宋_GB2312" w:cs="宋体"/>
          <w:color w:val="auto"/>
          <w:kern w:val="0"/>
          <w:sz w:val="32"/>
          <w:szCs w:val="32"/>
        </w:rPr>
        <w:t>整体支出绩效评价综合得分</w:t>
      </w:r>
      <w:r>
        <w:rPr>
          <w:rFonts w:hint="eastAsia" w:ascii="仿宋_GB2312" w:hAnsi="宋体" w:eastAsia="仿宋_GB2312" w:cs="宋体"/>
          <w:color w:val="auto"/>
          <w:kern w:val="0"/>
          <w:sz w:val="32"/>
          <w:szCs w:val="32"/>
          <w:lang w:val="en-US" w:eastAsia="zh-CN"/>
        </w:rPr>
        <w:t>90</w:t>
      </w:r>
      <w:r>
        <w:rPr>
          <w:rFonts w:hint="eastAsia" w:ascii="仿宋_GB2312" w:hAnsi="宋体" w:eastAsia="仿宋_GB2312" w:cs="宋体"/>
          <w:color w:val="auto"/>
          <w:kern w:val="0"/>
          <w:sz w:val="32"/>
          <w:szCs w:val="32"/>
        </w:rPr>
        <w:t>分，</w:t>
      </w:r>
      <w:r>
        <w:rPr>
          <w:rFonts w:hint="eastAsia" w:ascii="仿宋_GB2312" w:hAnsi="宋体" w:eastAsia="仿宋_GB2312" w:cs="宋体"/>
          <w:kern w:val="0"/>
          <w:sz w:val="32"/>
          <w:szCs w:val="32"/>
        </w:rPr>
        <w:t>其中当年预算执行情况</w:t>
      </w:r>
      <w:r>
        <w:rPr>
          <w:rFonts w:hint="eastAsia" w:ascii="仿宋_GB2312" w:hAnsi="宋体" w:eastAsia="仿宋_GB2312" w:cs="宋体"/>
          <w:kern w:val="0"/>
          <w:sz w:val="32"/>
          <w:szCs w:val="32"/>
          <w:lang w:val="en-US" w:eastAsia="zh-CN"/>
        </w:rPr>
        <w:t>18</w:t>
      </w:r>
      <w:r>
        <w:rPr>
          <w:rFonts w:hint="eastAsia" w:ascii="仿宋_GB2312" w:hAnsi="宋体" w:eastAsia="仿宋_GB2312" w:cs="宋体"/>
          <w:kern w:val="0"/>
          <w:sz w:val="32"/>
          <w:szCs w:val="32"/>
        </w:rPr>
        <w:t>分、整体绩效目标实现情况5</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分、预算管理情况1</w:t>
      </w:r>
      <w:r>
        <w:rPr>
          <w:rFonts w:hint="eastAsia" w:ascii="仿宋_GB2312" w:hAnsi="宋体" w:eastAsia="仿宋_GB2312" w:cs="宋体"/>
          <w:kern w:val="0"/>
          <w:sz w:val="32"/>
          <w:szCs w:val="32"/>
          <w:lang w:val="en-US" w:eastAsia="zh-CN"/>
        </w:rPr>
        <w:t>8</w:t>
      </w:r>
      <w:r>
        <w:rPr>
          <w:rFonts w:hint="eastAsia" w:ascii="仿宋_GB2312" w:hAnsi="宋体" w:eastAsia="仿宋_GB2312" w:cs="宋体"/>
          <w:kern w:val="0"/>
          <w:sz w:val="32"/>
          <w:szCs w:val="32"/>
        </w:rPr>
        <w:t>分，绩效评定结论为“优”。具体情况详见下表</w:t>
      </w:r>
      <w:r>
        <w:rPr>
          <w:rFonts w:hint="eastAsia" w:ascii="仿宋_GB2312" w:hAnsi="宋体" w:eastAsia="仿宋_GB2312" w:cs="宋体"/>
          <w:kern w:val="0"/>
          <w:sz w:val="32"/>
          <w:szCs w:val="32"/>
          <w:lang w:eastAsia="zh-CN"/>
        </w:rPr>
        <w:t>：</w:t>
      </w:r>
    </w:p>
    <w:p w14:paraId="0F9B5A77">
      <w:pPr>
        <w:rPr>
          <w:rFonts w:hint="eastAsia"/>
        </w:rPr>
      </w:pPr>
    </w:p>
    <w:p w14:paraId="5F730A54">
      <w:pPr>
        <w:keepNext w:val="0"/>
        <w:keepLines w:val="0"/>
        <w:pageBreakBefore w:val="0"/>
        <w:widowControl w:val="0"/>
        <w:kinsoku/>
        <w:wordWrap/>
        <w:overflowPunct/>
        <w:topLinePunct w:val="0"/>
        <w:autoSpaceDE/>
        <w:autoSpaceDN/>
        <w:bidi w:val="0"/>
        <w:spacing w:line="560" w:lineRule="exact"/>
        <w:ind w:left="103" w:hanging="103" w:hangingChars="32"/>
        <w:jc w:val="center"/>
        <w:textAlignment w:val="auto"/>
        <w:rPr>
          <w:rFonts w:ascii="楷体_GB2312" w:eastAsia="仿宋_GB2312"/>
          <w:b/>
          <w:bCs/>
          <w:sz w:val="32"/>
          <w:szCs w:val="32"/>
        </w:rPr>
      </w:pPr>
      <w:r>
        <w:rPr>
          <w:rFonts w:hint="eastAsia" w:ascii="仿宋_GB2312" w:hAnsi="宋体" w:eastAsia="仿宋_GB2312" w:cs="宋体"/>
          <w:b/>
          <w:bCs/>
          <w:kern w:val="0"/>
          <w:sz w:val="32"/>
          <w:szCs w:val="32"/>
        </w:rPr>
        <w:t>部门整体支出绩效评价结论一览表</w:t>
      </w:r>
    </w:p>
    <w:tbl>
      <w:tblPr>
        <w:tblStyle w:val="7"/>
        <w:tblpPr w:leftFromText="180" w:rightFromText="180" w:vertAnchor="text" w:horzAnchor="page" w:tblpX="1704" w:tblpY="326"/>
        <w:tblOverlap w:val="never"/>
        <w:tblW w:w="8485"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Layout w:type="fixed"/>
        <w:tblCellMar>
          <w:top w:w="0" w:type="dxa"/>
          <w:left w:w="57" w:type="dxa"/>
          <w:bottom w:w="0" w:type="dxa"/>
          <w:right w:w="57" w:type="dxa"/>
        </w:tblCellMar>
      </w:tblPr>
      <w:tblGrid>
        <w:gridCol w:w="3079"/>
        <w:gridCol w:w="2411"/>
        <w:gridCol w:w="2995"/>
      </w:tblGrid>
      <w:tr w14:paraId="5C59415A">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PrEx>
        <w:trPr>
          <w:cantSplit/>
          <w:trHeight w:val="680" w:hRule="atLeast"/>
        </w:trPr>
        <w:tc>
          <w:tcPr>
            <w:tcW w:w="3079" w:type="dxa"/>
            <w:tcBorders>
              <w:top w:val="single" w:color="FFFFFF" w:sz="4" w:space="0"/>
              <w:left w:val="single" w:color="FFFFFF" w:sz="4" w:space="0"/>
              <w:bottom w:val="single" w:color="FFFFFF" w:sz="6" w:space="0"/>
              <w:right w:val="single" w:color="FFFFFF" w:sz="6" w:space="0"/>
            </w:tcBorders>
            <w:shd w:val="clear" w:color="auto" w:fill="C0C0C0"/>
            <w:vAlign w:val="center"/>
          </w:tcPr>
          <w:p w14:paraId="750E1725">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评价内容</w:t>
            </w:r>
          </w:p>
        </w:tc>
        <w:tc>
          <w:tcPr>
            <w:tcW w:w="2411" w:type="dxa"/>
            <w:tcBorders>
              <w:top w:val="single" w:color="FFFFFF" w:sz="4" w:space="0"/>
              <w:left w:val="single" w:color="FFFFFF" w:sz="6" w:space="0"/>
              <w:bottom w:val="single" w:color="FFFFFF" w:sz="6" w:space="0"/>
              <w:right w:val="single" w:color="FFFFFF" w:sz="6" w:space="0"/>
            </w:tcBorders>
            <w:shd w:val="clear" w:color="auto" w:fill="C0C0C0"/>
            <w:vAlign w:val="center"/>
          </w:tcPr>
          <w:p w14:paraId="2175309A">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分值</w:t>
            </w:r>
          </w:p>
        </w:tc>
        <w:tc>
          <w:tcPr>
            <w:tcW w:w="2995" w:type="dxa"/>
            <w:tcBorders>
              <w:top w:val="single" w:color="FFFFFF" w:sz="4" w:space="0"/>
              <w:left w:val="single" w:color="FFFFFF" w:sz="6" w:space="0"/>
              <w:bottom w:val="single" w:color="FFFFFF" w:sz="6" w:space="0"/>
              <w:right w:val="single" w:color="FFFFFF" w:sz="4" w:space="0"/>
            </w:tcBorders>
            <w:shd w:val="clear" w:color="auto" w:fill="C0C0C0"/>
            <w:vAlign w:val="center"/>
          </w:tcPr>
          <w:p w14:paraId="1BF8A1DF">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评价得分</w:t>
            </w:r>
          </w:p>
        </w:tc>
      </w:tr>
      <w:tr w14:paraId="118C9A2D">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Ex>
        <w:trPr>
          <w:cantSplit/>
          <w:trHeight w:val="543" w:hRule="atLeast"/>
        </w:trPr>
        <w:tc>
          <w:tcPr>
            <w:tcW w:w="3079" w:type="dxa"/>
            <w:tcBorders>
              <w:top w:val="single" w:color="FFFFFF" w:sz="6" w:space="0"/>
              <w:left w:val="single" w:color="FFFFFF" w:sz="4" w:space="0"/>
              <w:bottom w:val="single" w:color="FFFFFF" w:sz="6" w:space="0"/>
              <w:right w:val="single" w:color="FFFFFF" w:sz="6" w:space="0"/>
            </w:tcBorders>
            <w:shd w:val="clear" w:color="auto" w:fill="C0C0C0"/>
            <w:vAlign w:val="center"/>
          </w:tcPr>
          <w:p w14:paraId="07673BF1">
            <w:pPr>
              <w:pStyle w:val="3"/>
              <w:keepNext w:val="0"/>
              <w:keepLines w:val="0"/>
              <w:pageBreakBefore w:val="0"/>
              <w:widowControl w:val="0"/>
              <w:kinsoku/>
              <w:wordWrap/>
              <w:overflowPunct/>
              <w:topLinePunct w:val="0"/>
              <w:autoSpaceDE/>
              <w:autoSpaceDN/>
              <w:bidi w:val="0"/>
              <w:adjustRightInd w:val="0"/>
              <w:snapToGrid w:val="0"/>
              <w:spacing w:before="120" w:after="60" w:line="560" w:lineRule="exact"/>
              <w:ind w:firstLine="0"/>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当年预算执行情况</w:t>
            </w:r>
          </w:p>
        </w:tc>
        <w:tc>
          <w:tcPr>
            <w:tcW w:w="2411" w:type="dxa"/>
            <w:tcBorders>
              <w:top w:val="single" w:color="FFFFFF" w:sz="6" w:space="0"/>
              <w:left w:val="single" w:color="FFFFFF" w:sz="6" w:space="0"/>
              <w:bottom w:val="single" w:color="FFFFFF" w:sz="6" w:space="0"/>
              <w:right w:val="single" w:color="FFFFFF" w:sz="6" w:space="0"/>
            </w:tcBorders>
            <w:shd w:val="clear" w:color="auto" w:fill="C0C0C0"/>
            <w:vAlign w:val="center"/>
          </w:tcPr>
          <w:p w14:paraId="38D32B2C">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20.00</w:t>
            </w:r>
          </w:p>
        </w:tc>
        <w:tc>
          <w:tcPr>
            <w:tcW w:w="2995" w:type="dxa"/>
            <w:tcBorders>
              <w:top w:val="single" w:color="FFFFFF" w:sz="6" w:space="0"/>
              <w:left w:val="single" w:color="FFFFFF" w:sz="6" w:space="0"/>
              <w:bottom w:val="single" w:color="FFFFFF" w:sz="6" w:space="0"/>
              <w:right w:val="single" w:color="FFFFFF" w:sz="4" w:space="0"/>
            </w:tcBorders>
            <w:shd w:val="clear" w:color="auto" w:fill="C0C0C0"/>
            <w:vAlign w:val="center"/>
          </w:tcPr>
          <w:p w14:paraId="35CFC7D1">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lang w:val="en-US" w:eastAsia="zh-CN"/>
              </w:rPr>
              <w:t>18</w:t>
            </w:r>
          </w:p>
        </w:tc>
      </w:tr>
      <w:tr w14:paraId="35DEEB2E">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Ex>
        <w:trPr>
          <w:cantSplit/>
          <w:trHeight w:val="393" w:hRule="atLeast"/>
        </w:trPr>
        <w:tc>
          <w:tcPr>
            <w:tcW w:w="3079" w:type="dxa"/>
            <w:tcBorders>
              <w:top w:val="single" w:color="FFFFFF" w:sz="6" w:space="0"/>
              <w:left w:val="single" w:color="FFFFFF" w:sz="4" w:space="0"/>
              <w:bottom w:val="single" w:color="FFFFFF" w:sz="6" w:space="0"/>
              <w:right w:val="single" w:color="FFFFFF" w:sz="6" w:space="0"/>
            </w:tcBorders>
            <w:shd w:val="clear" w:color="auto" w:fill="C0C0C0"/>
            <w:vAlign w:val="center"/>
          </w:tcPr>
          <w:p w14:paraId="70D47A89">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整体绩效目标实现情况</w:t>
            </w:r>
          </w:p>
        </w:tc>
        <w:tc>
          <w:tcPr>
            <w:tcW w:w="2411" w:type="dxa"/>
            <w:tcBorders>
              <w:top w:val="single" w:color="FFFFFF" w:sz="6" w:space="0"/>
              <w:left w:val="single" w:color="FFFFFF" w:sz="6" w:space="0"/>
              <w:bottom w:val="single" w:color="FFFFFF" w:sz="6" w:space="0"/>
              <w:right w:val="single" w:color="FFFFFF" w:sz="6" w:space="0"/>
            </w:tcBorders>
            <w:shd w:val="clear" w:color="auto" w:fill="C0C0C0"/>
            <w:vAlign w:val="center"/>
          </w:tcPr>
          <w:p w14:paraId="1F4F23C0">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60.00</w:t>
            </w:r>
          </w:p>
        </w:tc>
        <w:tc>
          <w:tcPr>
            <w:tcW w:w="2995" w:type="dxa"/>
            <w:tcBorders>
              <w:top w:val="single" w:color="FFFFFF" w:sz="6" w:space="0"/>
              <w:left w:val="single" w:color="FFFFFF" w:sz="6" w:space="0"/>
              <w:bottom w:val="single" w:color="FFFFFF" w:sz="6" w:space="0"/>
              <w:right w:val="single" w:color="FFFFFF" w:sz="4" w:space="0"/>
            </w:tcBorders>
            <w:shd w:val="clear" w:color="auto" w:fill="C0C0C0"/>
            <w:vAlign w:val="center"/>
          </w:tcPr>
          <w:p w14:paraId="4636BE13">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lang w:val="en-US" w:eastAsia="zh-CN"/>
              </w:rPr>
              <w:t>54</w:t>
            </w:r>
          </w:p>
        </w:tc>
      </w:tr>
      <w:tr w14:paraId="02141D22">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Ex>
        <w:trPr>
          <w:cantSplit/>
          <w:trHeight w:val="368" w:hRule="atLeast"/>
        </w:trPr>
        <w:tc>
          <w:tcPr>
            <w:tcW w:w="3079" w:type="dxa"/>
            <w:tcBorders>
              <w:top w:val="single" w:color="FFFFFF" w:sz="6" w:space="0"/>
              <w:left w:val="single" w:color="FFFFFF" w:sz="4" w:space="0"/>
              <w:bottom w:val="single" w:color="FFFFFF" w:sz="4" w:space="0"/>
              <w:right w:val="single" w:color="FFFFFF" w:sz="6" w:space="0"/>
            </w:tcBorders>
            <w:shd w:val="clear" w:color="auto" w:fill="C0C0C0"/>
            <w:vAlign w:val="center"/>
          </w:tcPr>
          <w:p w14:paraId="705B3436">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预算管理情况</w:t>
            </w:r>
          </w:p>
        </w:tc>
        <w:tc>
          <w:tcPr>
            <w:tcW w:w="2411" w:type="dxa"/>
            <w:tcBorders>
              <w:top w:val="single" w:color="FFFFFF" w:sz="6" w:space="0"/>
              <w:left w:val="single" w:color="FFFFFF" w:sz="6" w:space="0"/>
              <w:bottom w:val="single" w:color="FFFFFF" w:sz="4" w:space="0"/>
              <w:right w:val="single" w:color="FFFFFF" w:sz="4" w:space="0"/>
            </w:tcBorders>
            <w:shd w:val="clear" w:color="auto" w:fill="C0C0C0"/>
            <w:vAlign w:val="center"/>
          </w:tcPr>
          <w:p w14:paraId="2B512A10">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20.00</w:t>
            </w:r>
          </w:p>
        </w:tc>
        <w:tc>
          <w:tcPr>
            <w:tcW w:w="2995" w:type="dxa"/>
            <w:tcBorders>
              <w:top w:val="single" w:color="FFFFFF" w:sz="6" w:space="0"/>
              <w:left w:val="single" w:color="FFFFFF" w:sz="4" w:space="0"/>
              <w:bottom w:val="single" w:color="FFFFFF" w:sz="4" w:space="0"/>
              <w:right w:val="single" w:color="FFFFFF" w:sz="4" w:space="0"/>
            </w:tcBorders>
            <w:shd w:val="clear" w:color="auto" w:fill="C0C0C0"/>
            <w:vAlign w:val="center"/>
          </w:tcPr>
          <w:p w14:paraId="2D601AB4">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lang w:val="en-US" w:eastAsia="zh-CN"/>
              </w:rPr>
              <w:t>18</w:t>
            </w:r>
          </w:p>
        </w:tc>
      </w:tr>
      <w:tr w14:paraId="5EF9BBB5">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Ex>
        <w:trPr>
          <w:cantSplit/>
          <w:trHeight w:val="338" w:hRule="atLeast"/>
        </w:trPr>
        <w:tc>
          <w:tcPr>
            <w:tcW w:w="3079" w:type="dxa"/>
            <w:tcBorders>
              <w:top w:val="single" w:color="FFFFFF" w:sz="4" w:space="0"/>
              <w:left w:val="single" w:color="FFFFFF" w:sz="4" w:space="0"/>
              <w:bottom w:val="single" w:color="FFFFFF" w:sz="4" w:space="0"/>
              <w:right w:val="single" w:color="FFFFFF" w:sz="6" w:space="0"/>
            </w:tcBorders>
            <w:shd w:val="clear" w:color="auto" w:fill="C0C0C0"/>
            <w:vAlign w:val="center"/>
          </w:tcPr>
          <w:p w14:paraId="2C6046FB">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综合得分</w:t>
            </w:r>
          </w:p>
        </w:tc>
        <w:tc>
          <w:tcPr>
            <w:tcW w:w="2411" w:type="dxa"/>
            <w:tcBorders>
              <w:top w:val="single" w:color="FFFFFF" w:sz="4" w:space="0"/>
              <w:left w:val="single" w:color="FFFFFF" w:sz="6" w:space="0"/>
              <w:bottom w:val="single" w:color="FFFFFF" w:sz="4" w:space="0"/>
              <w:right w:val="single" w:color="FFFFFF" w:sz="4" w:space="0"/>
            </w:tcBorders>
            <w:shd w:val="clear" w:color="auto" w:fill="C0C0C0"/>
            <w:vAlign w:val="center"/>
          </w:tcPr>
          <w:p w14:paraId="732E1075">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100.00</w:t>
            </w:r>
          </w:p>
        </w:tc>
        <w:tc>
          <w:tcPr>
            <w:tcW w:w="2995" w:type="dxa"/>
            <w:tcBorders>
              <w:top w:val="single" w:color="FFFFFF" w:sz="4" w:space="0"/>
              <w:left w:val="single" w:color="FFFFFF" w:sz="4" w:space="0"/>
              <w:bottom w:val="single" w:color="FFFFFF" w:sz="4" w:space="0"/>
              <w:right w:val="single" w:color="FFFFFF" w:sz="4" w:space="0"/>
            </w:tcBorders>
            <w:shd w:val="clear" w:color="auto" w:fill="C0C0C0"/>
            <w:vAlign w:val="center"/>
          </w:tcPr>
          <w:p w14:paraId="685457A7">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lang w:val="en-US" w:eastAsia="zh-CN"/>
              </w:rPr>
              <w:t>90</w:t>
            </w:r>
          </w:p>
        </w:tc>
      </w:tr>
    </w:tbl>
    <w:p w14:paraId="67E12EC4">
      <w:pPr>
        <w:pStyle w:val="3"/>
        <w:rPr>
          <w:rFonts w:hint="default"/>
          <w:lang w:val="en-US" w:eastAsia="zh-CN"/>
        </w:rPr>
      </w:pPr>
    </w:p>
    <w:p w14:paraId="63661920">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2.存在的问题及原因分析</w:t>
      </w:r>
    </w:p>
    <w:p w14:paraId="482BD69D">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部分项目绩效指标存在短板，设定时未充分细化，指标针对性、可衡量性不足，科学性有待提升，导致绩效评价时难以精准量化成效、追溯问题，影响绩效管理对项目的指导与优化作用。</w:t>
      </w:r>
    </w:p>
    <w:p w14:paraId="172022B6">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黑体" w:hAnsi="黑体" w:eastAsia="黑体" w:cs="宋体"/>
          <w:kern w:val="0"/>
          <w:sz w:val="32"/>
          <w:szCs w:val="32"/>
          <w:lang w:val="en-US" w:eastAsia="zh-CN"/>
        </w:rPr>
      </w:pPr>
      <w:r>
        <w:rPr>
          <w:rFonts w:hint="eastAsia" w:ascii="黑体" w:hAnsi="黑体" w:eastAsia="黑体" w:cs="宋体"/>
          <w:kern w:val="0"/>
          <w:sz w:val="32"/>
          <w:szCs w:val="32"/>
          <w:lang w:val="en-US" w:eastAsia="zh-CN"/>
        </w:rPr>
        <w:t>六、措施建议</w:t>
      </w:r>
    </w:p>
    <w:p w14:paraId="3E4949E6">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持续优化绩效目标设置，以“三定”方案明确的部门职责为基础，结合年度重点工作，逐一对接项目需求，细化量化绩效指标。从产出指标（如项目完成数量、质量标准）到效益指标（如社会效益、经济效益），分层拆解、清晰界定，让每个项目绩效指标可考核、能追溯，夯实绩效管理基础，提升财政资金使用精准度与效益。</w:t>
      </w:r>
    </w:p>
    <w:sectPr>
      <w:footerReference r:id="rId3" w:type="default"/>
      <w:pgSz w:w="11906" w:h="16838"/>
      <w:pgMar w:top="1911" w:right="1474" w:bottom="1882"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A23C9B">
    <w:pPr>
      <w:pStyle w:val="6"/>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B86B9B0">
                          <w:pPr>
                            <w:pStyle w:val="6"/>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7 -</w:t>
                          </w:r>
                          <w:r>
                            <w:rPr>
                              <w:rFonts w:ascii="宋体" w:hAnsi="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zSVju0AAAAAUBAAAPAAAAAAAAAAEAIAAAACIAAABkcnMvZG93&#10;bnJldi54bWxQSwECFAAUAAAACACHTuJAf/p5G88BAACkAwAADgAAAAAAAAABACAAAAAfAQAAZHJz&#10;L2Uyb0RvYy54bWxQSwUGAAAAAAYABgBZAQAAYAUAAAAA&#10;">
              <v:fill on="f" focussize="0,0"/>
              <v:stroke on="f" weight="0.5pt"/>
              <v:imagedata o:title=""/>
              <o:lock v:ext="edit" aspectratio="f"/>
              <v:textbox inset="0mm,0mm,0mm,0mm" style="mso-fit-shape-to-text:t;">
                <w:txbxContent>
                  <w:p w14:paraId="6B86B9B0">
                    <w:pPr>
                      <w:pStyle w:val="6"/>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7 -</w:t>
                    </w:r>
                    <w:r>
                      <w:rPr>
                        <w:rFonts w:ascii="宋体" w:hAnsi="宋体"/>
                        <w:sz w:val="28"/>
                        <w:szCs w:val="28"/>
                      </w:rPr>
                      <w:fldChar w:fldCharType="end"/>
                    </w:r>
                  </w:p>
                </w:txbxContent>
              </v:textbox>
            </v:shape>
          </w:pict>
        </mc:Fallback>
      </mc:AlternateContent>
    </w:r>
  </w:p>
  <w:p w14:paraId="626E878B">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4A2DE9"/>
    <w:multiLevelType w:val="singleLevel"/>
    <w:tmpl w:val="A74A2DE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F76825"/>
    <w:rsid w:val="048A29D1"/>
    <w:rsid w:val="0C1C6E9C"/>
    <w:rsid w:val="0CD5656A"/>
    <w:rsid w:val="141C0B13"/>
    <w:rsid w:val="17132BF5"/>
    <w:rsid w:val="1AD77E86"/>
    <w:rsid w:val="1C7D00AF"/>
    <w:rsid w:val="1F0A3F2F"/>
    <w:rsid w:val="29FF2861"/>
    <w:rsid w:val="30FD4EC2"/>
    <w:rsid w:val="318D33AD"/>
    <w:rsid w:val="363B9B23"/>
    <w:rsid w:val="37117919"/>
    <w:rsid w:val="3C245582"/>
    <w:rsid w:val="3FEC9037"/>
    <w:rsid w:val="44F763A1"/>
    <w:rsid w:val="4A060753"/>
    <w:rsid w:val="4A783570"/>
    <w:rsid w:val="4E726A98"/>
    <w:rsid w:val="50B96C00"/>
    <w:rsid w:val="60A9459B"/>
    <w:rsid w:val="6151253D"/>
    <w:rsid w:val="63BFEB6C"/>
    <w:rsid w:val="646B7DB9"/>
    <w:rsid w:val="650F1C13"/>
    <w:rsid w:val="73C05A2C"/>
    <w:rsid w:val="79C71671"/>
    <w:rsid w:val="7BDD144D"/>
    <w:rsid w:val="7EE5AE69"/>
    <w:rsid w:val="7FF72F09"/>
    <w:rsid w:val="7FF76825"/>
    <w:rsid w:val="9DF79557"/>
    <w:rsid w:val="AE7EC2CF"/>
    <w:rsid w:val="B52D3C34"/>
    <w:rsid w:val="CB7D99CA"/>
    <w:rsid w:val="CBEEDC17"/>
    <w:rsid w:val="CFF62AC4"/>
    <w:rsid w:val="DAEDF5A6"/>
    <w:rsid w:val="EF5F863E"/>
    <w:rsid w:val="FE5F94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index 9"/>
    <w:basedOn w:val="1"/>
    <w:next w:val="1"/>
    <w:qFormat/>
    <w:uiPriority w:val="0"/>
    <w:pPr>
      <w:ind w:left="3360" w:firstLine="420"/>
      <w:jc w:val="left"/>
    </w:pPr>
    <w:rPr>
      <w:szCs w:val="20"/>
    </w:rPr>
  </w:style>
  <w:style w:type="paragraph" w:styleId="3">
    <w:name w:val="Normal Indent"/>
    <w:basedOn w:val="1"/>
    <w:qFormat/>
    <w:uiPriority w:val="0"/>
    <w:pPr>
      <w:widowControl w:val="0"/>
      <w:ind w:firstLine="420"/>
      <w:jc w:val="both"/>
    </w:pPr>
    <w:rPr>
      <w:rFonts w:ascii="Times New Roman" w:hAnsi="Times New Roman" w:eastAsia="宋体" w:cs="Times New Roman"/>
      <w:kern w:val="2"/>
      <w:sz w:val="21"/>
      <w:lang w:val="en-US" w:eastAsia="zh-CN" w:bidi="ar-SA"/>
    </w:rPr>
  </w:style>
  <w:style w:type="paragraph" w:styleId="4">
    <w:name w:val="Body Text"/>
    <w:basedOn w:val="1"/>
    <w:next w:val="5"/>
    <w:qFormat/>
    <w:uiPriority w:val="0"/>
    <w:pPr>
      <w:ind w:firstLine="640" w:firstLineChars="200"/>
    </w:pPr>
    <w:rPr>
      <w:szCs w:val="22"/>
    </w:rPr>
  </w:style>
  <w:style w:type="paragraph" w:customStyle="1" w:styleId="5">
    <w:name w:val="目录 11"/>
    <w:next w:val="1"/>
    <w:qFormat/>
    <w:uiPriority w:val="0"/>
    <w:pPr>
      <w:wordWrap w:val="0"/>
      <w:snapToGrid w:val="0"/>
      <w:spacing w:line="560" w:lineRule="exact"/>
      <w:ind w:firstLine="880" w:firstLineChars="200"/>
      <w:jc w:val="both"/>
    </w:pPr>
    <w:rPr>
      <w:rFonts w:ascii="Times New Roman" w:hAnsi="Times New Roman" w:eastAsia="宋体" w:cs="Times New Roman"/>
      <w:sz w:val="32"/>
      <w:szCs w:val="21"/>
      <w:lang w:val="en-US" w:eastAsia="zh-CN" w:bidi="ar-SA"/>
    </w:rPr>
  </w:style>
  <w:style w:type="paragraph" w:styleId="6">
    <w:name w:val="footer"/>
    <w:qFormat/>
    <w:uiPriority w:val="99"/>
    <w:pPr>
      <w:widowControl w:val="0"/>
      <w:tabs>
        <w:tab w:val="center" w:pos="4153"/>
        <w:tab w:val="right" w:pos="8306"/>
      </w:tabs>
      <w:snapToGrid w:val="0"/>
    </w:pPr>
    <w:rPr>
      <w:rFonts w:ascii="Times New Roman" w:hAnsi="Times New Roman" w:eastAsia="宋体" w:cs="Times New Roman"/>
      <w:kern w:val="2"/>
      <w:sz w:val="18"/>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3687</Words>
  <Characters>3757</Characters>
  <Lines>0</Lines>
  <Paragraphs>0</Paragraphs>
  <TotalTime>0</TotalTime>
  <ScaleCrop>false</ScaleCrop>
  <LinksUpToDate>false</LinksUpToDate>
  <CharactersWithSpaces>3765</CharactersWithSpaces>
  <Application>WPS Office_12.1.22553.22553_F1E327BC-269C-435d-A152-05C5408002CA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2025-08-29T02:30:00Z</dcterms:created>
  <dc:creator>Chocola_LITTLE</dc:creator>
  <cp:lastModifiedBy>Chocola_LITTLE</cp:lastModifiedBy>
  <dcterms:modified xsi:type="dcterms:W3CDTF">2025-09-17T19:57:06Z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2052-12.1.22553.22553</vt:lpwstr>
  </property>
  <property fmtid="{D5CDD505-2E9C-101B-9397-08002B2CF9AE}" pid="3" name="ICV">
    <vt:lpwstr>33A122A577BFE2582DBFAF68F6CD3C4F_41</vt:lpwstr>
  </property>
  <property fmtid="{D5CDD505-2E9C-101B-9397-08002B2CF9AE}" pid="4" name="KSOTemplateDocerSaveRecord">
    <vt:lpwstr>eyJoZGlkIjoiMjViOThhNTkxNGRhZDUwMDUzNGExZmViNWYyOGY0NzciLCJ1c2VySWQiOiIxMTQwNDU3NzcxIn0=</vt:lpwstr>
  </property>
</Properties>
</file>