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北京市知识产权保护中心通州分中心知识产权法律服务采购项目支出绩效评价报告</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1、项目背景</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落实《北京市全面优化营商环境助力企业高质量发展实施方案》(京政办发〔2023〕8号)和《北京市知识产权局关于推进在“两区”建设北京市知识产权保护中心分中心的通知》(京知局〔2021〕97号)精神，充分发挥知识产权工作对副中心经济建设的支撑和促进作用，高标准建立北京市知识产权保护中心通州分中心，为通州区创新主体提供专利预审支撑、知识产权快速维权、保护协作、培训宣传等综合服务，助力企业创新，服务副中心高质量发展。</w:t>
      </w:r>
    </w:p>
    <w:p>
      <w:pPr>
        <w:numPr>
          <w:ilvl w:val="0"/>
          <w:numId w:val="0"/>
        </w:numPr>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kern w:val="2"/>
          <w:sz w:val="32"/>
          <w:szCs w:val="32"/>
          <w:lang w:val="en-US" w:eastAsia="zh-CN" w:bidi="ar-SA"/>
        </w:rPr>
        <w:t>2、</w:t>
      </w:r>
      <w:r>
        <w:rPr>
          <w:rFonts w:hint="eastAsia" w:ascii="仿宋_GB2312" w:hAnsi="仿宋_GB2312" w:eastAsia="仿宋_GB2312" w:cs="仿宋_GB2312"/>
          <w:b/>
          <w:bCs/>
          <w:sz w:val="32"/>
          <w:szCs w:val="32"/>
          <w:lang w:val="en-US" w:eastAsia="zh-CN"/>
        </w:rPr>
        <w:t>主要内容及实施情况</w:t>
      </w:r>
    </w:p>
    <w:p>
      <w:pPr>
        <w:spacing w:line="600" w:lineRule="exact"/>
        <w:ind w:firstLine="640"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按照《北京市知识产权保护中心分中心建设与运行指导手册（试行）》等要求，依托分中心建设，打造通州区知识产权综合性服务平台，构建专业化、一站式、全链条的知识产权公共服务体系</w:t>
      </w:r>
      <w:r>
        <w:rPr>
          <w:rFonts w:hint="eastAsia" w:ascii="仿宋_GB2312" w:hAnsi="仿宋_GB2312" w:eastAsia="仿宋_GB2312" w:cs="仿宋_GB2312"/>
          <w:sz w:val="32"/>
          <w:szCs w:val="32"/>
          <w:lang w:val="en-US" w:eastAsia="zh-CN"/>
        </w:rPr>
        <w:t>。为通州区创新主体提供专利预审支撑、快速维权、商标受理、知识产权咨询、培训及宣传、重点专利导航、知识产权检索等服务。</w:t>
      </w:r>
    </w:p>
    <w:p>
      <w:pPr>
        <w:spacing w:line="600" w:lineRule="exact"/>
        <w:ind w:firstLine="640" w:firstLineChars="200"/>
        <w:rPr>
          <w:rFonts w:hint="eastAsia" w:ascii="仿宋_GB2312" w:eastAsia="仿宋_GB2312"/>
          <w:bCs/>
          <w:sz w:val="32"/>
          <w:szCs w:val="32"/>
        </w:rPr>
      </w:pPr>
      <w:r>
        <w:rPr>
          <w:rFonts w:hint="eastAsia" w:ascii="仿宋_GB2312" w:eastAsia="仿宋_GB2312"/>
          <w:bCs/>
          <w:sz w:val="32"/>
          <w:szCs w:val="32"/>
          <w:lang w:eastAsia="zh-CN"/>
        </w:rPr>
        <w:t>项目</w:t>
      </w:r>
      <w:r>
        <w:rPr>
          <w:rFonts w:hint="eastAsia" w:ascii="仿宋_GB2312" w:eastAsia="仿宋_GB2312"/>
          <w:bCs/>
          <w:sz w:val="32"/>
          <w:szCs w:val="32"/>
        </w:rPr>
        <w:t>采取“政府部门指导+服务团队运营”的模式组织</w:t>
      </w:r>
      <w:r>
        <w:rPr>
          <w:rFonts w:hint="eastAsia" w:ascii="仿宋_GB2312" w:eastAsia="仿宋_GB2312"/>
          <w:bCs/>
          <w:sz w:val="32"/>
          <w:szCs w:val="32"/>
          <w:lang w:eastAsia="zh-CN"/>
        </w:rPr>
        <w:t>支行</w:t>
      </w:r>
      <w:r>
        <w:rPr>
          <w:rFonts w:hint="eastAsia" w:ascii="仿宋_GB2312" w:eastAsia="仿宋_GB2312"/>
          <w:bCs/>
          <w:sz w:val="32"/>
          <w:szCs w:val="32"/>
        </w:rPr>
        <w:t>。由通州区</w:t>
      </w:r>
      <w:r>
        <w:rPr>
          <w:rFonts w:hint="eastAsia" w:ascii="仿宋_GB2312" w:eastAsia="仿宋_GB2312"/>
          <w:bCs/>
          <w:sz w:val="32"/>
          <w:szCs w:val="32"/>
          <w:lang w:eastAsia="zh-CN"/>
        </w:rPr>
        <w:t>市场监督管理</w:t>
      </w:r>
      <w:r>
        <w:rPr>
          <w:rFonts w:hint="eastAsia" w:ascii="仿宋_GB2312" w:eastAsia="仿宋_GB2312"/>
          <w:bCs/>
          <w:sz w:val="32"/>
          <w:szCs w:val="32"/>
        </w:rPr>
        <w:t>牵头统筹，作为政府指导方，负责指导通州分中心各项工作正常开展，同时引入专业服务团队负责日常工作的运营支撑。</w:t>
      </w:r>
    </w:p>
    <w:p>
      <w:pPr>
        <w:spacing w:line="600" w:lineRule="exact"/>
        <w:ind w:firstLine="640" w:firstLineChars="200"/>
        <w:rPr>
          <w:rFonts w:hint="default" w:ascii="仿宋_GB2312" w:eastAsia="仿宋_GB2312"/>
          <w:bCs/>
          <w:sz w:val="32"/>
          <w:szCs w:val="32"/>
          <w:lang w:val="en-US" w:eastAsia="zh-CN"/>
        </w:rPr>
      </w:pPr>
      <w:r>
        <w:rPr>
          <w:rFonts w:hint="eastAsia" w:ascii="仿宋_GB2312" w:hAnsi="仿宋_GB2312" w:eastAsia="仿宋_GB2312" w:cs="仿宋_GB2312"/>
          <w:color w:val="000000"/>
          <w:sz w:val="32"/>
          <w:szCs w:val="32"/>
          <w:lang w:val="en-US" w:eastAsia="zh-CN"/>
        </w:rPr>
        <w:t>2023年10月区政府正式批准设立分中心。2023年10月24日委托北京汇诚金桥国际招标咨询有限公司以竞争性磋商方式对北京市知识产权保护中心通州分中心知识产权法律服务采购项目进行招投标代理；2023年10月26日由北京汇诚金桥国际招标咨询有限公司发布北京市知识产权保护中心通州分中心知识产权法律服务采购项目竞争性磋商公告，公告期至2023年11月8日，截至公告期结束共有北京星通盈泰知识产权代理有限公司、北京华姜知识产权代理有限公司、北京亦庄科技创新有限公司三家企业递交了响应文件；2023年11月8日北京汇诚金桥国际招标咨询有限公司组织了专家磋商、评审工作，经磋商和综合评分北京亦庄科技创新有限公司以91.21分排名第一。2023年11月13日经我局第41次党组会审议通过后，北京汇诚金桥国际招标咨询有限公司于当日向北京亦庄科技创新有限公司发放了《成交通知书》，中标金额149.8万元。2023年11月20日我局与北京亦庄科技创新有限公司签订政府采购</w:t>
      </w:r>
      <w:r>
        <w:rPr>
          <w:rFonts w:hint="eastAsia" w:ascii="仿宋" w:hAnsi="仿宋" w:eastAsia="仿宋" w:cs="仿宋"/>
          <w:color w:val="000000"/>
          <w:sz w:val="32"/>
          <w:szCs w:val="32"/>
          <w:lang w:val="en-US" w:eastAsia="zh-CN"/>
        </w:rPr>
        <w:t>合同，</w:t>
      </w:r>
      <w:r>
        <w:rPr>
          <w:rFonts w:hint="eastAsia" w:ascii="仿宋_GB2312" w:hAnsi="仿宋_GB2312" w:eastAsia="仿宋_GB2312" w:cs="仿宋_GB2312"/>
          <w:color w:val="000000"/>
          <w:sz w:val="32"/>
          <w:szCs w:val="32"/>
          <w:lang w:val="en-US" w:eastAsia="zh-CN"/>
        </w:rPr>
        <w:t>2023年11月21日我局与市知识产权保护中心签署《北京市知识产权保护中心通州分中心共建协议》</w:t>
      </w:r>
      <w:r>
        <w:rPr>
          <w:rFonts w:hint="eastAsia" w:ascii="仿宋" w:hAnsi="仿宋" w:eastAsia="仿宋" w:cs="仿宋"/>
          <w:color w:val="000000"/>
          <w:sz w:val="32"/>
          <w:szCs w:val="32"/>
          <w:lang w:val="en-US" w:eastAsia="zh-CN"/>
        </w:rPr>
        <w:t>。2025年1月15日，</w:t>
      </w:r>
      <w:r>
        <w:rPr>
          <w:rFonts w:hint="eastAsia" w:ascii="仿宋" w:hAnsi="仿宋" w:eastAsia="仿宋" w:cs="仿宋"/>
          <w:sz w:val="32"/>
          <w:szCs w:val="32"/>
          <w:lang w:val="en-US" w:eastAsia="zh-CN"/>
        </w:rPr>
        <w:t>成立了由主管局长、知识产权科和知识产权中心主要负责人组成的项目验收组，组织召开了项目验收会，听取项目承担单位针对项目完成情况的汇报，核验了证明材料，项目已按照合同约定条款，完成所有项目内容，同意通过验收。</w:t>
      </w:r>
    </w:p>
    <w:p>
      <w:pPr>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3、资金投入情况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北京市知识产权保护中心通州分中心知识产权法律服务采购项目总金额</w:t>
      </w:r>
      <w:r>
        <w:rPr>
          <w:rFonts w:hint="eastAsia" w:ascii="仿宋_GB2312" w:hAnsi="仿宋_GB2312" w:eastAsia="仿宋_GB2312" w:cs="仿宋_GB2312"/>
          <w:sz w:val="32"/>
          <w:szCs w:val="32"/>
          <w:lang w:val="en-US" w:eastAsia="zh-CN"/>
        </w:rPr>
        <w:t>149.8</w:t>
      </w:r>
      <w:r>
        <w:rPr>
          <w:rFonts w:hint="default" w:ascii="仿宋_GB2312" w:hAnsi="仿宋_GB2312" w:eastAsia="仿宋_GB2312" w:cs="仿宋_GB2312"/>
          <w:sz w:val="32"/>
          <w:szCs w:val="32"/>
          <w:lang w:val="en-US" w:eastAsia="zh-CN"/>
        </w:rPr>
        <w:t>万元。</w:t>
      </w:r>
    </w:p>
    <w:p>
      <w:pPr>
        <w:spacing w:line="600" w:lineRule="exact"/>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w:t>
      </w:r>
      <w:r>
        <w:rPr>
          <w:rFonts w:hint="default" w:ascii="仿宋_GB2312" w:hAnsi="仿宋_GB2312" w:eastAsia="仿宋_GB2312" w:cs="仿宋_GB2312"/>
          <w:b/>
          <w:bCs/>
          <w:sz w:val="32"/>
          <w:szCs w:val="32"/>
          <w:lang w:val="en-US" w:eastAsia="zh-CN"/>
        </w:rPr>
        <w:t>资金使用情况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经政府采购，2023年11月20日，我局与北京亦庄科技创新有限公司签订了“北京市知识产权保护中心通州分中心知识产权法律服务采购项目”合同</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合同生效后，于2024年6月7日支付合同价款的70%首付款，计1048600元；2024年11月29日支付合同价款的25%中期款项，计374500元；在收到项目承担单位北京亦庄科技创新有限公司支付的项目尾款等额的保证金后，于2024年11月28日提前支付合同价款的5%尾款，计74900元</w:t>
      </w:r>
      <w:r>
        <w:rPr>
          <w:rFonts w:hint="eastAsia" w:ascii="仿宋_GB2312" w:hAnsi="仿宋_GB2312" w:eastAsia="仿宋_GB2312" w:cs="仿宋_GB2312"/>
          <w:sz w:val="32"/>
          <w:szCs w:val="32"/>
          <w:lang w:val="en-US" w:eastAsia="zh-CN"/>
        </w:rPr>
        <w:t>。2024年已支付合同总价款149.8万元。</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kern w:val="2"/>
          <w:sz w:val="32"/>
          <w:szCs w:val="32"/>
          <w:lang w:val="en-US" w:eastAsia="zh-CN" w:bidi="ar-SA"/>
        </w:rPr>
        <w:t>（二）</w:t>
      </w:r>
      <w:r>
        <w:rPr>
          <w:rFonts w:hint="eastAsia" w:ascii="楷体_GB2312" w:hAnsi="楷体_GB2312" w:eastAsia="楷体_GB2312" w:cs="楷体_GB2312"/>
          <w:sz w:val="32"/>
          <w:szCs w:val="32"/>
        </w:rPr>
        <w:t>项目绩效目标</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构建分中心框架：组建分中心团队；</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专利预审支撑服务：协助北京市知识产权保护中心为通州区创新主体提供预审备案、专利申请预审、专利复审无效预审服务不少于340件次；</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快速维权服务：为通州区创新主体提供知识产权纠纷调解、知识产权快速维权等法律服务不少于60件次；</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商标受理服务：受理申请人直接提交的商标注册、续展、注销、变更、转让等申请，受理注册商标专用权质权登记申请不少于700件次；</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知识产权咨询服务：为通州区创新主体提供专利预审，快速维权、商标及知识产权政策等综合咨询服务10000件次；</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default" w:ascii="仿宋_GB2312" w:hAnsi="仿宋_GB2312" w:eastAsia="仿宋_GB2312" w:cs="仿宋_GB2312"/>
          <w:sz w:val="32"/>
          <w:szCs w:val="32"/>
          <w:lang w:val="en-US" w:eastAsia="zh-CN"/>
        </w:rPr>
        <w:t>知识产权培训及宣传服务：为通州区创新主体提供专题培训服务不少于15场次；前往产业园区、孵化器等场所周围开展分中心及知识产权普法宣传活动不少于5次；组织专家走访企业开展一对一咨询不少于20家次；并利用“4.26”世界知识产权日、中国专利周等重要节点，开展形式多样的活动1场；</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default" w:ascii="仿宋_GB2312" w:hAnsi="仿宋_GB2312" w:eastAsia="仿宋_GB2312" w:cs="仿宋_GB2312"/>
          <w:sz w:val="32"/>
          <w:szCs w:val="32"/>
          <w:lang w:val="en-US" w:eastAsia="zh-CN"/>
        </w:rPr>
        <w:t>专利导航服务：针对通州区特色产业开展专利导航服务1项</w:t>
      </w:r>
      <w:r>
        <w:rPr>
          <w:rFonts w:hint="eastAsia" w:ascii="仿宋_GB2312" w:hAnsi="仿宋_GB2312" w:eastAsia="仿宋_GB2312" w:cs="仿宋_GB2312"/>
          <w:sz w:val="32"/>
          <w:szCs w:val="32"/>
          <w:lang w:val="en-US" w:eastAsia="zh-CN"/>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（一）绩效评价目的、对象和范围</w:t>
      </w:r>
    </w:p>
    <w:p>
      <w:pPr>
        <w:spacing w:line="600" w:lineRule="exact"/>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1、目的</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本次绩效评价旨在全面评估北京市知识产权保护中心通州分中心知识产权法律服务采购项目的实施效果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确保项目资金的合理使用，提高公共服务的质量和效率，通过总结经验教训为后续类似项目的规划和执行提供参考依据，同时促进政府资源的有效配置，提升公众满意度。</w:t>
      </w:r>
    </w:p>
    <w:p>
      <w:pPr>
        <w:numPr>
          <w:ilvl w:val="0"/>
          <w:numId w:val="0"/>
        </w:numPr>
        <w:spacing w:line="600" w:lineRule="exact"/>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2、</w:t>
      </w:r>
      <w:r>
        <w:rPr>
          <w:rFonts w:hint="eastAsia" w:ascii="仿宋_GB2312" w:hAnsi="仿宋_GB2312" w:eastAsia="仿宋_GB2312" w:cs="仿宋_GB2312"/>
          <w:b/>
          <w:bCs/>
          <w:color w:val="auto"/>
          <w:sz w:val="32"/>
          <w:szCs w:val="32"/>
          <w:highlight w:val="none"/>
          <w:lang w:val="en-US" w:eastAsia="zh-CN"/>
        </w:rPr>
        <w:t>评价对象</w:t>
      </w:r>
    </w:p>
    <w:p>
      <w:pPr>
        <w:spacing w:line="60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本次绩效评价的对象是北京市知识产权保护中心通州分中心知识产权法律服务采购项目，该项目由北京市通州区市场监督管理局负责实施，并委托北京亦庄科技创新有限公司作为服务供应商来完成具体的运营服务工作。</w:t>
      </w:r>
    </w:p>
    <w:p>
      <w:pPr>
        <w:numPr>
          <w:ilvl w:val="0"/>
          <w:numId w:val="0"/>
        </w:numPr>
        <w:spacing w:line="600" w:lineRule="exact"/>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3、</w:t>
      </w:r>
      <w:r>
        <w:rPr>
          <w:rFonts w:hint="eastAsia" w:ascii="仿宋_GB2312" w:hAnsi="仿宋_GB2312" w:eastAsia="仿宋_GB2312" w:cs="仿宋_GB2312"/>
          <w:b/>
          <w:bCs/>
          <w:color w:val="auto"/>
          <w:sz w:val="32"/>
          <w:szCs w:val="32"/>
          <w:highlight w:val="none"/>
          <w:lang w:val="en-US" w:eastAsia="zh-CN"/>
        </w:rPr>
        <w:t>评价范围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评价范围涵盖了从项目立项决策到最终绩效达成度的所有环节，包括但不限于以下方面：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项目背景与目标设定：审查项目设立的政策依据及预期达到的具体成果。</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预算执行：检查年度预算安排是否科学合理，以及实际支出情况。</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合同签订与履行：评估政府采购流程的合规性及合同条款的落实状况。</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服务质量控制：考察所提供的各项服务是否符合既定标准和服务对象的需求。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社会经济效益：分析项目对区域经济和社会发展的贡献程度。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服务对象满意度：调查企业及其他利益相关方对于所提供服务的认可程度。</w:t>
      </w:r>
    </w:p>
    <w:p>
      <w:pPr>
        <w:numPr>
          <w:ilvl w:val="0"/>
          <w:numId w:val="0"/>
        </w:numPr>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kern w:val="2"/>
          <w:sz w:val="32"/>
          <w:szCs w:val="32"/>
          <w:highlight w:val="none"/>
          <w:lang w:val="en-US" w:eastAsia="zh-CN" w:bidi="ar-SA"/>
        </w:rPr>
        <w:t>（二）</w:t>
      </w:r>
      <w:r>
        <w:rPr>
          <w:rFonts w:hint="eastAsia" w:ascii="楷体_GB2312" w:hAnsi="楷体_GB2312" w:eastAsia="楷体_GB2312" w:cs="楷体_GB2312"/>
          <w:color w:val="auto"/>
          <w:sz w:val="32"/>
          <w:szCs w:val="32"/>
          <w:highlight w:val="none"/>
        </w:rPr>
        <w:t>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1、评价原则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科学性：基于客观事实，采用科学合理的分析方法进行评估。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公正性：保证评价过程独立且透明，避免任何形式的利益冲突。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透明度：公开评价流程及结果，接受社会各界监督。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导向性：强调以结果为导向，关注实际成效而非形式上的完成度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2、</w:t>
      </w:r>
      <w:r>
        <w:rPr>
          <w:rFonts w:hint="eastAsia" w:ascii="仿宋_GB2312" w:hAnsi="仿宋_GB2312" w:eastAsia="仿宋_GB2312" w:cs="仿宋_GB2312"/>
          <w:b/>
          <w:bCs/>
          <w:color w:val="auto"/>
          <w:sz w:val="32"/>
          <w:szCs w:val="32"/>
          <w:highlight w:val="none"/>
          <w:lang w:val="en-US" w:eastAsia="zh-CN"/>
        </w:rPr>
        <w:t>评价指标体系、评价方法与评价标准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评价方法说明采取打分评价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各部门在收集、分析上述绩效执行信息的基础上，针对未完成绩效目标及指标，需在“偏差原因分析及改进措施”中逐条分析说明偏离目标、不能完成目标的原因及拟采取的措施。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根据指标完成情况分为：达成预期指标、基本达成预期指标且效果较好、部分达成预期指标且有一定效果、未达成预期指标且效果较差四档，分别按照该指标对应分值区间90（含）-100分为优秀、80（含）-90分为良好、60（含）-80分为一般、60分以下为较差。90（含）-100分为优秀、80（含）-90分为良好、60（含）-80分为一般、60分以下为较差。</w:t>
      </w:r>
    </w:p>
    <w:p>
      <w:pPr>
        <w:numPr>
          <w:ilvl w:val="0"/>
          <w:numId w:val="0"/>
        </w:numPr>
        <w:spacing w:line="600" w:lineRule="exact"/>
        <w:ind w:firstLine="640" w:firstLineChars="200"/>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kern w:val="2"/>
          <w:sz w:val="32"/>
          <w:szCs w:val="32"/>
          <w:highlight w:val="none"/>
          <w:lang w:val="en-US" w:eastAsia="zh-CN" w:bidi="ar-SA"/>
        </w:rPr>
        <w:t>（三）</w:t>
      </w:r>
      <w:r>
        <w:rPr>
          <w:rFonts w:hint="eastAsia" w:ascii="楷体_GB2312" w:hAnsi="楷体_GB2312" w:eastAsia="楷体_GB2312" w:cs="楷体_GB2312"/>
          <w:color w:val="auto"/>
          <w:sz w:val="32"/>
          <w:szCs w:val="32"/>
          <w:highlight w:val="none"/>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根据统一工作安排，对2024年通州分中心项目开展全年绩效考评工作。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根据对项目前期制定的年度总体目标与绩效指标综合打分，本项目得分为100分，评价结果为优秀，达成预期指标。</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我局向区财政局申请设立北京市知识产权保护中心分中心资金，经财政局预算评审，</w:t>
      </w:r>
      <w:r>
        <w:rPr>
          <w:rFonts w:hint="eastAsia" w:ascii="仿宋_GB2312" w:hAnsi="仿宋_GB2312" w:eastAsia="仿宋_GB2312" w:cs="仿宋_GB2312"/>
          <w:sz w:val="32"/>
          <w:szCs w:val="32"/>
          <w:lang w:val="en-US" w:eastAsia="zh-CN"/>
        </w:rPr>
        <w:t>预算金额150万元。2023年10月26日，发布北京市知识产权保护中心通州分中心知识产权法律服务采购项目竞争性磋商公告，经过竞争性磋商，2023年11月13日发布北京市知识产权保护中心通州分中心知识产权法律服务采购项目成交公告，中标成交金额149.8万元，并通过会议审议</w:t>
      </w:r>
      <w:r>
        <w:rPr>
          <w:rFonts w:hint="eastAsia" w:ascii="仿宋_GB2312" w:hAnsi="仿宋_GB2312" w:eastAsia="仿宋_GB2312" w:cs="仿宋_GB2312"/>
          <w:sz w:val="32"/>
          <w:szCs w:val="32"/>
        </w:rPr>
        <w:t>，纳入年度预算。2023年11月20日，我局与北京亦庄科技创新有限公司签订了“北京市知识产权保护中心通州分中心知识产权法律服务采购项目”合同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合同金额149.8万元</w:t>
      </w:r>
      <w:r>
        <w:rPr>
          <w:rFonts w:hint="eastAsia" w:ascii="仿宋_GB2312" w:hAnsi="仿宋_GB2312" w:eastAsia="仿宋_GB2312" w:cs="仿宋_GB2312"/>
          <w:sz w:val="32"/>
          <w:szCs w:val="32"/>
          <w:lang w:eastAsia="zh-CN"/>
        </w:rPr>
        <w:t>。</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项目过程情况</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过前期工作，签订合同后，在区政数局的大力支持下，完成了办公场所快速装修改造，完成了办公设备用品的采购安装，组建了分中心团队，北京市知识产权保护中心通州分中心于2023年11月30日在区政务服务中心挂牌试运行，2024年4月23日正式揭牌。</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有效支撑市级保护中心下放的各项业务，规范各业务和人员管理，结合运营场地各项规章制度，制定通州分中心内部规章管理制度和工作机制5项，组建通州分中心运营团队，保障具体业务落实。梳理业务工作流程，编写知识产权办事指南，指导窗口人员办理各项业务，遵守保护中心保密制度，通州分中心预审工作人员与通州区市场监督管理局、分中心承办单位、北京市知识产权保护中心签订了四方保密协议。</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月23日，在北京市知识产权局、北京市知识产权保护中心的指导和帮助下，通州分中心正式揭牌，将市级层面的专利预审、快速维权、专利申请事务咨询等相关服务延伸至通州区，高效集成、协同服务，积极开展专利预审支撑服务，帮助企业专利申请进入国家知识产权局快速审查“绿色通道”。2024年，</w:t>
      </w:r>
      <w:r>
        <w:rPr>
          <w:rFonts w:hint="eastAsia" w:ascii="仿宋_GB2312" w:hAnsi="仿宋_GB2312" w:eastAsia="仿宋_GB2312" w:cs="仿宋_GB2312"/>
          <w:sz w:val="32"/>
          <w:szCs w:val="32"/>
          <w:lang w:val="en-US" w:eastAsia="zh-CN"/>
        </w:rPr>
        <w:t>为</w:t>
      </w:r>
      <w:r>
        <w:rPr>
          <w:rFonts w:hint="default" w:ascii="仿宋_GB2312" w:hAnsi="仿宋_GB2312" w:eastAsia="仿宋_GB2312" w:cs="仿宋_GB2312"/>
          <w:sz w:val="32"/>
          <w:szCs w:val="32"/>
          <w:lang w:val="en-US" w:eastAsia="zh-CN"/>
        </w:rPr>
        <w:t>阿贝龙、聚龙科技等创新主体专利预审</w:t>
      </w:r>
      <w:r>
        <w:rPr>
          <w:rFonts w:hint="eastAsia" w:ascii="仿宋_GB2312" w:hAnsi="仿宋_GB2312" w:eastAsia="仿宋_GB2312" w:cs="仿宋_GB2312"/>
          <w:sz w:val="32"/>
          <w:szCs w:val="32"/>
          <w:lang w:val="en-US" w:eastAsia="zh-CN"/>
        </w:rPr>
        <w:t>支撑</w:t>
      </w:r>
      <w:r>
        <w:rPr>
          <w:rFonts w:hint="default" w:ascii="仿宋_GB2312" w:hAnsi="仿宋_GB2312" w:eastAsia="仿宋_GB2312" w:cs="仿宋_GB2312"/>
          <w:sz w:val="32"/>
          <w:szCs w:val="32"/>
          <w:lang w:val="en-US" w:eastAsia="zh-CN"/>
        </w:rPr>
        <w:t>服务</w:t>
      </w:r>
      <w:r>
        <w:rPr>
          <w:rFonts w:hint="eastAsia" w:ascii="仿宋_GB2312" w:hAnsi="仿宋_GB2312" w:eastAsia="仿宋_GB2312" w:cs="仿宋_GB2312"/>
          <w:sz w:val="32"/>
          <w:szCs w:val="32"/>
          <w:lang w:val="en-US" w:eastAsia="zh-CN"/>
        </w:rPr>
        <w:t>660</w:t>
      </w:r>
      <w:r>
        <w:rPr>
          <w:rFonts w:hint="default" w:ascii="仿宋_GB2312" w:hAnsi="仿宋_GB2312" w:eastAsia="仿宋_GB2312" w:cs="仿宋_GB2312"/>
          <w:sz w:val="32"/>
          <w:szCs w:val="32"/>
          <w:lang w:val="en-US" w:eastAsia="zh-CN"/>
        </w:rPr>
        <w:t>件，积极服务通州区重点企业，累计为三峡集团四家子公司提供专利预审支撑服务126件，经预审合格的案件最快授权周期为51天。三峡集团作为通州区预审案件提交量最大的企业，分中心工作人员上门针对三峡集团预审案件常见问题及相关政策提供“一对一”服务，有效的提升三峡集团专利预审案件质量，为重点企业实现专利快速布局。</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积极开展知识产权快速维权服务，以首都知识产权服务业协会调解室为阵地，依托北京市知识产权保护中心、知识产权协会等专家智库资源，为通州区创新主体提供知识产权纠纷解决途径，服务通州区营商环境持续优化，为甘李药业、潞河医院等创新主体提供快速维权服务61家次。通州分中心助力保护传统文化,为唐人坊提供前员工窃取商业秘密、未经授权代加工等知识产权维权难题的解决方案，在了解到传统文化产业普遍存在的知识产权侵权问题，通州分中心迅速响应，组织专家团队深入企业，从加强在职员工保密管理、普及知识产权纠纷解决途径、保存侵权方侵权证据、适当扩大著作权申请前保护范围等方面提供建议，助力其构建更完善的知识产权保护体系，也为其他文化企业在知识产权保护与维权方面提供了宝贵的借鉴经验，对营造良好的市场秩序起到了积极的推动作用。</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通州区现有商标受理窗口的基础上，增设新的商标受理窗口，方便办事人就近办理商标各项业务。2024年，商标受理窗口共办理商标注册、质押、转让等业务1685件，业务量同比增长82.16%，提供商标等各类知识产权咨询服务10385件次。在了解北京中欧普瑞科技有限公司在商标注册方面面临的困难和驰名商标认定的想法后，分中心利用商标检索系统进行了查询比对和分析研判，就近似商标申请提出了无效宣告、撤销及复审等解决路径，同时，邀请专家对该企业驰名商标证据收集的环节也做了重要的补充，为该企业商标注册、品牌发展提供了精准帮扶。通州区商标受理窗口在提供业务办理的同时，也为企业提供商标检索及审查标准等方面的综合咨询服务，提高企业商标注册成功率。</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通州分中心积极聚合通州区服务资源，与通州区知识产权服务中心和政务中心“政管家”资源联动，帮助创新主体了解最新政策，打好服务“组合拳”，持续助力新质生产力高质量发展。2024年，组织专利侵权诉讼攻防策略、数据知识产权登记与运用等知识产权培训及宣传活动20场次；为卫达信息、中农天陆等20家企业提供知识产权“一对一”辅导，解答企业专利预审、商标检索等知识产权疑难问题60余项。在国家市场监管报、中国消费者报、北京日报、市场监督管理局等国家级、省市级宣传媒介上大力宣传分中心，通过保护中心公众号发布分中心动态12篇。开展通州区特色知识产权服务，联合武清区、廊坊市市场监督管理局共同举办“通武廊”知识产权系列培训4期，为津冀企业提供商标业务办理、知识产权咨询等服务110余家次，进一步推动京津冀知识产权一体化走深走实，促进京津冀协同发展；通过政务服务和数据管理局的直播平台举办培训活动，将通州区知识产权与政务服务职能有机结合，通过讲述“新《公司法》背景下的企业知识产权实缴出资”这一热点话题，吸引在线观众观看达1.9万人次；为上市企业、专精特新企业、瞪羚企业、高新技术企业提供知识产权服务1600余件次。</w:t>
      </w:r>
    </w:p>
    <w:p>
      <w:pPr>
        <w:numPr>
          <w:ilvl w:val="0"/>
          <w:numId w:val="2"/>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项目产出情况。</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截止到2024年12月31日，本项目数量指标完成情况如下：</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构建分中心框架：通州分中心运营团队由公司总经理张伟作为项目负责人，其人员构成包括团队负责人1人-皇锐、预审服务岗2人-兰永超、赵云鹏，商标窗口岗1人-崔钰，快速维权岗1人-陈学方。团队人员具备知识产权管理、专利审查、商标审查、知识产权咨询、法律等相关的学历和工作资历，知识产权相关的专业知识、技能符合分中心工作要求，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（2）专利预审支撑服务：为进一步提升创新主体专利申请质量，全年，通州分中心累计完成专利预审支撑服务案件660件，完成率100%；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（3）快速维权服务：为通州区创新主体提供更加便捷、高效、低成本的知识产权保护渠道，促进通州区营商环境持续优化，全年，通州分中心累计提供快速维权及咨询服务共61件次，完成率100%；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（4）商标受理服务：全年，通州分中心累计受理商标注册、质押、转让等业务1685件，完成率100%。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（5）知识产权咨询服务：全年，通州分中心累计提供知识产权咨询服务10385次，完成率100%；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（6）培训及宣传：全年，通州分中心累计组织知识产权相关培训及宣传活动20场次，提供一对一知识产权咨询服务20次，完成率100%；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（7）专利导航服务：对接调研通州区网络安全产业园区，完成网络安全产业导航报告，完成率100%；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（8）业务保障：采购用于外借企业的专利检索账号8个、专利预审支撑服务检索账号2个、商标业务检索账号1个，为区内企业提供免费的知识产权检索服务，完成率100%；</w:t>
      </w:r>
    </w:p>
    <w:p>
      <w:pPr>
        <w:spacing w:line="60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（9）提供硬件、网络及日常办公耗材等支持，保障分中心正常运转，完成率100%。</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通州分中心一年的运营，大幅加快通州区创新主体专利授权周期，对符合预审条件的专利案件的发明审查周期缩减超过85%。通过培训宣传等手段，增强全区知识产权保护意识，提升企业知识产权管理能力，促进企业自主创新，经过满意度调查，</w:t>
      </w:r>
      <w:r>
        <w:rPr>
          <w:rFonts w:hint="eastAsia" w:ascii="仿宋_GB2312" w:hAnsi="仿宋_GB2312" w:eastAsia="仿宋_GB2312" w:cs="仿宋_GB2312"/>
          <w:sz w:val="32"/>
          <w:szCs w:val="32"/>
        </w:rPr>
        <w:t>服务主体满意</w:t>
      </w:r>
      <w:r>
        <w:rPr>
          <w:rFonts w:hint="eastAsia" w:ascii="仿宋_GB2312" w:hAnsi="仿宋_GB2312" w:eastAsia="仿宋_GB2312" w:cs="仿宋_GB2312"/>
          <w:sz w:val="32"/>
          <w:szCs w:val="32"/>
          <w:lang w:val="en-US" w:eastAsia="zh-CN"/>
        </w:rPr>
        <w:t>度为100%</w:t>
      </w:r>
      <w:r>
        <w:rPr>
          <w:rFonts w:hint="eastAsia" w:ascii="仿宋_GB2312" w:hAnsi="仿宋_GB2312" w:eastAsia="仿宋_GB2312" w:cs="仿宋_GB2312"/>
          <w:sz w:val="32"/>
          <w:szCs w:val="32"/>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numPr>
          <w:ilvl w:val="0"/>
          <w:numId w:val="0"/>
        </w:numPr>
        <w:spacing w:line="600" w:lineRule="exact"/>
        <w:ind w:firstLine="640" w:firstLineChars="200"/>
        <w:rPr>
          <w:rFonts w:hint="eastAsia" w:ascii="黑体" w:hAnsi="黑体" w:eastAsia="黑体" w:cs="黑体"/>
          <w:sz w:val="32"/>
          <w:szCs w:val="32"/>
        </w:rPr>
      </w:pPr>
      <w:r>
        <w:rPr>
          <w:rFonts w:hint="eastAsia" w:ascii="黑体" w:hAnsi="黑体" w:eastAsia="黑体" w:cs="黑体"/>
          <w:kern w:val="2"/>
          <w:sz w:val="32"/>
          <w:szCs w:val="32"/>
          <w:lang w:val="en-US" w:eastAsia="zh-CN" w:bidi="ar-SA"/>
        </w:rPr>
        <w:t>六、</w:t>
      </w:r>
      <w:r>
        <w:rPr>
          <w:rFonts w:hint="eastAsia" w:ascii="黑体" w:hAnsi="黑体" w:eastAsia="黑体" w:cs="黑体"/>
          <w:sz w:val="32"/>
          <w:szCs w:val="32"/>
        </w:rPr>
        <w:t>有关建议</w:t>
      </w:r>
    </w:p>
    <w:p>
      <w:pPr>
        <w:spacing w:line="56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无。</w:t>
      </w:r>
    </w:p>
    <w:p>
      <w:pPr>
        <w:numPr>
          <w:ilvl w:val="0"/>
          <w:numId w:val="3"/>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spacing w:line="560" w:lineRule="exact"/>
        <w:ind w:firstLine="640" w:firstLineChars="200"/>
        <w:rPr>
          <w:rFonts w:hint="eastAsia" w:ascii="仿宋_GB2312" w:hAnsi="Calibri" w:eastAsia="仿宋_GB2312" w:cs="Times New Roman"/>
          <w:sz w:val="32"/>
          <w:szCs w:val="32"/>
          <w:lang w:val="en-US" w:eastAsia="zh-CN"/>
        </w:rPr>
      </w:pPr>
      <w:r>
        <w:rPr>
          <w:rFonts w:hint="eastAsia" w:ascii="仿宋_GB2312" w:hAnsi="Calibri" w:eastAsia="仿宋_GB2312" w:cs="Times New Roman"/>
          <w:sz w:val="32"/>
          <w:szCs w:val="32"/>
          <w:lang w:val="en-US" w:eastAsia="zh-CN"/>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E08443"/>
    <w:multiLevelType w:val="singleLevel"/>
    <w:tmpl w:val="CCE08443"/>
    <w:lvl w:ilvl="0" w:tentative="0">
      <w:start w:val="7"/>
      <w:numFmt w:val="chineseCounting"/>
      <w:suff w:val="nothing"/>
      <w:lvlText w:val="%1、"/>
      <w:lvlJc w:val="left"/>
      <w:rPr>
        <w:rFonts w:hint="eastAsia"/>
      </w:rPr>
    </w:lvl>
  </w:abstractNum>
  <w:abstractNum w:abstractNumId="1">
    <w:nsid w:val="14EE6703"/>
    <w:multiLevelType w:val="singleLevel"/>
    <w:tmpl w:val="14EE6703"/>
    <w:lvl w:ilvl="0" w:tentative="0">
      <w:start w:val="2"/>
      <w:numFmt w:val="chineseCounting"/>
      <w:suff w:val="nothing"/>
      <w:lvlText w:val="（%1）"/>
      <w:lvlJc w:val="left"/>
      <w:rPr>
        <w:rFonts w:hint="eastAsia"/>
      </w:rPr>
    </w:lvl>
  </w:abstractNum>
  <w:abstractNum w:abstractNumId="2">
    <w:nsid w:val="5F7AEA7C"/>
    <w:multiLevelType w:val="singleLevel"/>
    <w:tmpl w:val="5F7AEA7C"/>
    <w:lvl w:ilvl="0" w:tentative="0">
      <w:start w:val="1"/>
      <w:numFmt w:val="bullet"/>
      <w:lvlText w:val=""/>
      <w:lvlJc w:val="left"/>
      <w:pPr>
        <w:ind w:left="42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D0"/>
    <w:rsid w:val="002A580D"/>
    <w:rsid w:val="007E03D1"/>
    <w:rsid w:val="00C10D9E"/>
    <w:rsid w:val="00D635D0"/>
    <w:rsid w:val="00EE0503"/>
    <w:rsid w:val="15986C9A"/>
    <w:rsid w:val="17077FDD"/>
    <w:rsid w:val="18165131"/>
    <w:rsid w:val="1D602A16"/>
    <w:rsid w:val="26D3545C"/>
    <w:rsid w:val="3E353B43"/>
    <w:rsid w:val="4EDA5520"/>
    <w:rsid w:val="601811BD"/>
    <w:rsid w:val="68766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15</Pages>
  <Words>366</Words>
  <Characters>386</Characters>
  <Lines>3</Lines>
  <Paragraphs>1</Paragraphs>
  <TotalTime>22</TotalTime>
  <ScaleCrop>false</ScaleCrop>
  <LinksUpToDate>false</LinksUpToDate>
  <CharactersWithSpaces>386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ssdd</cp:lastModifiedBy>
  <dcterms:modified xsi:type="dcterms:W3CDTF">2025-01-21T06:37:49Z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eyJoZGlkIjoiMDQyMzJiNDkwN2YyYTE4YmZiZTY4NGQ2YWMzZTVjYzkifQ==</vt:lpwstr>
  </property>
  <property fmtid="{D5CDD505-2E9C-101B-9397-08002B2CF9AE}" pid="4" name="ICV">
    <vt:lpwstr>1438E8E7A29040F991CCC27F159C8379_12</vt:lpwstr>
  </property>
</Properties>
</file>