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消费者保护调查</w:t>
      </w:r>
      <w:r>
        <w:rPr>
          <w:rFonts w:hint="eastAsia" w:ascii="方正小标宋简体" w:eastAsia="方正小标宋简体"/>
          <w:sz w:val="36"/>
          <w:szCs w:val="36"/>
        </w:rPr>
        <w:t>）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（一）项目概况。包括项目背景、主要内容及实施情况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项目背景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立足副中心建设和发展大局，围绕提升消费环境、优化营商环境、推进诚信建设等重点工作，开展消费调查评价工作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主要内容及实施情况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为一是开展并发布实体店消费体验调查报告；二是开展并发布消费者满意度调查报告；三是调查、分析、公布投诉举报数据分析报告。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资金投入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22.06万元,2023年结转使用资金1.912万元，年底前压减2.76万元，合计执行金额21.212万元。其中2024年12月底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预算执行19.3万元，完成上年度结转1.912万元，2024年退回财政2.76万元。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项目绩效目标。包括总体目标和阶段性目标。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总体目标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立足副中心建设和发展大局，围绕提升消费环境、优化营商环境、推进诚信建设等重点工作，开展消费调查评价工作；针对调查所反映出的问题提出针对性的对策与建议，并督促整改和提升；结合调查内容，通过发布形式提出优化和改进建议，以达到促进和提升消费环境的目的。</w:t>
      </w:r>
    </w:p>
    <w:p>
      <w:pPr>
        <w:numPr>
          <w:ilvl w:val="0"/>
          <w:numId w:val="0"/>
        </w:numPr>
        <w:spacing w:line="600" w:lineRule="exact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目的是不断提高财政资金使用效益。对象和范围是消费者保护调查项目。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按照通州区市场监管局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科技与财务审计科绩效评价原则、指标体系、评价方法、评价标准全面落实。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按照通州区市场监管局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科技与财务审计科通知要求对本项目支出进行绩效评价工作。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综合评价情况及评价结论（附相关评分表）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1：项目支出评价自评表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调查项目方案已经北京市通州区市场监管局局长办公会审议通过，要求消费者协会按照工作方案推进消费者保护调查工作。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仿宋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6月底前完成了此项目预算的前期各项准备工作，签订并开始履行相关协议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11月完成压减资金审批（签订了补充协议），最终在11月底前完成全年预算资金的尾款支付。整体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调查工作完成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2024年12月底前完成了除2024年全年投诉数据分析以外两项调查工作，且效果较好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经营者整改提升数量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</w:rPr>
        <w:t>家；参与调查人员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1055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人次；改进提升对策建议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条；发现涉嫌损害消费者合法权益问题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个；调查对象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45家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次；调查项目预算≤2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2.06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，实际执行为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19.30万元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消费者合法权益得到保护；损害消费者合法权益行为有效遏制；经营者诚信度有所提升；消费者满意度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实际情况超过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A6F705"/>
    <w:multiLevelType w:val="singleLevel"/>
    <w:tmpl w:val="ABA6F70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98487B"/>
    <w:multiLevelType w:val="singleLevel"/>
    <w:tmpl w:val="0C98487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1820408"/>
    <w:multiLevelType w:val="singleLevel"/>
    <w:tmpl w:val="3182040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D0"/>
    <w:rsid w:val="002A580D"/>
    <w:rsid w:val="007E03D1"/>
    <w:rsid w:val="00C10D9E"/>
    <w:rsid w:val="00D635D0"/>
    <w:rsid w:val="00EE0503"/>
    <w:rsid w:val="18165131"/>
    <w:rsid w:val="21E637CB"/>
    <w:rsid w:val="403F6223"/>
    <w:rsid w:val="4E1E460D"/>
    <w:rsid w:val="595658A7"/>
    <w:rsid w:val="74C2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600" w:lineRule="exact"/>
    </w:pPr>
    <w:rPr>
      <w:sz w:val="2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63</Words>
  <Characters>360</Characters>
  <Lines>3</Lines>
  <Paragraphs>1</Paragraphs>
  <TotalTime>1</TotalTime>
  <ScaleCrop>false</ScaleCrop>
  <LinksUpToDate>false</LinksUpToDate>
  <CharactersWithSpaces>422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Administrator</cp:lastModifiedBy>
  <dcterms:modified xsi:type="dcterms:W3CDTF">2025-02-06T08:05:12Z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