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312" w:lineRule="auto"/>
        <w:ind w:firstLine="0" w:firstLineChars="0"/>
        <w:jc w:val="center"/>
        <w:outlineLvl w:val="1"/>
        <w:rPr>
          <w:rFonts w:hint="eastAsia" w:ascii="宋体" w:hAnsi="宋体" w:eastAsia="宋体" w:cs="宋体"/>
          <w:b/>
          <w:color w:val="auto"/>
          <w:sz w:val="52"/>
          <w:szCs w:val="52"/>
          <w:highlight w:val="none"/>
        </w:rPr>
      </w:pPr>
    </w:p>
    <w:p>
      <w:pPr>
        <w:keepNext/>
        <w:keepLines/>
        <w:spacing w:line="312" w:lineRule="auto"/>
        <w:ind w:firstLine="0" w:firstLineChars="0"/>
        <w:jc w:val="center"/>
        <w:outlineLvl w:val="1"/>
        <w:rPr>
          <w:rFonts w:hint="eastAsia" w:ascii="宋体" w:hAnsi="宋体" w:eastAsia="宋体" w:cs="宋体"/>
          <w:b/>
          <w:color w:val="auto"/>
          <w:sz w:val="52"/>
          <w:szCs w:val="5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b/>
          <w:bCs/>
          <w:sz w:val="52"/>
          <w:szCs w:val="52"/>
          <w:highlight w:val="none"/>
        </w:rPr>
      </w:pPr>
      <w:r>
        <w:rPr>
          <w:rFonts w:hint="eastAsia" w:ascii="宋体" w:hAnsi="宋体" w:eastAsia="宋体" w:cs="宋体"/>
          <w:b/>
          <w:bCs/>
          <w:sz w:val="52"/>
          <w:szCs w:val="52"/>
          <w:highlight w:val="none"/>
        </w:rPr>
        <w:t>北京市通州区财政支出项目</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b/>
          <w:bCs/>
          <w:sz w:val="52"/>
          <w:szCs w:val="52"/>
          <w:highlight w:val="none"/>
          <w:lang w:eastAsia="zh-CN"/>
        </w:rPr>
      </w:pPr>
      <w:r>
        <w:rPr>
          <w:rFonts w:hint="eastAsia" w:ascii="宋体" w:hAnsi="宋体" w:eastAsia="宋体" w:cs="宋体"/>
          <w:b/>
          <w:bCs/>
          <w:sz w:val="52"/>
          <w:szCs w:val="52"/>
          <w:highlight w:val="none"/>
        </w:rPr>
        <w:t>绩效评价报告</w:t>
      </w:r>
      <w:r>
        <w:rPr>
          <w:rFonts w:hint="eastAsia" w:ascii="宋体" w:hAnsi="宋体" w:eastAsia="宋体" w:cs="宋体"/>
          <w:b/>
          <w:bCs/>
          <w:sz w:val="52"/>
          <w:szCs w:val="52"/>
          <w:highlight w:val="none"/>
          <w:lang w:eastAsia="zh-CN"/>
        </w:rPr>
        <w:t>（</w:t>
      </w:r>
      <w:r>
        <w:rPr>
          <w:rFonts w:hint="eastAsia" w:ascii="宋体" w:hAnsi="宋体" w:eastAsia="宋体" w:cs="宋体"/>
          <w:b/>
          <w:bCs/>
          <w:sz w:val="52"/>
          <w:szCs w:val="52"/>
          <w:highlight w:val="none"/>
          <w:lang w:val="en-US" w:eastAsia="zh-CN"/>
        </w:rPr>
        <w:t>简版</w:t>
      </w:r>
      <w:r>
        <w:rPr>
          <w:rFonts w:hint="eastAsia" w:ascii="宋体" w:hAnsi="宋体" w:eastAsia="宋体" w:cs="宋体"/>
          <w:b/>
          <w:bCs/>
          <w:sz w:val="52"/>
          <w:szCs w:val="5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b/>
          <w:bCs/>
          <w:sz w:val="52"/>
          <w:szCs w:val="52"/>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420" w:lineRule="auto"/>
        <w:ind w:left="0" w:leftChars="0" w:firstLine="0" w:firstLineChars="0"/>
        <w:textAlignment w:val="auto"/>
        <w:rPr>
          <w:rFonts w:hint="eastAsia" w:ascii="宋体" w:hAnsi="宋体" w:eastAsia="宋体" w:cs="宋体"/>
          <w:sz w:val="32"/>
          <w:szCs w:val="32"/>
          <w:highlight w:val="none"/>
          <w:u w:val="single"/>
        </w:rPr>
      </w:pPr>
      <w:r>
        <w:rPr>
          <w:rFonts w:hint="eastAsia" w:ascii="宋体" w:hAnsi="宋体" w:eastAsia="宋体" w:cs="宋体"/>
          <w:b/>
          <w:bCs/>
          <w:color w:val="auto"/>
          <w:sz w:val="32"/>
          <w:szCs w:val="24"/>
          <w:highlight w:val="none"/>
          <w:u w:val="none"/>
        </w:rPr>
        <mc:AlternateContent>
          <mc:Choice Requires="wps">
            <w:drawing>
              <wp:anchor distT="0" distB="0" distL="114300" distR="114300" simplePos="0" relativeHeight="251658240" behindDoc="0" locked="0" layoutInCell="1" allowOverlap="1">
                <wp:simplePos x="0" y="0"/>
                <wp:positionH relativeFrom="column">
                  <wp:posOffset>1544955</wp:posOffset>
                </wp:positionH>
                <wp:positionV relativeFrom="paragraph">
                  <wp:posOffset>290830</wp:posOffset>
                </wp:positionV>
                <wp:extent cx="262890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2628900" cy="635"/>
                        </a:xfrm>
                        <a:prstGeom prst="line">
                          <a:avLst/>
                        </a:prstGeom>
                        <a:ln w="15875">
                          <a:noFill/>
                        </a:ln>
                        <a:effectLst/>
                      </wps:spPr>
                      <wps:bodyPr upright="true"/>
                    </wps:wsp>
                  </a:graphicData>
                </a:graphic>
              </wp:anchor>
            </w:drawing>
          </mc:Choice>
          <mc:Fallback>
            <w:pict>
              <v:line id="_x0000_s1026" o:spid="_x0000_s1026" o:spt="20" style="position:absolute;left:0pt;margin-left:121.65pt;margin-top:22.9pt;height:0.05pt;width:207pt;z-index:251658240;mso-width-relative:page;mso-height-relative:page;" filled="f" stroked="f" coordsize="21600,21600" o:gfxdata="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FgAAAGRycy9QSwECFAAUAAAACACHTuJAQLzx&#10;ANkAAAAJAQAADwAAAAAAAAABACAAAAA4AAAAZHJzL2Rvd25yZXYueG1sUEsBAhQAFAAAAAgAh07i&#10;QBUc5FiZAQAA/gIAAA4AAAAAAAAAAQAgAAAAPgEAAGRycy9lMm9Eb2MueG1sUEsFBgAAAAAGAAYA&#10;WQEAAEkFAAAAAA==&#10;">
                <v:fill on="f" focussize="0,0"/>
                <v:stroke on="f" weight="1.25pt"/>
                <v:imagedata o:title=""/>
                <o:lock v:ext="edit" aspectratio="f"/>
              </v:line>
            </w:pict>
          </mc:Fallback>
        </mc:AlternateContent>
      </w:r>
      <w:r>
        <w:rPr>
          <w:rFonts w:hint="eastAsia" w:ascii="宋体" w:hAnsi="宋体" w:eastAsia="宋体" w:cs="宋体"/>
          <w:b/>
          <w:bCs/>
          <w:color w:val="auto"/>
          <w:spacing w:val="53"/>
          <w:kern w:val="0"/>
          <w:sz w:val="32"/>
          <w:szCs w:val="24"/>
          <w:highlight w:val="none"/>
          <w:u w:val="none"/>
          <w:fitText w:val="1600" w:id="-58739520"/>
        </w:rPr>
        <w:t>主管部</w:t>
      </w:r>
      <w:r>
        <w:rPr>
          <w:rFonts w:hint="eastAsia" w:ascii="宋体" w:hAnsi="宋体" w:eastAsia="宋体" w:cs="宋体"/>
          <w:b/>
          <w:bCs/>
          <w:color w:val="auto"/>
          <w:spacing w:val="1"/>
          <w:kern w:val="0"/>
          <w:sz w:val="32"/>
          <w:szCs w:val="24"/>
          <w:highlight w:val="none"/>
          <w:u w:val="none"/>
          <w:fitText w:val="1600" w:id="-58739520"/>
        </w:rPr>
        <w:t>门</w:t>
      </w:r>
      <w:r>
        <w:rPr>
          <w:rFonts w:hint="eastAsia" w:ascii="宋体" w:hAnsi="宋体" w:eastAsia="宋体" w:cs="宋体"/>
          <w:b w:val="0"/>
          <w:bCs w:val="0"/>
          <w:color w:val="auto"/>
          <w:highlight w:val="none"/>
          <w:u w:val="single"/>
          <w:lang w:val="en-US" w:eastAsia="zh-CN"/>
        </w:rPr>
        <w:t xml:space="preserve"> </w:t>
      </w:r>
      <w:r>
        <w:rPr>
          <w:rFonts w:hint="eastAsia" w:ascii="宋体" w:hAnsi="宋体" w:eastAsia="宋体" w:cs="宋体"/>
          <w:sz w:val="32"/>
          <w:szCs w:val="32"/>
          <w:highlight w:val="none"/>
          <w:u w:val="single"/>
          <w:lang w:val="en-US" w:eastAsia="zh-CN"/>
        </w:rPr>
        <w:t>北京市通州区</w:t>
      </w:r>
      <w:r>
        <w:rPr>
          <w:rFonts w:hint="eastAsia" w:ascii="宋体" w:hAnsi="宋体" w:eastAsia="宋体" w:cs="宋体"/>
          <w:sz w:val="32"/>
          <w:szCs w:val="32"/>
          <w:highlight w:val="none"/>
          <w:u w:val="single"/>
        </w:rPr>
        <w:t>于家务</w:t>
      </w:r>
      <w:r>
        <w:rPr>
          <w:rFonts w:hint="eastAsia" w:ascii="宋体" w:hAnsi="宋体" w:eastAsia="宋体" w:cs="宋体"/>
          <w:sz w:val="32"/>
          <w:szCs w:val="32"/>
          <w:highlight w:val="none"/>
          <w:u w:val="single"/>
          <w:lang w:eastAsia="zh-CN"/>
        </w:rPr>
        <w:t>回族</w:t>
      </w:r>
      <w:r>
        <w:rPr>
          <w:rFonts w:hint="eastAsia" w:ascii="宋体" w:hAnsi="宋体" w:eastAsia="宋体" w:cs="宋体"/>
          <w:sz w:val="32"/>
          <w:szCs w:val="32"/>
          <w:highlight w:val="none"/>
          <w:u w:val="single"/>
        </w:rPr>
        <w:t>乡</w:t>
      </w:r>
      <w:r>
        <w:rPr>
          <w:rFonts w:hint="eastAsia" w:ascii="宋体" w:hAnsi="宋体" w:eastAsia="宋体" w:cs="宋体"/>
          <w:sz w:val="32"/>
          <w:szCs w:val="32"/>
          <w:highlight w:val="none"/>
          <w:u w:val="single"/>
          <w:lang w:eastAsia="zh-CN"/>
        </w:rPr>
        <w:t>人民政府</w:t>
      </w:r>
      <w:r>
        <w:rPr>
          <w:rFonts w:hint="eastAsia" w:ascii="宋体" w:hAnsi="宋体" w:eastAsia="宋体" w:cs="宋体"/>
          <w:sz w:val="32"/>
          <w:szCs w:val="32"/>
          <w:highlight w:val="none"/>
          <w:u w:val="single"/>
          <w:lang w:val="en-US" w:eastAsia="zh-CN"/>
        </w:rPr>
        <w:t xml:space="preserve">    </w:t>
      </w:r>
      <w:r>
        <w:rPr>
          <w:rFonts w:hint="eastAsia" w:ascii="宋体" w:hAnsi="宋体" w:eastAsia="宋体" w:cs="宋体"/>
          <w:sz w:val="32"/>
          <w:szCs w:val="32"/>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20" w:lineRule="auto"/>
        <w:ind w:firstLine="0" w:firstLineChars="0"/>
        <w:textAlignment w:val="auto"/>
        <w:rPr>
          <w:rFonts w:hint="eastAsia" w:ascii="宋体" w:hAnsi="宋体" w:eastAsia="宋体" w:cs="宋体"/>
          <w:b w:val="0"/>
          <w:bCs w:val="0"/>
          <w:color w:val="auto"/>
          <w:highlight w:val="none"/>
          <w:lang w:val="en-US" w:eastAsia="zh-CN"/>
        </w:rPr>
      </w:pPr>
      <w:r>
        <w:rPr>
          <w:rFonts w:hint="eastAsia" w:ascii="宋体" w:hAnsi="宋体" w:eastAsia="宋体" w:cs="宋体"/>
          <w:b/>
          <w:bCs/>
          <w:color w:val="auto"/>
          <w:sz w:val="32"/>
          <w:szCs w:val="24"/>
          <w:highlight w:val="none"/>
          <w:u w:val="none"/>
        </w:rPr>
        <mc:AlternateContent>
          <mc:Choice Requires="wps">
            <w:drawing>
              <wp:anchor distT="0" distB="0" distL="114300" distR="114300" simplePos="0" relativeHeight="251659264" behindDoc="0" locked="0" layoutInCell="1" allowOverlap="1">
                <wp:simplePos x="0" y="0"/>
                <wp:positionH relativeFrom="column">
                  <wp:posOffset>1544955</wp:posOffset>
                </wp:positionH>
                <wp:positionV relativeFrom="paragraph">
                  <wp:posOffset>304165</wp:posOffset>
                </wp:positionV>
                <wp:extent cx="2628900" cy="635"/>
                <wp:effectExtent l="0" t="0" r="0" b="0"/>
                <wp:wrapNone/>
                <wp:docPr id="4" name="直接连接符 4"/>
                <wp:cNvGraphicFramePr/>
                <a:graphic xmlns:a="http://schemas.openxmlformats.org/drawingml/2006/main">
                  <a:graphicData uri="http://schemas.microsoft.com/office/word/2010/wordprocessingShape">
                    <wps:wsp>
                      <wps:cNvCnPr/>
                      <wps:spPr>
                        <a:xfrm>
                          <a:off x="0" y="0"/>
                          <a:ext cx="2628900" cy="635"/>
                        </a:xfrm>
                        <a:prstGeom prst="line">
                          <a:avLst/>
                        </a:prstGeom>
                        <a:ln w="15875">
                          <a:noFill/>
                        </a:ln>
                        <a:effectLst/>
                      </wps:spPr>
                      <wps:bodyPr upright="true"/>
                    </wps:wsp>
                  </a:graphicData>
                </a:graphic>
              </wp:anchor>
            </w:drawing>
          </mc:Choice>
          <mc:Fallback>
            <w:pict>
              <v:line id="_x0000_s1026" o:spid="_x0000_s1026" o:spt="20" style="position:absolute;left:0pt;margin-left:121.65pt;margin-top:23.95pt;height:0.05pt;width:207pt;z-index:251659264;mso-width-relative:page;mso-height-relative:page;" filled="f" stroked="f" coordsize="21600,21600" o:gfxdata="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BYAAABkcnMvUEsBAhQAFAAAAAgAh07iQNrb&#10;AifaAAAACQEAAA8AAAAAAAAAAQAgAAAAOAAAAGRycy9kb3ducmV2LnhtbFBLAQIUABQAAAAIAIdO&#10;4kCDgMsbmQEAAP4CAAAOAAAAAAAAAAEAIAAAAD8BAABkcnMvZTJvRG9jLnhtbFBLBQYAAAAABgAG&#10;AFkBAABKBQAAAAA=&#10;">
                <v:fill on="f" focussize="0,0"/>
                <v:stroke on="f" weight="1.25pt"/>
                <v:imagedata o:title=""/>
                <o:lock v:ext="edit" aspectratio="f"/>
              </v:line>
            </w:pict>
          </mc:Fallback>
        </mc:AlternateContent>
      </w:r>
      <w:r>
        <w:rPr>
          <w:rFonts w:hint="eastAsia" w:ascii="宋体" w:hAnsi="宋体" w:eastAsia="宋体" w:cs="宋体"/>
          <w:b/>
          <w:bCs/>
          <w:color w:val="auto"/>
          <w:spacing w:val="53"/>
          <w:kern w:val="0"/>
          <w:sz w:val="32"/>
          <w:szCs w:val="24"/>
          <w:highlight w:val="none"/>
          <w:u w:val="none"/>
          <w:fitText w:val="1600" w:id="401282801"/>
        </w:rPr>
        <w:t>项目单</w:t>
      </w:r>
      <w:r>
        <w:rPr>
          <w:rFonts w:hint="eastAsia" w:ascii="宋体" w:hAnsi="宋体" w:eastAsia="宋体" w:cs="宋体"/>
          <w:b/>
          <w:bCs/>
          <w:color w:val="auto"/>
          <w:spacing w:val="1"/>
          <w:kern w:val="0"/>
          <w:sz w:val="32"/>
          <w:szCs w:val="24"/>
          <w:highlight w:val="none"/>
          <w:u w:val="none"/>
          <w:fitText w:val="1600" w:id="401282801"/>
        </w:rPr>
        <w:t>位</w:t>
      </w:r>
      <w:r>
        <w:rPr>
          <w:rFonts w:hint="eastAsia" w:ascii="宋体" w:hAnsi="宋体" w:eastAsia="宋体" w:cs="宋体"/>
          <w:b w:val="0"/>
          <w:bCs w:val="0"/>
          <w:color w:val="auto"/>
          <w:highlight w:val="none"/>
          <w:u w:val="single"/>
          <w:lang w:val="en-US" w:eastAsia="zh-CN"/>
        </w:rPr>
        <w:t xml:space="preserve"> </w:t>
      </w:r>
      <w:r>
        <w:rPr>
          <w:rFonts w:hint="eastAsia" w:ascii="宋体" w:hAnsi="宋体" w:eastAsia="宋体" w:cs="宋体"/>
          <w:sz w:val="32"/>
          <w:szCs w:val="32"/>
          <w:highlight w:val="none"/>
          <w:u w:val="single"/>
          <w:lang w:val="en-US" w:eastAsia="zh-CN"/>
        </w:rPr>
        <w:t>北京市通州区</w:t>
      </w:r>
      <w:r>
        <w:rPr>
          <w:rFonts w:hint="eastAsia" w:ascii="宋体" w:hAnsi="宋体" w:eastAsia="宋体" w:cs="宋体"/>
          <w:sz w:val="32"/>
          <w:szCs w:val="32"/>
          <w:highlight w:val="none"/>
          <w:u w:val="single"/>
        </w:rPr>
        <w:t>于家务</w:t>
      </w:r>
      <w:r>
        <w:rPr>
          <w:rFonts w:hint="eastAsia" w:ascii="宋体" w:hAnsi="宋体" w:eastAsia="宋体" w:cs="宋体"/>
          <w:sz w:val="32"/>
          <w:szCs w:val="32"/>
          <w:highlight w:val="none"/>
          <w:u w:val="single"/>
          <w:lang w:eastAsia="zh-CN"/>
        </w:rPr>
        <w:t>回族</w:t>
      </w:r>
      <w:r>
        <w:rPr>
          <w:rFonts w:hint="eastAsia" w:ascii="宋体" w:hAnsi="宋体" w:eastAsia="宋体" w:cs="宋体"/>
          <w:sz w:val="32"/>
          <w:szCs w:val="32"/>
          <w:highlight w:val="none"/>
          <w:u w:val="single"/>
        </w:rPr>
        <w:t>乡</w:t>
      </w:r>
      <w:r>
        <w:rPr>
          <w:rFonts w:hint="eastAsia" w:ascii="宋体" w:hAnsi="宋体" w:eastAsia="宋体" w:cs="宋体"/>
          <w:sz w:val="32"/>
          <w:szCs w:val="32"/>
          <w:highlight w:val="none"/>
          <w:u w:val="single"/>
          <w:lang w:eastAsia="zh-CN"/>
        </w:rPr>
        <w:t>人民政府</w:t>
      </w:r>
      <w:r>
        <w:rPr>
          <w:rFonts w:hint="eastAsia" w:ascii="宋体" w:hAnsi="宋体" w:eastAsia="宋体" w:cs="宋体"/>
          <w:sz w:val="32"/>
          <w:szCs w:val="32"/>
          <w:highlight w:val="none"/>
          <w:u w:val="single"/>
          <w:lang w:val="en-US" w:eastAsia="zh-CN"/>
        </w:rPr>
        <w:t xml:space="preserve">    </w:t>
      </w:r>
      <w:r>
        <w:rPr>
          <w:rFonts w:hint="eastAsia" w:ascii="宋体" w:hAnsi="宋体" w:eastAsia="宋体" w:cs="宋体"/>
          <w:sz w:val="32"/>
          <w:szCs w:val="32"/>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20" w:lineRule="auto"/>
        <w:ind w:left="0" w:leftChars="0" w:firstLine="0" w:firstLineChars="0"/>
        <w:textAlignment w:val="auto"/>
        <w:rPr>
          <w:rFonts w:hint="eastAsia" w:ascii="宋体" w:hAnsi="宋体" w:eastAsia="宋体" w:cs="宋体"/>
          <w:sz w:val="32"/>
          <w:szCs w:val="32"/>
          <w:highlight w:val="none"/>
          <w:u w:val="single"/>
        </w:rPr>
      </w:pPr>
      <w:r>
        <w:rPr>
          <w:rFonts w:hint="eastAsia" w:ascii="宋体" w:hAnsi="宋体" w:eastAsia="宋体" w:cs="宋体"/>
          <w:b/>
          <w:bCs/>
          <w:color w:val="auto"/>
          <w:sz w:val="32"/>
          <w:szCs w:val="24"/>
          <w:highlight w:val="none"/>
          <w:u w:val="none"/>
        </w:rPr>
        <mc:AlternateContent>
          <mc:Choice Requires="wps">
            <w:drawing>
              <wp:anchor distT="0" distB="0" distL="114300" distR="114300" simplePos="0" relativeHeight="251660288" behindDoc="0" locked="0" layoutInCell="1" allowOverlap="1">
                <wp:simplePos x="0" y="0"/>
                <wp:positionH relativeFrom="column">
                  <wp:posOffset>1544955</wp:posOffset>
                </wp:positionH>
                <wp:positionV relativeFrom="paragraph">
                  <wp:posOffset>288925</wp:posOffset>
                </wp:positionV>
                <wp:extent cx="262890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628900" cy="635"/>
                        </a:xfrm>
                        <a:prstGeom prst="line">
                          <a:avLst/>
                        </a:prstGeom>
                        <a:ln w="15875">
                          <a:noFill/>
                        </a:ln>
                        <a:effectLst/>
                      </wps:spPr>
                      <wps:bodyPr upright="true"/>
                    </wps:wsp>
                  </a:graphicData>
                </a:graphic>
              </wp:anchor>
            </w:drawing>
          </mc:Choice>
          <mc:Fallback>
            <w:pict>
              <v:line id="_x0000_s1026" o:spid="_x0000_s1026" o:spt="20" style="position:absolute;left:0pt;margin-left:121.65pt;margin-top:22.75pt;height:0.05pt;width:207pt;z-index:251660288;mso-width-relative:page;mso-height-relative:page;" filled="f" stroked="f" coordsize="21600,21600" o:gfxdata="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BYAAABkcnMvUEsBAhQAFAAAAAgAh07iQKIX&#10;7p7aAAAACQEAAA8AAAAAAAAAAQAgAAAAOAAAAGRycy9kb3ducmV2LnhtbFBLAQIUABQAAAAIAIdO&#10;4kAsppZHmQEAAP4CAAAOAAAAAAAAAAEAIAAAAD8BAABkcnMvZTJvRG9jLnhtbFBLBQYAAAAABgAG&#10;AFkBAABKBQAAAAA=&#10;">
                <v:fill on="f" focussize="0,0"/>
                <v:stroke on="f" weight="1.25pt"/>
                <v:imagedata o:title=""/>
                <o:lock v:ext="edit" aspectratio="f"/>
              </v:line>
            </w:pict>
          </mc:Fallback>
        </mc:AlternateContent>
      </w:r>
      <w:r>
        <w:rPr>
          <w:rFonts w:hint="eastAsia" w:ascii="宋体" w:hAnsi="宋体" w:eastAsia="宋体" w:cs="宋体"/>
          <w:b/>
          <w:bCs/>
          <w:color w:val="auto"/>
          <w:spacing w:val="53"/>
          <w:kern w:val="0"/>
          <w:sz w:val="32"/>
          <w:szCs w:val="24"/>
          <w:highlight w:val="none"/>
          <w:u w:val="none"/>
          <w:fitText w:val="1600" w:id="1112382907"/>
        </w:rPr>
        <w:t>项目名</w:t>
      </w:r>
      <w:r>
        <w:rPr>
          <w:rFonts w:hint="eastAsia" w:ascii="宋体" w:hAnsi="宋体" w:eastAsia="宋体" w:cs="宋体"/>
          <w:b/>
          <w:bCs/>
          <w:color w:val="auto"/>
          <w:spacing w:val="1"/>
          <w:kern w:val="0"/>
          <w:sz w:val="32"/>
          <w:szCs w:val="24"/>
          <w:highlight w:val="none"/>
          <w:u w:val="none"/>
          <w:fitText w:val="1600" w:id="1112382907"/>
        </w:rPr>
        <w:t>称</w:t>
      </w:r>
      <w:r>
        <w:rPr>
          <w:rFonts w:hint="eastAsia" w:ascii="宋体" w:hAnsi="宋体" w:eastAsia="宋体" w:cs="宋体"/>
          <w:b w:val="0"/>
          <w:bCs w:val="0"/>
          <w:color w:val="auto"/>
          <w:highlight w:val="none"/>
        </w:rPr>
        <w:t xml:space="preserve"> </w:t>
      </w:r>
      <w:r>
        <w:rPr>
          <w:rFonts w:hint="eastAsia" w:ascii="宋体" w:hAnsi="宋体" w:eastAsia="宋体" w:cs="宋体"/>
          <w:sz w:val="32"/>
          <w:szCs w:val="32"/>
          <w:highlight w:val="none"/>
          <w:u w:val="single"/>
        </w:rPr>
        <w:t>于家务乡国际种业科技园区重点区域综合治理提升工程</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北京市通州区财政局</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9"/>
        <w:rPr>
          <w:rFonts w:hint="eastAsia" w:ascii="宋体" w:hAnsi="宋体" w:eastAsia="宋体" w:cs="宋体"/>
          <w:sz w:val="32"/>
          <w:szCs w:val="32"/>
          <w:highlight w:val="none"/>
        </w:rPr>
      </w:pPr>
      <w:r>
        <w:rPr>
          <w:rFonts w:hint="eastAsia" w:ascii="宋体" w:hAnsi="宋体" w:cs="宋体"/>
          <w:b w:val="0"/>
          <w:bCs w:val="0"/>
          <w:sz w:val="32"/>
          <w:szCs w:val="32"/>
        </w:rPr>
        <w:t>二○二四年十月</w:t>
      </w:r>
    </w:p>
    <w:p>
      <w:pPr>
        <w:spacing w:line="360" w:lineRule="auto"/>
        <w:ind w:firstLine="0" w:firstLineChars="0"/>
        <w:jc w:val="center"/>
        <w:rPr>
          <w:rFonts w:hint="eastAsia" w:ascii="宋体" w:hAnsi="宋体" w:eastAsia="宋体"/>
          <w:b/>
          <w:sz w:val="32"/>
          <w:szCs w:val="32"/>
          <w:lang w:val="en-US" w:eastAsia="zh-CN"/>
        </w:rPr>
      </w:pPr>
    </w:p>
    <w:p>
      <w:pPr>
        <w:spacing w:line="360" w:lineRule="auto"/>
        <w:ind w:firstLine="0" w:firstLineChars="0"/>
        <w:jc w:val="center"/>
        <w:rPr>
          <w:rFonts w:hint="eastAsia" w:ascii="宋体" w:hAnsi="宋体" w:eastAsia="宋体"/>
          <w:b/>
          <w:sz w:val="32"/>
          <w:szCs w:val="32"/>
          <w:lang w:val="en-US" w:eastAsia="zh-CN"/>
        </w:rPr>
        <w:sectPr>
          <w:headerReference r:id="rId3" w:type="default"/>
          <w:pgSz w:w="11906" w:h="16838"/>
          <w:pgMar w:top="1440" w:right="1800" w:bottom="1440" w:left="1800" w:header="851" w:footer="992" w:gutter="0"/>
          <w:pgNumType w:fmt="decimal"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9"/>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sz w:val="44"/>
          <w:szCs w:val="44"/>
          <w:highlight w:val="none"/>
        </w:rPr>
        <w:t>于家</w:t>
      </w:r>
      <w:bookmarkStart w:id="16" w:name="_GoBack"/>
      <w:r>
        <w:rPr>
          <w:rFonts w:hint="eastAsia" w:ascii="方正小标宋简体" w:hAnsi="方正小标宋简体" w:eastAsia="方正小标宋简体" w:cs="方正小标宋简体"/>
          <w:b w:val="0"/>
          <w:bCs w:val="0"/>
          <w:sz w:val="44"/>
          <w:szCs w:val="44"/>
          <w:highlight w:val="none"/>
        </w:rPr>
        <w:t>务乡国</w:t>
      </w:r>
      <w:bookmarkEnd w:id="16"/>
      <w:r>
        <w:rPr>
          <w:rFonts w:hint="eastAsia" w:ascii="方正小标宋简体" w:hAnsi="方正小标宋简体" w:eastAsia="方正小标宋简体" w:cs="方正小标宋简体"/>
          <w:b w:val="0"/>
          <w:bCs w:val="0"/>
          <w:sz w:val="44"/>
          <w:szCs w:val="44"/>
          <w:highlight w:val="none"/>
        </w:rPr>
        <w:t>际种业科技园区</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9"/>
        <w:rPr>
          <w:rFonts w:hint="eastAsia" w:ascii="方正小标宋简体" w:hAnsi="方正小标宋简体" w:eastAsia="方正小标宋简体" w:cs="方正小标宋简体"/>
          <w:b w:val="0"/>
          <w:bCs w:val="0"/>
          <w:sz w:val="44"/>
          <w:szCs w:val="44"/>
          <w:highlight w:val="none"/>
          <w:lang w:val="en-US" w:eastAsia="zh-CN"/>
        </w:rPr>
      </w:pPr>
      <w:r>
        <w:rPr>
          <w:rFonts w:hint="eastAsia" w:ascii="方正小标宋简体" w:hAnsi="方正小标宋简体" w:eastAsia="方正小标宋简体" w:cs="方正小标宋简体"/>
          <w:b w:val="0"/>
          <w:bCs w:val="0"/>
          <w:sz w:val="44"/>
          <w:szCs w:val="44"/>
          <w:highlight w:val="none"/>
        </w:rPr>
        <w:t>重点区域综合治理提升工程</w:t>
      </w:r>
      <w:r>
        <w:rPr>
          <w:rFonts w:hint="eastAsia" w:ascii="方正小标宋简体" w:hAnsi="方正小标宋简体" w:eastAsia="方正小标宋简体" w:cs="方正小标宋简体"/>
          <w:b w:val="0"/>
          <w:bCs w:val="0"/>
          <w:sz w:val="44"/>
          <w:szCs w:val="44"/>
          <w:highlight w:val="none"/>
          <w:lang w:val="en-US" w:eastAsia="zh-CN"/>
        </w:rPr>
        <w:t>项目</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9"/>
        <w:rPr>
          <w:rFonts w:ascii="宋体" w:hAnsi="宋体" w:eastAsia="宋体"/>
          <w:b/>
          <w:sz w:val="32"/>
          <w:szCs w:val="32"/>
        </w:rPr>
      </w:pPr>
      <w:r>
        <w:rPr>
          <w:rFonts w:hint="eastAsia" w:ascii="方正小标宋简体" w:hAnsi="方正小标宋简体" w:eastAsia="方正小标宋简体" w:cs="方正小标宋简体"/>
          <w:b w:val="0"/>
          <w:bCs w:val="0"/>
          <w:sz w:val="44"/>
          <w:szCs w:val="44"/>
          <w:highlight w:val="none"/>
        </w:rPr>
        <w:t>绩效评价报告（简版）</w:t>
      </w:r>
    </w:p>
    <w:p>
      <w:pPr>
        <w:spacing w:line="360" w:lineRule="auto"/>
        <w:ind w:firstLine="0" w:firstLineChars="0"/>
        <w:rPr>
          <w:rFonts w:ascii="仿宋_GB2312" w:hAnsi="仿宋"/>
          <w:sz w:val="32"/>
          <w:szCs w:val="32"/>
        </w:rPr>
      </w:pPr>
    </w:p>
    <w:p>
      <w:pPr>
        <w:pStyle w:val="2"/>
        <w:pageBreakBefore w:val="0"/>
        <w:widowControl w:val="0"/>
        <w:kinsoku/>
        <w:wordWrap/>
        <w:overflowPunct/>
        <w:topLinePunct w:val="0"/>
        <w:autoSpaceDE/>
        <w:autoSpaceDN/>
        <w:bidi w:val="0"/>
        <w:adjustRightInd w:val="0"/>
        <w:snapToGrid w:val="0"/>
        <w:spacing w:before="0" w:after="0" w:line="360" w:lineRule="auto"/>
        <w:ind w:firstLine="640" w:firstLineChars="200"/>
        <w:textAlignment w:val="auto"/>
        <w:rPr>
          <w:rFonts w:ascii="宋体" w:hAnsi="宋体" w:eastAsia="宋体"/>
          <w:sz w:val="32"/>
          <w:szCs w:val="32"/>
        </w:rPr>
      </w:pPr>
      <w:bookmarkStart w:id="0" w:name="_Toc419815214"/>
      <w:r>
        <w:rPr>
          <w:rFonts w:hint="eastAsia" w:ascii="黑体" w:hAnsi="黑体" w:eastAsia="黑体" w:cs="黑体"/>
          <w:b w:val="0"/>
          <w:bCs w:val="0"/>
          <w:sz w:val="32"/>
          <w:szCs w:val="32"/>
        </w:rPr>
        <w:t>一、项目概述</w:t>
      </w:r>
      <w:bookmarkEnd w:id="0"/>
    </w:p>
    <w:p>
      <w:pPr>
        <w:pStyle w:val="3"/>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eastAsia" w:ascii="楷体_GB2312" w:hAnsi="楷体_GB2312" w:eastAsia="楷体_GB2312" w:cs="楷体_GB2312"/>
          <w:b w:val="0"/>
          <w:sz w:val="32"/>
        </w:rPr>
      </w:pPr>
      <w:bookmarkStart w:id="1" w:name="_Toc419815215"/>
      <w:r>
        <w:rPr>
          <w:rFonts w:hint="eastAsia" w:ascii="楷体_GB2312" w:hAnsi="楷体_GB2312" w:eastAsia="楷体_GB2312" w:cs="楷体_GB2312"/>
          <w:b w:val="0"/>
          <w:sz w:val="32"/>
        </w:rPr>
        <w:t>（一）项目概况</w:t>
      </w:r>
      <w:bookmarkEnd w:id="1"/>
    </w:p>
    <w:p>
      <w:pPr>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kern w:val="2"/>
          <w:sz w:val="32"/>
          <w:szCs w:val="32"/>
          <w:lang w:val="en-US" w:eastAsia="zh-CN" w:bidi="ar-SA"/>
        </w:rPr>
      </w:pPr>
      <w:bookmarkStart w:id="2" w:name="_Toc419815216"/>
      <w:r>
        <w:rPr>
          <w:rFonts w:hint="eastAsia" w:ascii="仿宋_GB2312" w:hAnsi="仿宋_GB2312" w:eastAsia="仿宋_GB2312" w:cs="仿宋_GB2312"/>
          <w:kern w:val="2"/>
          <w:sz w:val="32"/>
          <w:szCs w:val="32"/>
          <w:lang w:val="en-US" w:eastAsia="zh-CN" w:bidi="ar-SA"/>
        </w:rPr>
        <w:t>为进一步支持城市副中心高质量发展，落实推进北京市“疏解整治促提升”专项行动，做好第三十届中国(北京)种业大会承办工作，于家务乡人民政府申请设立本项目，重点围绕通州区国际种业园区核心区开展架空线路整理、路面修缮、绿化提升等方面环境整治提升，建设包含4个区域：会展中心周边“八字”交通环、会展中心周边景观、于家务门户节点和于家务中心广场。本项目各建设区域均于2022年12月16日通过竣工验收，于2023年进入维修养护阶段，于2024年5月6日完成项目结算工作，及时保证了第三十届中国(北京)种业大会2023年9月11日-9月14日顺利召开。</w:t>
      </w:r>
    </w:p>
    <w:p>
      <w:pPr>
        <w:pStyle w:val="3"/>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eastAsia" w:ascii="楷体_GB2312" w:hAnsi="楷体_GB2312" w:eastAsia="楷体_GB2312" w:cs="楷体_GB2312"/>
          <w:b w:val="0"/>
          <w:sz w:val="32"/>
        </w:rPr>
      </w:pPr>
      <w:r>
        <w:rPr>
          <w:rFonts w:hint="eastAsia" w:ascii="楷体_GB2312" w:hAnsi="楷体_GB2312" w:eastAsia="楷体_GB2312" w:cs="楷体_GB2312"/>
          <w:b w:val="0"/>
          <w:sz w:val="32"/>
        </w:rPr>
        <w:t>（二）项目资金情况</w:t>
      </w:r>
      <w:bookmarkEnd w:id="2"/>
    </w:p>
    <w:p>
      <w:pPr>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kern w:val="2"/>
          <w:sz w:val="32"/>
          <w:szCs w:val="32"/>
          <w:lang w:val="en-US" w:eastAsia="zh-CN" w:bidi="ar-SA"/>
        </w:rPr>
      </w:pPr>
      <w:bookmarkStart w:id="3" w:name="_Toc419815217"/>
      <w:r>
        <w:rPr>
          <w:rFonts w:hint="eastAsia" w:ascii="仿宋_GB2312" w:hAnsi="仿宋_GB2312" w:eastAsia="仿宋_GB2312" w:cs="仿宋_GB2312"/>
          <w:kern w:val="2"/>
          <w:sz w:val="32"/>
          <w:szCs w:val="32"/>
          <w:lang w:val="en-US" w:eastAsia="zh-CN" w:bidi="ar-SA"/>
        </w:rPr>
        <w:t>2023年度申请财政预算为699.20万元，用于支付2023年工程进度款。2023年通州区财政局实际拨付699.20万元，资金到位率100%。截至2023年12月31日，项目实际支出699.20万元，用于支付包括3家施工单位和测绘、设计、造价咨询服务、监理、项目管理、实施方案编制等6家单位的合同进度款，预算执行率为100%。</w:t>
      </w:r>
    </w:p>
    <w:p>
      <w:pPr>
        <w:pStyle w:val="3"/>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eastAsia" w:ascii="楷体_GB2312" w:hAnsi="楷体_GB2312" w:eastAsia="楷体_GB2312" w:cs="楷体_GB2312"/>
          <w:b w:val="0"/>
          <w:sz w:val="32"/>
        </w:rPr>
      </w:pPr>
      <w:r>
        <w:rPr>
          <w:rFonts w:hint="eastAsia" w:ascii="楷体_GB2312" w:hAnsi="楷体_GB2312" w:eastAsia="楷体_GB2312" w:cs="楷体_GB2312"/>
          <w:b w:val="0"/>
          <w:sz w:val="32"/>
        </w:rPr>
        <w:t>（三）绩效目标</w:t>
      </w:r>
      <w:bookmarkEnd w:id="3"/>
    </w:p>
    <w:p>
      <w:pPr>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kern w:val="2"/>
          <w:sz w:val="32"/>
          <w:szCs w:val="32"/>
          <w:lang w:val="en-US" w:eastAsia="zh-CN" w:bidi="ar-SA"/>
        </w:rPr>
      </w:pPr>
      <w:bookmarkStart w:id="4" w:name="_Toc419815218"/>
      <w:r>
        <w:rPr>
          <w:rFonts w:hint="eastAsia" w:ascii="仿宋_GB2312" w:hAnsi="仿宋_GB2312" w:eastAsia="仿宋_GB2312" w:cs="仿宋_GB2312"/>
          <w:kern w:val="2"/>
          <w:sz w:val="32"/>
          <w:szCs w:val="32"/>
          <w:lang w:val="en-US" w:eastAsia="zh-CN" w:bidi="ar-SA"/>
        </w:rPr>
        <w:t>项目总体目标及年度目标均为完成项目建设，保障第30届中国（北京）种业大会顺利召开。</w:t>
      </w:r>
      <w:r>
        <w:rPr>
          <w:rFonts w:hint="eastAsia" w:ascii="仿宋_GB2312" w:hAnsi="仿宋_GB2312" w:eastAsia="仿宋_GB2312" w:cs="仿宋_GB2312"/>
          <w:kern w:val="2"/>
          <w:sz w:val="32"/>
          <w:szCs w:val="32"/>
          <w:lang w:val="en-US" w:eastAsia="zh-Hans" w:bidi="ar-SA"/>
        </w:rPr>
        <w:t>根据</w:t>
      </w:r>
      <w:r>
        <w:rPr>
          <w:rFonts w:hint="eastAsia" w:ascii="仿宋_GB2312" w:hAnsi="仿宋_GB2312" w:eastAsia="仿宋_GB2312" w:cs="仿宋_GB2312"/>
          <w:kern w:val="2"/>
          <w:sz w:val="32"/>
          <w:szCs w:val="32"/>
          <w:lang w:val="en-US" w:eastAsia="zh-CN" w:bidi="ar-SA"/>
        </w:rPr>
        <w:t>项目</w:t>
      </w:r>
      <w:r>
        <w:rPr>
          <w:rFonts w:hint="eastAsia" w:ascii="仿宋_GB2312" w:hAnsi="仿宋_GB2312" w:eastAsia="仿宋_GB2312" w:cs="仿宋_GB2312"/>
          <w:kern w:val="2"/>
          <w:sz w:val="32"/>
          <w:szCs w:val="32"/>
          <w:lang w:val="en-US" w:eastAsia="zh-Hans" w:bidi="ar-SA"/>
        </w:rPr>
        <w:t>绩效目标，</w:t>
      </w:r>
      <w:r>
        <w:rPr>
          <w:rFonts w:hint="eastAsia" w:ascii="仿宋_GB2312" w:hAnsi="仿宋_GB2312" w:eastAsia="仿宋_GB2312" w:cs="仿宋_GB2312"/>
          <w:kern w:val="2"/>
          <w:sz w:val="32"/>
          <w:szCs w:val="32"/>
          <w:lang w:val="en-US" w:eastAsia="zh-CN" w:bidi="ar-SA"/>
        </w:rPr>
        <w:t>该</w:t>
      </w:r>
      <w:r>
        <w:rPr>
          <w:rFonts w:hint="eastAsia" w:ascii="仿宋_GB2312" w:hAnsi="仿宋_GB2312" w:eastAsia="仿宋_GB2312" w:cs="仿宋_GB2312"/>
          <w:kern w:val="2"/>
          <w:sz w:val="32"/>
          <w:szCs w:val="32"/>
          <w:lang w:val="en-US" w:eastAsia="zh-Hans" w:bidi="ar-SA"/>
        </w:rPr>
        <w:t>项目</w:t>
      </w:r>
      <w:r>
        <w:rPr>
          <w:rFonts w:hint="eastAsia" w:ascii="仿宋_GB2312" w:hAnsi="仿宋_GB2312" w:eastAsia="仿宋_GB2312" w:cs="仿宋_GB2312"/>
          <w:kern w:val="2"/>
          <w:sz w:val="32"/>
          <w:szCs w:val="32"/>
          <w:lang w:val="en-US" w:eastAsia="zh-CN" w:bidi="ar-SA"/>
        </w:rPr>
        <w:t>共设置3个一级指标，9个二级指标，9个三级指标。</w:t>
      </w:r>
    </w:p>
    <w:p>
      <w:pPr>
        <w:pStyle w:val="2"/>
        <w:pageBreakBefore w:val="0"/>
        <w:widowControl w:val="0"/>
        <w:kinsoku/>
        <w:wordWrap/>
        <w:overflowPunct/>
        <w:topLinePunct w:val="0"/>
        <w:autoSpaceDE/>
        <w:autoSpaceDN/>
        <w:bidi w:val="0"/>
        <w:adjustRightInd w:val="0"/>
        <w:snapToGrid w:val="0"/>
        <w:spacing w:before="0" w:after="0" w:line="360" w:lineRule="auto"/>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二、总体评价结论</w:t>
      </w:r>
      <w:bookmarkEnd w:id="4"/>
    </w:p>
    <w:p>
      <w:pPr>
        <w:pStyle w:val="1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于家务乡国际种业科技园区重点区域综合治理提升工程项目绩效评价综合得分85.60分，绩效级别为“良”。其中：项目决策8.40分，项目管理16.80分，项目产出36.20分，项目效益24.20分。</w:t>
      </w:r>
    </w:p>
    <w:p>
      <w:pPr>
        <w:pStyle w:val="2"/>
        <w:pageBreakBefore w:val="0"/>
        <w:widowControl w:val="0"/>
        <w:kinsoku/>
        <w:wordWrap/>
        <w:overflowPunct/>
        <w:topLinePunct w:val="0"/>
        <w:autoSpaceDE/>
        <w:autoSpaceDN/>
        <w:bidi w:val="0"/>
        <w:adjustRightInd w:val="0"/>
        <w:snapToGrid w:val="0"/>
        <w:spacing w:before="0" w:after="0" w:line="360" w:lineRule="auto"/>
        <w:ind w:firstLine="640" w:firstLineChars="200"/>
        <w:textAlignment w:val="auto"/>
        <w:rPr>
          <w:rFonts w:hint="eastAsia" w:ascii="黑体" w:hAnsi="黑体" w:eastAsia="黑体" w:cs="黑体"/>
          <w:b w:val="0"/>
          <w:bCs w:val="0"/>
          <w:sz w:val="32"/>
          <w:szCs w:val="32"/>
        </w:rPr>
      </w:pPr>
      <w:bookmarkStart w:id="5" w:name="_Toc419815225"/>
      <w:r>
        <w:rPr>
          <w:rFonts w:hint="eastAsia" w:ascii="黑体" w:hAnsi="黑体" w:eastAsia="黑体" w:cs="黑体"/>
          <w:b w:val="0"/>
          <w:bCs w:val="0"/>
          <w:sz w:val="32"/>
          <w:szCs w:val="32"/>
          <w:lang w:eastAsia="zh-CN"/>
        </w:rPr>
        <w:t>三</w:t>
      </w:r>
      <w:r>
        <w:rPr>
          <w:rFonts w:hint="eastAsia" w:ascii="黑体" w:hAnsi="黑体" w:eastAsia="黑体" w:cs="黑体"/>
          <w:b w:val="0"/>
          <w:bCs w:val="0"/>
          <w:sz w:val="32"/>
          <w:szCs w:val="32"/>
        </w:rPr>
        <w:t>、主要问题及相关建议</w:t>
      </w:r>
      <w:bookmarkEnd w:id="5"/>
      <w:r>
        <w:rPr>
          <w:rFonts w:hint="eastAsia" w:ascii="黑体" w:hAnsi="黑体" w:eastAsia="黑体" w:cs="黑体"/>
          <w:b w:val="0"/>
          <w:bCs w:val="0"/>
          <w:sz w:val="32"/>
          <w:szCs w:val="32"/>
        </w:rPr>
        <w:t xml:space="preserve"> </w:t>
      </w:r>
    </w:p>
    <w:p>
      <w:pPr>
        <w:pStyle w:val="3"/>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eastAsia" w:ascii="楷体_GB2312" w:hAnsi="楷体_GB2312" w:eastAsia="楷体_GB2312" w:cs="楷体_GB2312"/>
          <w:b w:val="0"/>
          <w:sz w:val="32"/>
        </w:rPr>
      </w:pPr>
      <w:bookmarkStart w:id="6" w:name="_Toc419815226"/>
      <w:r>
        <w:rPr>
          <w:rFonts w:hint="eastAsia" w:ascii="楷体_GB2312" w:hAnsi="楷体_GB2312" w:eastAsia="楷体_GB2312" w:cs="楷体_GB2312"/>
          <w:b w:val="0"/>
          <w:sz w:val="32"/>
        </w:rPr>
        <w:t>（一）存在的主要问题</w:t>
      </w:r>
      <w:bookmarkEnd w:id="6"/>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2"/>
        <w:rPr>
          <w:rFonts w:hint="eastAsia" w:ascii="仿宋_GB2312" w:hAnsi="仿宋_GB2312" w:eastAsia="仿宋_GB2312" w:cs="仿宋_GB2312"/>
          <w:b/>
          <w:bCs/>
          <w:color w:val="000000"/>
          <w:kern w:val="0"/>
          <w:sz w:val="32"/>
          <w:szCs w:val="32"/>
          <w:lang w:val="en-US" w:eastAsia="zh-CN"/>
        </w:rPr>
      </w:pPr>
      <w:bookmarkStart w:id="7" w:name="_Toc3035"/>
      <w:bookmarkStart w:id="8" w:name="_Toc419815227"/>
      <w:r>
        <w:rPr>
          <w:rFonts w:hint="eastAsia" w:ascii="仿宋_GB2312" w:hAnsi="仿宋_GB2312" w:eastAsia="仿宋_GB2312" w:cs="仿宋_GB2312"/>
          <w:b/>
          <w:bCs/>
          <w:color w:val="000000"/>
          <w:kern w:val="0"/>
          <w:sz w:val="32"/>
          <w:szCs w:val="32"/>
          <w:lang w:val="en-US" w:eastAsia="zh-CN"/>
        </w:rPr>
        <w:t>1.个别实施内容与项目目标定位</w:t>
      </w:r>
      <w:bookmarkEnd w:id="7"/>
      <w:r>
        <w:rPr>
          <w:rFonts w:hint="eastAsia" w:ascii="仿宋_GB2312" w:hAnsi="仿宋_GB2312" w:eastAsia="仿宋_GB2312" w:cs="仿宋_GB2312"/>
          <w:b/>
          <w:bCs/>
          <w:color w:val="000000"/>
          <w:kern w:val="0"/>
          <w:sz w:val="32"/>
          <w:szCs w:val="32"/>
          <w:lang w:val="en-US" w:eastAsia="zh-CN"/>
        </w:rPr>
        <w:t>不够吻合</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实施节点之一“于家务中心广场”建设实际地理位置未处于国际种业园周边，其设计定位为“高密度的集中居住区缺少供市民活动的公共绿地，于家务中心广场的建成可以为周围居民提供高品质休闲活动空间，提高场地使用率和公众参与感，打造成为具有生命力的开放空间，变换无穷的社区花园”，与本项目“通过提升园区基础设施建设，提升景观效果，为种业发展提供良好的空间载体，从而提升国际种业园区整体形象，做好专业化服务与支撑，为园区发展奠定基础”的建设目标关联性不高。</w:t>
      </w:r>
    </w:p>
    <w:p>
      <w:pPr>
        <w:pStyle w:val="11"/>
        <w:keepNext w:val="0"/>
        <w:keepLines w:val="0"/>
        <w:pageBreakBefore w:val="0"/>
        <w:widowControl w:val="0"/>
        <w:numPr>
          <w:ilvl w:val="0"/>
          <w:numId w:val="0"/>
        </w:numPr>
        <w:suppressLineNumbers w:val="0"/>
        <w:shd w:val="clear" w:color="auto" w:fill="auto"/>
        <w:kinsoku/>
        <w:wordWrap/>
        <w:overflowPunct/>
        <w:topLinePunct w:val="0"/>
        <w:autoSpaceDE/>
        <w:autoSpaceDN/>
        <w:bidi w:val="0"/>
        <w:adjustRightInd w:val="0"/>
        <w:snapToGrid w:val="0"/>
        <w:spacing w:after="0" w:afterAutospacing="0" w:line="360" w:lineRule="auto"/>
        <w:ind w:firstLine="642" w:firstLineChars="200"/>
        <w:jc w:val="both"/>
        <w:textAlignment w:val="auto"/>
        <w:outlineLvl w:val="2"/>
        <w:rPr>
          <w:rFonts w:hint="eastAsia" w:ascii="仿宋_GB2312" w:hAnsi="仿宋_GB2312" w:eastAsia="仿宋_GB2312" w:cs="仿宋_GB2312"/>
          <w:b/>
          <w:bCs/>
          <w:color w:val="auto"/>
          <w:kern w:val="2"/>
          <w:sz w:val="32"/>
          <w:szCs w:val="32"/>
          <w:lang w:val="en-US" w:eastAsia="zh-CN" w:bidi="ar"/>
        </w:rPr>
      </w:pPr>
      <w:bookmarkStart w:id="9" w:name="_Toc3689"/>
      <w:r>
        <w:rPr>
          <w:rFonts w:hint="eastAsia" w:ascii="仿宋_GB2312" w:hAnsi="仿宋_GB2312" w:eastAsia="仿宋_GB2312" w:cs="仿宋_GB2312"/>
          <w:b/>
          <w:bCs/>
          <w:color w:val="auto"/>
          <w:kern w:val="2"/>
          <w:sz w:val="32"/>
          <w:szCs w:val="32"/>
          <w:lang w:val="en-US" w:eastAsia="zh-CN" w:bidi="ar"/>
        </w:rPr>
        <w:t>2.项目年度绩效目标与年度预算、年度工作内容的匹配性有待加强</w:t>
      </w:r>
      <w:bookmarkEnd w:id="9"/>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绩效目标设置较为宏观、笼统，绩效指标设置主要是从项目整体施工内容出发，与年度预算及内容不完全匹配。绩效指标设定不够清晰明确，如，数量指标未明确任务工作量，成本指标未进一步细化量化，明确成本控制单价，指标可衡量性有待提升。</w:t>
      </w:r>
    </w:p>
    <w:p>
      <w:pPr>
        <w:keepNext w:val="0"/>
        <w:keepLines w:val="0"/>
        <w:pageBreakBefore w:val="0"/>
        <w:widowControl w:val="0"/>
        <w:suppressLineNumbers w:val="0"/>
        <w:shd w:val="clear" w:color="auto" w:fill="auto"/>
        <w:kinsoku/>
        <w:wordWrap/>
        <w:overflowPunct/>
        <w:topLinePunct w:val="0"/>
        <w:autoSpaceDE/>
        <w:autoSpaceDN/>
        <w:bidi w:val="0"/>
        <w:adjustRightInd w:val="0"/>
        <w:snapToGrid w:val="0"/>
        <w:spacing w:after="0" w:afterAutospacing="0" w:line="360" w:lineRule="auto"/>
        <w:ind w:left="0" w:firstLine="642" w:firstLineChars="200"/>
        <w:jc w:val="both"/>
        <w:textAlignment w:val="auto"/>
        <w:outlineLvl w:val="2"/>
        <w:rPr>
          <w:rFonts w:hint="eastAsia" w:ascii="仿宋_GB2312" w:hAnsi="仿宋_GB2312" w:eastAsia="仿宋_GB2312" w:cs="仿宋_GB2312"/>
          <w:b/>
          <w:bCs/>
          <w:color w:val="auto"/>
          <w:kern w:val="2"/>
          <w:sz w:val="32"/>
          <w:szCs w:val="32"/>
          <w:lang w:val="en-US" w:eastAsia="zh-CN" w:bidi="ar"/>
        </w:rPr>
      </w:pPr>
      <w:bookmarkStart w:id="10" w:name="_Toc13131"/>
      <w:r>
        <w:rPr>
          <w:rFonts w:hint="eastAsia" w:ascii="仿宋_GB2312" w:hAnsi="仿宋_GB2312" w:eastAsia="仿宋_GB2312" w:cs="仿宋_GB2312"/>
          <w:b/>
          <w:bCs/>
          <w:color w:val="auto"/>
          <w:kern w:val="2"/>
          <w:sz w:val="32"/>
          <w:szCs w:val="32"/>
          <w:lang w:val="en-US" w:eastAsia="zh-CN" w:bidi="ar"/>
        </w:rPr>
        <w:t>3.合同执行不够规范，项目过程管理一般</w:t>
      </w:r>
      <w:bookmarkEnd w:id="10"/>
    </w:p>
    <w:p>
      <w:pPr>
        <w:keepNext w:val="0"/>
        <w:keepLines w:val="0"/>
        <w:pageBreakBefore w:val="0"/>
        <w:widowControl w:val="0"/>
        <w:suppressLineNumbers w:val="0"/>
        <w:shd w:val="clear" w:color="auto" w:fill="auto"/>
        <w:kinsoku/>
        <w:wordWrap/>
        <w:overflowPunct/>
        <w:topLinePunct w:val="0"/>
        <w:autoSpaceDE/>
        <w:autoSpaceDN/>
        <w:bidi w:val="0"/>
        <w:adjustRightInd w:val="0"/>
        <w:snapToGrid w:val="0"/>
        <w:spacing w:after="0" w:afterAutospacing="0" w:line="360" w:lineRule="auto"/>
        <w:ind w:left="0" w:firstLine="642" w:firstLineChars="200"/>
        <w:jc w:val="both"/>
        <w:textAlignment w:val="auto"/>
        <w:rPr>
          <w:rFonts w:hint="eastAsia" w:ascii="仿宋_GB2312" w:hAnsi="仿宋_GB2312" w:eastAsia="仿宋_GB2312" w:cs="仿宋_GB2312"/>
          <w:b w:val="0"/>
          <w:bCs w:val="0"/>
          <w:color w:val="auto"/>
          <w:kern w:val="2"/>
          <w:sz w:val="32"/>
          <w:szCs w:val="32"/>
          <w:lang w:val="en-US" w:eastAsia="zh-CN" w:bidi="ar"/>
        </w:rPr>
      </w:pPr>
      <w:r>
        <w:rPr>
          <w:rFonts w:hint="eastAsia" w:ascii="仿宋_GB2312" w:hAnsi="仿宋_GB2312" w:eastAsia="仿宋_GB2312" w:cs="仿宋_GB2312"/>
          <w:b/>
          <w:bCs/>
          <w:color w:val="auto"/>
          <w:kern w:val="2"/>
          <w:sz w:val="32"/>
          <w:szCs w:val="32"/>
          <w:lang w:val="en-US" w:eastAsia="zh-CN" w:bidi="ar"/>
        </w:rPr>
        <w:t>一是资金管理有待规范。</w:t>
      </w:r>
      <w:r>
        <w:rPr>
          <w:rFonts w:hint="eastAsia" w:ascii="仿宋_GB2312" w:hAnsi="仿宋_GB2312" w:eastAsia="仿宋_GB2312" w:cs="仿宋_GB2312"/>
          <w:sz w:val="32"/>
          <w:szCs w:val="32"/>
        </w:rPr>
        <w:t>工程设计合同</w:t>
      </w:r>
      <w:r>
        <w:rPr>
          <w:rFonts w:hint="eastAsia" w:ascii="仿宋_GB2312" w:hAnsi="仿宋_GB2312" w:eastAsia="仿宋_GB2312" w:cs="仿宋_GB2312"/>
          <w:sz w:val="32"/>
          <w:szCs w:val="32"/>
          <w:lang w:val="en-US" w:eastAsia="zh-CN"/>
        </w:rPr>
        <w:t>签订金额</w:t>
      </w:r>
      <w:r>
        <w:rPr>
          <w:rFonts w:hint="eastAsia" w:ascii="仿宋_GB2312" w:hAnsi="仿宋_GB2312" w:eastAsia="仿宋_GB2312" w:cs="仿宋_GB2312"/>
          <w:sz w:val="32"/>
          <w:szCs w:val="32"/>
        </w:rPr>
        <w:t>为82.5万元，高于预算评审审定</w:t>
      </w:r>
      <w:r>
        <w:rPr>
          <w:rFonts w:hint="eastAsia" w:ascii="仿宋_GB2312" w:hAnsi="仿宋_GB2312" w:eastAsia="仿宋_GB2312" w:cs="仿宋_GB2312"/>
          <w:sz w:val="32"/>
          <w:szCs w:val="32"/>
          <w:lang w:val="en-US" w:eastAsia="zh-CN"/>
        </w:rPr>
        <w:t>金额</w:t>
      </w:r>
      <w:r>
        <w:rPr>
          <w:rFonts w:hint="eastAsia" w:ascii="仿宋_GB2312" w:hAnsi="仿宋_GB2312" w:eastAsia="仿宋_GB2312" w:cs="仿宋_GB2312"/>
          <w:sz w:val="32"/>
          <w:szCs w:val="32"/>
        </w:rPr>
        <w:t xml:space="preserve"> 71万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color w:val="auto"/>
          <w:kern w:val="2"/>
          <w:sz w:val="32"/>
          <w:szCs w:val="32"/>
          <w:lang w:val="en-US" w:eastAsia="zh-CN" w:bidi="ar"/>
        </w:rPr>
        <w:t>本项目属于市政提升性质，列支测量1:500地形图的工程勘察费用必要性不足</w:t>
      </w:r>
      <w:r>
        <w:rPr>
          <w:rFonts w:hint="eastAsia" w:ascii="仿宋_GB2312" w:hAnsi="仿宋_GB2312" w:eastAsia="仿宋_GB2312" w:cs="仿宋_GB2312"/>
          <w:sz w:val="32"/>
          <w:szCs w:val="32"/>
        </w:rPr>
        <w:t>。</w:t>
      </w:r>
      <w:r>
        <w:rPr>
          <w:rFonts w:hint="eastAsia" w:ascii="仿宋_GB2312" w:hAnsi="仿宋_GB2312" w:eastAsia="仿宋_GB2312" w:cs="仿宋_GB2312"/>
          <w:b/>
          <w:bCs/>
          <w:color w:val="auto"/>
          <w:kern w:val="2"/>
          <w:sz w:val="32"/>
          <w:szCs w:val="32"/>
          <w:lang w:val="en-US" w:eastAsia="zh-CN" w:bidi="ar"/>
        </w:rPr>
        <w:t>二是</w:t>
      </w:r>
      <w:r>
        <w:rPr>
          <w:rFonts w:hint="eastAsia" w:ascii="仿宋_GB2312" w:hAnsi="仿宋_GB2312" w:eastAsia="仿宋_GB2312" w:cs="仿宋_GB2312"/>
          <w:b w:val="0"/>
          <w:bCs w:val="0"/>
          <w:color w:val="auto"/>
          <w:kern w:val="2"/>
          <w:sz w:val="32"/>
          <w:szCs w:val="32"/>
          <w:lang w:val="en-US" w:eastAsia="zh-CN" w:bidi="ar"/>
        </w:rPr>
        <w:t>实施方案可操作性不强，对于项目绩效管理的组织实施机制、制度体系建设、过程监管、对参建单位的考核要求、项目验收方式、后期养护责任、潜在风险评估及应对、项目资金使用监管等关键环节的筹划不足。</w:t>
      </w:r>
      <w:r>
        <w:rPr>
          <w:rFonts w:hint="eastAsia" w:ascii="仿宋_GB2312" w:hAnsi="仿宋_GB2312" w:eastAsia="仿宋_GB2312" w:cs="仿宋_GB2312"/>
          <w:b/>
          <w:bCs/>
          <w:color w:val="auto"/>
          <w:kern w:val="2"/>
          <w:sz w:val="32"/>
          <w:szCs w:val="32"/>
          <w:lang w:val="en-US" w:eastAsia="zh-CN" w:bidi="ar"/>
        </w:rPr>
        <w:t>三是</w:t>
      </w:r>
      <w:r>
        <w:rPr>
          <w:rFonts w:hint="eastAsia" w:ascii="仿宋_GB2312" w:hAnsi="仿宋_GB2312" w:eastAsia="仿宋_GB2312" w:cs="仿宋_GB2312"/>
          <w:b w:val="0"/>
          <w:bCs w:val="0"/>
          <w:color w:val="auto"/>
          <w:kern w:val="2"/>
          <w:sz w:val="32"/>
          <w:szCs w:val="32"/>
          <w:lang w:val="en-US" w:eastAsia="zh-CN" w:bidi="ar"/>
        </w:rPr>
        <w:t>合同管理不够有效，如，8字交通环与中心广场施工合同、会展中心周边景观提升施工合同均未明确签订日期，且缺少</w:t>
      </w:r>
      <w:r>
        <w:rPr>
          <w:rFonts w:hint="eastAsia" w:ascii="仿宋_GB2312" w:hAnsi="仿宋_GB2312" w:eastAsia="仿宋_GB2312" w:cs="仿宋_GB2312"/>
          <w:sz w:val="32"/>
          <w:szCs w:val="32"/>
          <w:lang w:val="en-US" w:eastAsia="zh-CN"/>
        </w:rPr>
        <w:t>法人授权委托书</w:t>
      </w:r>
      <w:r>
        <w:rPr>
          <w:rFonts w:hint="eastAsia" w:ascii="仿宋_GB2312" w:hAnsi="仿宋_GB2312" w:eastAsia="仿宋_GB2312" w:cs="仿宋_GB2312"/>
          <w:b w:val="0"/>
          <w:bCs w:val="0"/>
          <w:color w:val="auto"/>
          <w:kern w:val="2"/>
          <w:sz w:val="32"/>
          <w:szCs w:val="32"/>
          <w:lang w:val="en-US" w:eastAsia="zh-CN" w:bidi="ar"/>
        </w:rPr>
        <w:t>；项目管理单位（北京北咨工程项目管理咨询有限公司）缺少成果文件;监理费未严格执行合同中“</w:t>
      </w:r>
      <w:r>
        <w:rPr>
          <w:rFonts w:hint="eastAsia" w:ascii="仿宋_GB2312" w:hAnsi="仿宋_GB2312" w:eastAsia="仿宋_GB2312" w:cs="仿宋_GB2312"/>
          <w:color w:val="auto"/>
          <w:sz w:val="32"/>
          <w:szCs w:val="32"/>
          <w:lang w:bidi="ar"/>
        </w:rPr>
        <w:t>最终结算价格如进行结算评审，以结算评审结果为准</w:t>
      </w:r>
      <w:r>
        <w:rPr>
          <w:rFonts w:hint="eastAsia" w:ascii="仿宋_GB2312" w:hAnsi="仿宋_GB2312" w:eastAsia="仿宋_GB2312" w:cs="仿宋_GB2312"/>
          <w:color w:val="auto"/>
          <w:sz w:val="32"/>
          <w:szCs w:val="32"/>
          <w:lang w:eastAsia="zh-CN" w:bidi="ar"/>
        </w:rPr>
        <w:t>；</w:t>
      </w:r>
      <w:r>
        <w:rPr>
          <w:rFonts w:hint="eastAsia" w:ascii="仿宋_GB2312" w:hAnsi="仿宋_GB2312" w:eastAsia="仿宋_GB2312" w:cs="仿宋_GB2312"/>
          <w:color w:val="auto"/>
          <w:sz w:val="32"/>
          <w:szCs w:val="32"/>
          <w:lang w:bidi="ar"/>
        </w:rPr>
        <w:t>如不进行结算评审，则以中标金额为准</w:t>
      </w:r>
      <w:r>
        <w:rPr>
          <w:rFonts w:hint="eastAsia" w:ascii="仿宋_GB2312" w:hAnsi="仿宋_GB2312" w:eastAsia="仿宋_GB2312" w:cs="仿宋_GB2312"/>
          <w:b w:val="0"/>
          <w:bCs w:val="0"/>
          <w:color w:val="auto"/>
          <w:kern w:val="2"/>
          <w:sz w:val="32"/>
          <w:szCs w:val="32"/>
          <w:lang w:val="en-US" w:eastAsia="zh-CN" w:bidi="ar"/>
        </w:rPr>
        <w:t>”的规定，未考虑2024年建设工程费结算评审工程量实际审定结果，2023年以中标价格全额支付合理性不足。</w:t>
      </w:r>
      <w:r>
        <w:rPr>
          <w:rFonts w:hint="eastAsia" w:ascii="仿宋_GB2312" w:hAnsi="仿宋_GB2312" w:eastAsia="仿宋_GB2312" w:cs="仿宋_GB2312"/>
          <w:b/>
          <w:bCs/>
          <w:color w:val="auto"/>
          <w:kern w:val="2"/>
          <w:sz w:val="32"/>
          <w:szCs w:val="32"/>
          <w:lang w:val="en-US" w:eastAsia="zh-CN" w:bidi="ar"/>
        </w:rPr>
        <w:t>四是</w:t>
      </w:r>
      <w:r>
        <w:rPr>
          <w:rFonts w:hint="eastAsia" w:ascii="仿宋_GB2312" w:hAnsi="仿宋_GB2312" w:eastAsia="仿宋_GB2312" w:cs="仿宋_GB2312"/>
          <w:b w:val="0"/>
          <w:bCs w:val="0"/>
          <w:color w:val="auto"/>
          <w:kern w:val="2"/>
          <w:sz w:val="32"/>
          <w:szCs w:val="32"/>
          <w:lang w:val="en-US" w:eastAsia="zh-CN" w:bidi="ar"/>
        </w:rPr>
        <w:t>过程监管措施不到位，如，2022年10月21日监理会议未提出需要整改的具体内容，监理单位、项目管理单位、建设单位发言内容几乎相同，监理会议效能不足；</w:t>
      </w:r>
      <w:r>
        <w:rPr>
          <w:rFonts w:hint="eastAsia" w:ascii="仿宋_GB2312" w:hAnsi="仿宋_GB2312" w:eastAsia="仿宋_GB2312" w:cs="仿宋_GB2312"/>
          <w:sz w:val="32"/>
          <w:szCs w:val="32"/>
          <w:lang w:val="en-US" w:eastAsia="zh-CN"/>
        </w:rPr>
        <w:t>项目中标通知书的落款时间（</w:t>
      </w:r>
      <w:r>
        <w:rPr>
          <w:rFonts w:hint="eastAsia" w:ascii="仿宋_GB2312" w:hAnsi="仿宋_GB2312" w:eastAsia="仿宋_GB2312" w:cs="仿宋_GB2312"/>
          <w:b w:val="0"/>
          <w:bCs w:val="0"/>
          <w:color w:val="auto"/>
          <w:kern w:val="2"/>
          <w:sz w:val="32"/>
          <w:szCs w:val="32"/>
          <w:lang w:val="en-US" w:eastAsia="zh-CN" w:bidi="ar"/>
        </w:rPr>
        <w:t>9月14日）晚于合同签订日期及合同计划开工时间和第一次监理会议时间（9月12日），程序合规性不足。</w:t>
      </w:r>
      <w:r>
        <w:rPr>
          <w:rFonts w:hint="eastAsia" w:ascii="仿宋_GB2312" w:hAnsi="仿宋_GB2312" w:eastAsia="仿宋_GB2312" w:cs="仿宋_GB2312"/>
          <w:b/>
          <w:bCs/>
          <w:color w:val="auto"/>
          <w:kern w:val="2"/>
          <w:sz w:val="32"/>
          <w:szCs w:val="32"/>
          <w:highlight w:val="none"/>
          <w:lang w:val="en-US" w:eastAsia="zh-CN" w:bidi="ar"/>
        </w:rPr>
        <w:t>五是</w:t>
      </w:r>
      <w:r>
        <w:rPr>
          <w:rFonts w:hint="eastAsia" w:ascii="仿宋_GB2312" w:hAnsi="仿宋_GB2312" w:eastAsia="仿宋_GB2312" w:cs="仿宋_GB2312"/>
          <w:b w:val="0"/>
          <w:bCs w:val="0"/>
          <w:color w:val="auto"/>
          <w:kern w:val="2"/>
          <w:sz w:val="32"/>
          <w:szCs w:val="32"/>
          <w:highlight w:val="none"/>
          <w:lang w:val="en-US" w:eastAsia="zh-CN" w:bidi="ar"/>
        </w:rPr>
        <w:t>成果验收不够规范</w:t>
      </w:r>
      <w:r>
        <w:rPr>
          <w:rFonts w:hint="eastAsia" w:ascii="仿宋_GB2312" w:hAnsi="仿宋_GB2312" w:eastAsia="仿宋_GB2312" w:cs="仿宋_GB2312"/>
          <w:b w:val="0"/>
          <w:bCs w:val="0"/>
          <w:color w:val="auto"/>
          <w:kern w:val="2"/>
          <w:sz w:val="32"/>
          <w:szCs w:val="32"/>
          <w:lang w:val="en-US" w:eastAsia="zh-CN" w:bidi="ar"/>
        </w:rPr>
        <w:t>，各方未按照“同意建设工程质量竣工验收”统一标准填写单位工程竣工验收记录，其中勘察测绘单位未在竣工验收记录上签字。</w:t>
      </w:r>
      <w:r>
        <w:rPr>
          <w:rFonts w:hint="eastAsia" w:ascii="仿宋_GB2312" w:hAnsi="仿宋_GB2312" w:eastAsia="仿宋_GB2312" w:cs="仿宋_GB2312"/>
          <w:b/>
          <w:bCs/>
          <w:color w:val="auto"/>
          <w:kern w:val="2"/>
          <w:sz w:val="32"/>
          <w:szCs w:val="32"/>
          <w:lang w:val="en-US" w:eastAsia="zh-CN" w:bidi="ar"/>
        </w:rPr>
        <w:t>六是</w:t>
      </w:r>
      <w:r>
        <w:rPr>
          <w:rFonts w:hint="eastAsia" w:ascii="仿宋_GB2312" w:hAnsi="仿宋_GB2312" w:eastAsia="仿宋_GB2312" w:cs="仿宋_GB2312"/>
          <w:b w:val="0"/>
          <w:bCs w:val="0"/>
          <w:color w:val="auto"/>
          <w:kern w:val="2"/>
          <w:sz w:val="32"/>
          <w:szCs w:val="32"/>
          <w:lang w:val="en-US" w:eastAsia="zh-CN" w:bidi="ar"/>
        </w:rPr>
        <w:t>工程后期运维管护水平有待提升，调研发现会展中心周边“八字”交通环绿化密度不够、个别区域绿植覆盖率不高，于家务中心广场水泥座台面个别破损，会展中心提升景观节点存在个别路面破损、塌陷等问题。</w:t>
      </w:r>
      <w:r>
        <w:rPr>
          <w:rFonts w:hint="eastAsia" w:ascii="仿宋_GB2312" w:hAnsi="仿宋_GB2312" w:eastAsia="仿宋_GB2312" w:cs="仿宋_GB2312"/>
          <w:b/>
          <w:bCs/>
          <w:color w:val="auto"/>
          <w:kern w:val="2"/>
          <w:sz w:val="32"/>
          <w:szCs w:val="32"/>
          <w:lang w:val="en-US" w:eastAsia="zh-CN" w:bidi="ar"/>
        </w:rPr>
        <w:t>七是</w:t>
      </w:r>
      <w:r>
        <w:rPr>
          <w:rFonts w:hint="eastAsia" w:ascii="仿宋_GB2312" w:hAnsi="仿宋_GB2312" w:eastAsia="仿宋_GB2312" w:cs="仿宋_GB2312"/>
          <w:b w:val="0"/>
          <w:bCs w:val="0"/>
          <w:color w:val="auto"/>
          <w:kern w:val="2"/>
          <w:sz w:val="32"/>
          <w:szCs w:val="32"/>
          <w:lang w:val="en-US" w:eastAsia="zh-CN" w:bidi="ar"/>
        </w:rPr>
        <w:t>资产管理不到位，截止评价日，项目单位未开展竣工财务决算工作，实物资产未进行资本性支出核算入账，</w:t>
      </w:r>
      <w:r>
        <w:rPr>
          <w:rFonts w:hint="eastAsia" w:ascii="仿宋_GB2312" w:hAnsi="仿宋_GB2312" w:eastAsia="仿宋_GB2312" w:cs="仿宋_GB2312"/>
          <w:b w:val="0"/>
          <w:bCs w:val="0"/>
          <w:sz w:val="32"/>
          <w:szCs w:val="32"/>
        </w:rPr>
        <w:t>项目</w:t>
      </w:r>
      <w:r>
        <w:rPr>
          <w:rFonts w:hint="eastAsia" w:ascii="仿宋_GB2312" w:hAnsi="仿宋_GB2312" w:eastAsia="仿宋_GB2312" w:cs="仿宋_GB2312"/>
          <w:b w:val="0"/>
          <w:bCs w:val="0"/>
          <w:sz w:val="32"/>
          <w:szCs w:val="32"/>
          <w:lang w:val="en-US" w:eastAsia="zh-CN"/>
        </w:rPr>
        <w:t>资产</w:t>
      </w:r>
      <w:r>
        <w:rPr>
          <w:rFonts w:hint="eastAsia" w:ascii="仿宋_GB2312" w:hAnsi="仿宋_GB2312" w:eastAsia="仿宋_GB2312" w:cs="仿宋_GB2312"/>
          <w:b w:val="0"/>
          <w:bCs w:val="0"/>
          <w:sz w:val="32"/>
          <w:szCs w:val="32"/>
        </w:rPr>
        <w:t>移交</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确认手续等</w:t>
      </w:r>
      <w:r>
        <w:rPr>
          <w:rFonts w:hint="eastAsia" w:ascii="仿宋_GB2312" w:hAnsi="仿宋_GB2312" w:eastAsia="仿宋_GB2312" w:cs="仿宋_GB2312"/>
          <w:b w:val="0"/>
          <w:bCs w:val="0"/>
          <w:sz w:val="32"/>
          <w:szCs w:val="32"/>
        </w:rPr>
        <w:t>资料</w:t>
      </w:r>
      <w:r>
        <w:rPr>
          <w:rFonts w:hint="eastAsia" w:ascii="仿宋_GB2312" w:hAnsi="仿宋_GB2312" w:eastAsia="仿宋_GB2312" w:cs="仿宋_GB2312"/>
          <w:b w:val="0"/>
          <w:bCs w:val="0"/>
          <w:sz w:val="32"/>
          <w:szCs w:val="32"/>
          <w:lang w:val="en-US" w:eastAsia="zh-CN"/>
        </w:rPr>
        <w:t>梳理呈现不到位</w:t>
      </w:r>
      <w:r>
        <w:rPr>
          <w:rFonts w:hint="eastAsia" w:ascii="仿宋_GB2312" w:hAnsi="仿宋_GB2312" w:eastAsia="仿宋_GB2312" w:cs="仿宋_GB2312"/>
          <w:b w:val="0"/>
          <w:bCs w:val="0"/>
          <w:color w:val="auto"/>
          <w:kern w:val="2"/>
          <w:sz w:val="32"/>
          <w:szCs w:val="32"/>
          <w:lang w:val="en-US" w:eastAsia="zh-CN" w:bidi="ar"/>
        </w:rPr>
        <w:t>。</w:t>
      </w:r>
    </w:p>
    <w:p>
      <w:pPr>
        <w:keepNext w:val="0"/>
        <w:keepLines w:val="0"/>
        <w:pageBreakBefore w:val="0"/>
        <w:widowControl w:val="0"/>
        <w:suppressLineNumbers w:val="0"/>
        <w:shd w:val="clear" w:color="auto" w:fill="auto"/>
        <w:kinsoku/>
        <w:wordWrap/>
        <w:overflowPunct/>
        <w:topLinePunct w:val="0"/>
        <w:autoSpaceDE/>
        <w:autoSpaceDN/>
        <w:bidi w:val="0"/>
        <w:adjustRightInd w:val="0"/>
        <w:snapToGrid w:val="0"/>
        <w:spacing w:after="0" w:afterAutospacing="0" w:line="360" w:lineRule="auto"/>
        <w:ind w:firstLine="642" w:firstLineChars="200"/>
        <w:jc w:val="both"/>
        <w:textAlignment w:val="auto"/>
        <w:outlineLvl w:val="2"/>
        <w:rPr>
          <w:rFonts w:hint="eastAsia" w:ascii="仿宋_GB2312" w:hAnsi="仿宋_GB2312" w:eastAsia="仿宋_GB2312" w:cs="仿宋_GB2312"/>
          <w:b w:val="0"/>
          <w:bCs w:val="0"/>
          <w:color w:val="auto"/>
          <w:kern w:val="2"/>
          <w:sz w:val="32"/>
          <w:szCs w:val="32"/>
          <w:lang w:val="en-US" w:eastAsia="zh-CN" w:bidi="ar"/>
        </w:rPr>
      </w:pPr>
      <w:bookmarkStart w:id="11" w:name="_Toc4982"/>
      <w:r>
        <w:rPr>
          <w:rFonts w:hint="eastAsia" w:ascii="仿宋_GB2312" w:hAnsi="仿宋_GB2312" w:eastAsia="仿宋_GB2312" w:cs="仿宋_GB2312"/>
          <w:b/>
          <w:bCs/>
          <w:color w:val="auto"/>
          <w:kern w:val="2"/>
          <w:sz w:val="32"/>
          <w:szCs w:val="32"/>
          <w:lang w:val="en-US" w:eastAsia="zh-CN" w:bidi="ar"/>
        </w:rPr>
        <w:t>4.项目实施效益体现有待提升</w:t>
      </w:r>
      <w:bookmarkEnd w:id="11"/>
    </w:p>
    <w:p>
      <w:pPr>
        <w:pageBreakBefore w:val="0"/>
        <w:widowControl w:val="0"/>
        <w:kinsoku/>
        <w:wordWrap/>
        <w:overflowPunct/>
        <w:topLinePunct w:val="0"/>
        <w:autoSpaceDE/>
        <w:autoSpaceDN/>
        <w:bidi w:val="0"/>
        <w:adjustRightInd w:val="0"/>
        <w:snapToGrid w:val="0"/>
        <w:spacing w:line="360" w:lineRule="auto"/>
        <w:ind w:firstLine="642"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一是</w:t>
      </w:r>
      <w:r>
        <w:rPr>
          <w:rFonts w:hint="eastAsia" w:ascii="仿宋_GB2312" w:hAnsi="仿宋_GB2312" w:eastAsia="仿宋_GB2312" w:cs="仿宋_GB2312"/>
          <w:kern w:val="2"/>
          <w:sz w:val="32"/>
          <w:szCs w:val="32"/>
          <w:lang w:val="en-US" w:eastAsia="zh-CN" w:bidi="ar-SA"/>
        </w:rPr>
        <w:t>于家务种业科技园区周边的绿化和基础设施设有围栏隔挡，周边居民无法出入，效益效果未能充分服务居民。</w:t>
      </w:r>
      <w:r>
        <w:rPr>
          <w:rFonts w:hint="eastAsia" w:ascii="仿宋_GB2312" w:hAnsi="仿宋_GB2312" w:eastAsia="仿宋_GB2312" w:cs="仿宋_GB2312"/>
          <w:b/>
          <w:bCs/>
          <w:kern w:val="2"/>
          <w:sz w:val="32"/>
          <w:szCs w:val="32"/>
          <w:lang w:val="en-US" w:eastAsia="zh-CN" w:bidi="ar-SA"/>
        </w:rPr>
        <w:t>二是</w:t>
      </w:r>
      <w:r>
        <w:rPr>
          <w:rFonts w:hint="eastAsia" w:ascii="仿宋_GB2312" w:hAnsi="仿宋_GB2312" w:eastAsia="仿宋_GB2312" w:cs="仿宋_GB2312"/>
          <w:kern w:val="2"/>
          <w:sz w:val="32"/>
          <w:szCs w:val="32"/>
          <w:lang w:val="en-US" w:eastAsia="zh-CN" w:bidi="ar-SA"/>
        </w:rPr>
        <w:t>现有的服务对象满意度调查问卷设置较为简单，满意度调查样本偏少，未见企业用户，缺少对调查结果的分析总结，调查结论缺乏代表性，不利于对后续运维管理相关工作开展起到优化完善作用。同时，项目单位对于相关施工改善环境效益实现情况的跟踪不够有效，园区环境提升、服务周边居民用户、促进企业入驻等经济社会效益支撑材料收集不够充分，为种业大会永久落户科技园创造条件的可持续效益反映不显著，缺少量化数据支撑。</w:t>
      </w:r>
    </w:p>
    <w:p>
      <w:pPr>
        <w:pStyle w:val="3"/>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eastAsia" w:ascii="楷体_GB2312" w:hAnsi="楷体_GB2312" w:eastAsia="楷体_GB2312" w:cs="楷体_GB2312"/>
          <w:b w:val="0"/>
          <w:sz w:val="32"/>
        </w:rPr>
      </w:pPr>
      <w:r>
        <w:rPr>
          <w:rFonts w:hint="eastAsia" w:ascii="楷体_GB2312" w:hAnsi="楷体_GB2312" w:eastAsia="楷体_GB2312" w:cs="楷体_GB2312"/>
          <w:b w:val="0"/>
          <w:sz w:val="32"/>
        </w:rPr>
        <w:t>（二）相关建议</w:t>
      </w:r>
      <w:bookmarkEnd w:id="8"/>
    </w:p>
    <w:p>
      <w:pPr>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2"/>
        <w:rPr>
          <w:rFonts w:hint="eastAsia" w:ascii="仿宋_GB2312" w:hAnsi="仿宋_GB2312" w:eastAsia="仿宋_GB2312" w:cs="仿宋_GB2312"/>
          <w:b/>
          <w:bCs/>
          <w:kern w:val="2"/>
          <w:sz w:val="32"/>
          <w:szCs w:val="32"/>
          <w:lang w:val="en-US" w:eastAsia="zh-CN" w:bidi="ar-SA"/>
        </w:rPr>
      </w:pPr>
      <w:bookmarkStart w:id="12" w:name="_Toc7482"/>
      <w:r>
        <w:rPr>
          <w:rFonts w:hint="eastAsia" w:ascii="仿宋_GB2312" w:hAnsi="仿宋_GB2312" w:eastAsia="仿宋_GB2312" w:cs="仿宋_GB2312"/>
          <w:b/>
          <w:bCs/>
          <w:kern w:val="2"/>
          <w:sz w:val="32"/>
          <w:szCs w:val="32"/>
          <w:lang w:val="en-US" w:eastAsia="zh-CN" w:bidi="ar-SA"/>
        </w:rPr>
        <w:t>1.加强项目前期论证</w:t>
      </w:r>
      <w:bookmarkEnd w:id="12"/>
      <w:r>
        <w:rPr>
          <w:rFonts w:hint="eastAsia" w:ascii="仿宋_GB2312" w:hAnsi="仿宋_GB2312" w:eastAsia="仿宋_GB2312" w:cs="仿宋_GB2312"/>
          <w:b/>
          <w:bCs/>
          <w:kern w:val="2"/>
          <w:sz w:val="32"/>
          <w:szCs w:val="32"/>
          <w:lang w:val="en-US" w:eastAsia="zh-CN" w:bidi="ar-SA"/>
        </w:rPr>
        <w:t>，提升项目内容安排合理性</w:t>
      </w:r>
    </w:p>
    <w:p>
      <w:pPr>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议项目单位捋清项目定位，紧密围绕项目整体目标对项目的实施内容进行全面梳理，明确各项公共基础设施的产权归属，合理区分事权与支出责任，加强可研论证等前期准备工作，提高各项任务与总体建设目标匹配性。</w:t>
      </w:r>
    </w:p>
    <w:p>
      <w:pPr>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2"/>
        <w:rPr>
          <w:rFonts w:hint="eastAsia" w:ascii="仿宋_GB2312" w:hAnsi="仿宋_GB2312" w:eastAsia="仿宋_GB2312" w:cs="仿宋_GB2312"/>
          <w:b/>
          <w:bCs/>
          <w:kern w:val="2"/>
          <w:sz w:val="32"/>
          <w:szCs w:val="32"/>
          <w:lang w:val="en-US" w:eastAsia="zh-CN" w:bidi="ar-SA"/>
        </w:rPr>
      </w:pPr>
      <w:bookmarkStart w:id="13" w:name="_Toc6566"/>
      <w:r>
        <w:rPr>
          <w:rFonts w:hint="eastAsia" w:ascii="仿宋_GB2312" w:hAnsi="仿宋_GB2312" w:eastAsia="仿宋_GB2312" w:cs="仿宋_GB2312"/>
          <w:b/>
          <w:bCs/>
          <w:kern w:val="2"/>
          <w:sz w:val="32"/>
          <w:szCs w:val="32"/>
          <w:lang w:val="en-US" w:eastAsia="zh-CN" w:bidi="ar-SA"/>
        </w:rPr>
        <w:t>2.加强绩效目标管理，提高绩效指标设置水平</w:t>
      </w:r>
      <w:bookmarkEnd w:id="13"/>
    </w:p>
    <w:p>
      <w:pPr>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议项目单位加强对项目绩效目标填报政策文件的学习，根据项目内容明确项目年度绩效目标，概括提炼、合理设计、量化细化项目年度指标，有针对性的设置各年度具体工作内容和相关要求，捋清年度开展内容与以往年度内容间的发展替代关系，增强绩效目标和指标填报的规范、合理性。</w:t>
      </w:r>
    </w:p>
    <w:p>
      <w:pPr>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2"/>
        <w:rPr>
          <w:rFonts w:hint="eastAsia" w:ascii="仿宋_GB2312" w:hAnsi="仿宋_GB2312" w:eastAsia="仿宋_GB2312" w:cs="仿宋_GB2312"/>
          <w:b/>
          <w:bCs/>
          <w:kern w:val="2"/>
          <w:sz w:val="32"/>
          <w:szCs w:val="32"/>
          <w:lang w:val="en-US" w:eastAsia="zh-CN" w:bidi="ar-SA"/>
        </w:rPr>
      </w:pPr>
      <w:bookmarkStart w:id="14" w:name="_Toc29243"/>
      <w:r>
        <w:rPr>
          <w:rFonts w:hint="eastAsia" w:ascii="仿宋_GB2312" w:hAnsi="仿宋_GB2312" w:eastAsia="仿宋_GB2312" w:cs="仿宋_GB2312"/>
          <w:b/>
          <w:bCs/>
          <w:kern w:val="2"/>
          <w:sz w:val="32"/>
          <w:szCs w:val="32"/>
          <w:lang w:val="en-US" w:eastAsia="zh-CN" w:bidi="ar-SA"/>
        </w:rPr>
        <w:t>3.完善过程管理，提升项目执行和资金支出约束力度</w:t>
      </w:r>
      <w:bookmarkEnd w:id="14"/>
    </w:p>
    <w:p>
      <w:pPr>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紧扣项目立项目标，强化项目实施过程管理。</w:t>
      </w:r>
      <w:r>
        <w:rPr>
          <w:rFonts w:hint="eastAsia" w:ascii="仿宋_GB2312" w:hAnsi="仿宋_GB2312" w:eastAsia="仿宋_GB2312" w:cs="仿宋_GB2312"/>
          <w:b/>
          <w:bCs/>
          <w:kern w:val="2"/>
          <w:sz w:val="32"/>
          <w:szCs w:val="32"/>
          <w:lang w:val="en-US" w:eastAsia="zh-CN" w:bidi="ar-SA"/>
        </w:rPr>
        <w:t>一是</w:t>
      </w:r>
      <w:r>
        <w:rPr>
          <w:rFonts w:hint="eastAsia" w:ascii="仿宋_GB2312" w:hAnsi="仿宋_GB2312" w:eastAsia="仿宋_GB2312" w:cs="仿宋_GB2312"/>
          <w:kern w:val="2"/>
          <w:sz w:val="32"/>
          <w:szCs w:val="32"/>
          <w:lang w:val="en-US" w:eastAsia="zh-CN" w:bidi="ar-SA"/>
        </w:rPr>
        <w:t>建议项目单位加强资金管理，严格根据预算批复规范使用资金。</w:t>
      </w:r>
      <w:r>
        <w:rPr>
          <w:rFonts w:hint="eastAsia" w:ascii="仿宋_GB2312" w:hAnsi="仿宋_GB2312" w:eastAsia="仿宋_GB2312" w:cs="仿宋_GB2312"/>
          <w:b/>
          <w:bCs/>
          <w:kern w:val="2"/>
          <w:sz w:val="32"/>
          <w:szCs w:val="32"/>
          <w:lang w:val="en-US" w:eastAsia="zh-CN" w:bidi="ar-SA"/>
        </w:rPr>
        <w:t>二是</w:t>
      </w:r>
      <w:r>
        <w:rPr>
          <w:rFonts w:hint="eastAsia" w:ascii="仿宋_GB2312" w:hAnsi="仿宋_GB2312" w:eastAsia="仿宋_GB2312" w:cs="仿宋_GB2312"/>
          <w:kern w:val="2"/>
          <w:sz w:val="32"/>
          <w:szCs w:val="32"/>
          <w:lang w:val="en-US" w:eastAsia="zh-CN" w:bidi="ar-SA"/>
        </w:rPr>
        <w:t>细化实施方案，按照项目实施流程、时间进度安排等，明确责任机构、主要做法、过程管控、成果验收方式、资金支付计划等内容，提升项目实施的计划性、规范性。</w:t>
      </w:r>
      <w:r>
        <w:rPr>
          <w:rFonts w:hint="eastAsia" w:ascii="仿宋_GB2312" w:hAnsi="仿宋_GB2312" w:eastAsia="仿宋_GB2312" w:cs="仿宋_GB2312"/>
          <w:b/>
          <w:bCs/>
          <w:kern w:val="2"/>
          <w:sz w:val="32"/>
          <w:szCs w:val="32"/>
          <w:lang w:val="en-US" w:eastAsia="zh-CN" w:bidi="ar-SA"/>
        </w:rPr>
        <w:t>三是</w:t>
      </w:r>
      <w:r>
        <w:rPr>
          <w:rFonts w:hint="eastAsia" w:ascii="仿宋_GB2312" w:hAnsi="仿宋_GB2312" w:eastAsia="仿宋_GB2312" w:cs="仿宋_GB2312"/>
          <w:kern w:val="2"/>
          <w:sz w:val="32"/>
          <w:szCs w:val="32"/>
          <w:lang w:val="en-US" w:eastAsia="zh-CN" w:bidi="ar-SA"/>
        </w:rPr>
        <w:t>加强合同规范管理，注重把控合同条款审核、规范签订并严格执行合同规定，提升合同对双方的约束和保护作用。</w:t>
      </w:r>
      <w:r>
        <w:rPr>
          <w:rFonts w:hint="eastAsia" w:ascii="仿宋_GB2312" w:hAnsi="仿宋_GB2312" w:eastAsia="仿宋_GB2312" w:cs="仿宋_GB2312"/>
          <w:b/>
          <w:bCs/>
          <w:kern w:val="2"/>
          <w:sz w:val="32"/>
          <w:szCs w:val="32"/>
          <w:lang w:val="en-US" w:eastAsia="zh-CN" w:bidi="ar-SA"/>
        </w:rPr>
        <w:t>四是</w:t>
      </w:r>
      <w:r>
        <w:rPr>
          <w:rFonts w:hint="eastAsia" w:ascii="仿宋_GB2312" w:hAnsi="仿宋_GB2312" w:eastAsia="仿宋_GB2312" w:cs="仿宋_GB2312"/>
          <w:kern w:val="2"/>
          <w:sz w:val="32"/>
          <w:szCs w:val="32"/>
          <w:lang w:val="en-US" w:eastAsia="zh-CN" w:bidi="ar-SA"/>
        </w:rPr>
        <w:t>加强过程监督，严格履行乡镇政府主管职责，按照合同监督第三方履职情况，按照合同约定的保修条款对施工及保修期出现的质量问题及时进行补救维修，保证项目质量。</w:t>
      </w:r>
      <w:r>
        <w:rPr>
          <w:rFonts w:hint="eastAsia" w:ascii="仿宋_GB2312" w:hAnsi="仿宋_GB2312" w:eastAsia="仿宋_GB2312" w:cs="仿宋_GB2312"/>
          <w:b/>
          <w:bCs/>
          <w:kern w:val="2"/>
          <w:sz w:val="32"/>
          <w:szCs w:val="32"/>
          <w:lang w:val="en-US" w:eastAsia="zh-CN" w:bidi="ar-SA"/>
        </w:rPr>
        <w:t>五是</w:t>
      </w:r>
      <w:r>
        <w:rPr>
          <w:rFonts w:hint="eastAsia" w:ascii="仿宋_GB2312" w:hAnsi="仿宋_GB2312" w:eastAsia="仿宋_GB2312" w:cs="仿宋_GB2312"/>
          <w:kern w:val="2"/>
          <w:sz w:val="32"/>
          <w:szCs w:val="32"/>
          <w:lang w:val="en-US" w:eastAsia="zh-CN" w:bidi="ar-SA"/>
        </w:rPr>
        <w:t>加强验收规范管理，按照项目内容以及合同约定数量、质量组织验收，提高验收标准水平。</w:t>
      </w:r>
      <w:r>
        <w:rPr>
          <w:rFonts w:hint="eastAsia" w:ascii="仿宋_GB2312" w:hAnsi="仿宋_GB2312" w:eastAsia="仿宋_GB2312" w:cs="仿宋_GB2312"/>
          <w:b/>
          <w:bCs/>
          <w:kern w:val="2"/>
          <w:sz w:val="32"/>
          <w:szCs w:val="32"/>
          <w:lang w:val="en-US" w:eastAsia="zh-CN" w:bidi="ar-SA"/>
        </w:rPr>
        <w:t>六是</w:t>
      </w:r>
      <w:r>
        <w:rPr>
          <w:rFonts w:hint="eastAsia" w:ascii="仿宋_GB2312" w:hAnsi="仿宋_GB2312" w:eastAsia="仿宋_GB2312" w:cs="仿宋_GB2312"/>
          <w:kern w:val="2"/>
          <w:sz w:val="32"/>
          <w:szCs w:val="32"/>
          <w:lang w:val="en-US" w:eastAsia="zh-CN" w:bidi="ar-SA"/>
        </w:rPr>
        <w:t>重视项目资产安全完整，进一步梳理项目资产移交使用管理情况，对项目形成的固定资产进行确认，并及时做账务处理和资产管理安排，保证国有资产的安全。</w:t>
      </w:r>
    </w:p>
    <w:p>
      <w:pPr>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2"/>
        <w:rPr>
          <w:rFonts w:hint="eastAsia" w:ascii="仿宋_GB2312" w:hAnsi="仿宋_GB2312" w:eastAsia="仿宋_GB2312" w:cs="仿宋_GB2312"/>
          <w:b/>
          <w:bCs/>
          <w:kern w:val="2"/>
          <w:sz w:val="32"/>
          <w:szCs w:val="32"/>
          <w:lang w:val="en-US" w:eastAsia="zh-CN" w:bidi="ar-SA"/>
        </w:rPr>
      </w:pPr>
      <w:bookmarkStart w:id="15" w:name="_Toc6300"/>
      <w:r>
        <w:rPr>
          <w:rFonts w:hint="eastAsia" w:ascii="仿宋_GB2312" w:hAnsi="仿宋_GB2312" w:eastAsia="仿宋_GB2312" w:cs="仿宋_GB2312"/>
          <w:b/>
          <w:bCs/>
          <w:kern w:val="2"/>
          <w:sz w:val="32"/>
          <w:szCs w:val="32"/>
          <w:lang w:val="en-US" w:eastAsia="zh-CN" w:bidi="ar-SA"/>
        </w:rPr>
        <w:t>4.提高绩效收集意识，充分发挥资金使用成效</w:t>
      </w:r>
      <w:bookmarkEnd w:id="15"/>
    </w:p>
    <w:p>
      <w:pPr>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议项目单位注重对证明项目效益实现情况的绩效支撑材料收集、整理，尤其是保障第三十届中国（北京）种业大会顺利开展、争取种业大会永久性落户通州的实际成效分析，改善周边环境，促进企业进驻等量化效益数据，进一步加强项目效益呈现。同时，进一步强化满意度调查工作，扩大满意度调查范围，提高满意度调查结果的有效性、全面性，为后续运维管理工作改进提供参考依据。</w:t>
      </w:r>
    </w:p>
    <w:p>
      <w:pPr>
        <w:rPr>
          <w:rFonts w:hint="eastAsia" w:ascii="仿宋_GB2312" w:hAnsi="仿宋_GB2312" w:eastAsia="仿宋_GB2312" w:cs="仿宋_GB2312"/>
          <w:iCs/>
          <w:color w:val="000000"/>
          <w:sz w:val="32"/>
          <w:szCs w:val="32"/>
          <w:lang w:val="en-US" w:eastAsia="zh-CN"/>
        </w:rPr>
      </w:pPr>
    </w:p>
    <w:p>
      <w:pPr>
        <w:ind w:firstLine="4480" w:firstLineChars="1400"/>
      </w:pPr>
      <w:r>
        <w:rPr>
          <w:rFonts w:hint="eastAsia" w:ascii="仿宋_GB2312" w:hAnsi="仿宋_GB2312" w:eastAsia="仿宋_GB2312" w:cs="仿宋_GB2312"/>
          <w:b w:val="0"/>
          <w:bCs w:val="0"/>
          <w:color w:val="auto"/>
          <w:kern w:val="2"/>
          <w:sz w:val="32"/>
          <w:szCs w:val="32"/>
          <w:highlight w:val="none"/>
          <w:lang w:val="en-US" w:eastAsia="zh-CN" w:bidi="ar-SA"/>
        </w:rPr>
        <w:t>二</w:t>
      </w:r>
      <w:r>
        <w:rPr>
          <w:rFonts w:hint="eastAsia" w:ascii="仿宋_GB2312" w:hAnsi="宋体" w:eastAsia="仿宋_GB2312" w:cs="宋体"/>
          <w:kern w:val="0"/>
          <w:sz w:val="32"/>
          <w:szCs w:val="32"/>
        </w:rPr>
        <w:t>○</w:t>
      </w:r>
      <w:r>
        <w:rPr>
          <w:rFonts w:hint="eastAsia" w:ascii="仿宋_GB2312" w:hAnsi="仿宋_GB2312" w:eastAsia="仿宋_GB2312" w:cs="仿宋_GB2312"/>
          <w:b w:val="0"/>
          <w:bCs w:val="0"/>
          <w:color w:val="auto"/>
          <w:kern w:val="2"/>
          <w:sz w:val="32"/>
          <w:szCs w:val="32"/>
          <w:highlight w:val="none"/>
          <w:lang w:val="en-US" w:eastAsia="zh-CN" w:bidi="ar-SA"/>
        </w:rPr>
        <w:t>二四年十月二十九日</w:t>
      </w: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amp;Euml">
    <w:altName w:val="汉仪新人文宋简"/>
    <w:panose1 w:val="00000000000000000000"/>
    <w:charset w:val="00"/>
    <w:family w:val="auto"/>
    <w:pitch w:val="default"/>
    <w:sig w:usb0="00000000" w:usb1="00000000" w:usb2="00000000"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新人文宋简">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80" w:firstLine="0" w:firstLineChars="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yMTk1ZmUxMDRhMTgwYjIzOTU4MTE3ZTZmNmRhNDMifQ=="/>
  </w:docVars>
  <w:rsids>
    <w:rsidRoot w:val="748D2E06"/>
    <w:rsid w:val="050F645C"/>
    <w:rsid w:val="0AFA7648"/>
    <w:rsid w:val="0D714EEC"/>
    <w:rsid w:val="119654BE"/>
    <w:rsid w:val="294471A2"/>
    <w:rsid w:val="29B86C72"/>
    <w:rsid w:val="2FD95D3A"/>
    <w:rsid w:val="33B930AD"/>
    <w:rsid w:val="3C1F026F"/>
    <w:rsid w:val="3D857216"/>
    <w:rsid w:val="3FCE3DCC"/>
    <w:rsid w:val="47AD0F98"/>
    <w:rsid w:val="48B24CDE"/>
    <w:rsid w:val="48D37A4C"/>
    <w:rsid w:val="4A153A86"/>
    <w:rsid w:val="4A687DDB"/>
    <w:rsid w:val="51894669"/>
    <w:rsid w:val="55450C20"/>
    <w:rsid w:val="58ED38EB"/>
    <w:rsid w:val="5D816BD4"/>
    <w:rsid w:val="61D45648"/>
    <w:rsid w:val="652D1F23"/>
    <w:rsid w:val="69810726"/>
    <w:rsid w:val="6EA50247"/>
    <w:rsid w:val="713D040C"/>
    <w:rsid w:val="748D2E06"/>
    <w:rsid w:val="763816C7"/>
    <w:rsid w:val="78A55AA8"/>
    <w:rsid w:val="7DF92B82"/>
    <w:rsid w:val="7E432327"/>
    <w:rsid w:val="7FFD7E18"/>
    <w:rsid w:val="ADBE5F1E"/>
    <w:rsid w:val="E5BF43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360" w:lineRule="auto"/>
      <w:ind w:firstLine="643" w:firstLineChars="200"/>
      <w:outlineLvl w:val="0"/>
    </w:pPr>
    <w:rPr>
      <w:b/>
      <w:bCs/>
      <w:snapToGrid w:val="0"/>
      <w:kern w:val="0"/>
      <w:sz w:val="32"/>
      <w:szCs w:val="44"/>
    </w:rPr>
  </w:style>
  <w:style w:type="paragraph" w:styleId="3">
    <w:name w:val="heading 2"/>
    <w:basedOn w:val="1"/>
    <w:next w:val="1"/>
    <w:unhideWhenUsed/>
    <w:qFormat/>
    <w:uiPriority w:val="0"/>
    <w:pPr>
      <w:keepNext/>
      <w:keepLines/>
      <w:spacing w:line="312" w:lineRule="auto"/>
      <w:ind w:firstLine="0" w:firstLineChars="0"/>
      <w:jc w:val="center"/>
      <w:outlineLvl w:val="1"/>
    </w:pPr>
    <w:rPr>
      <w:rFonts w:ascii="Cambria" w:hAnsi="Cambria" w:eastAsia="宋体"/>
      <w:b/>
      <w:bCs/>
      <w:sz w:val="36"/>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unhideWhenUsed/>
    <w:qFormat/>
    <w:uiPriority w:val="99"/>
    <w:pPr>
      <w:snapToGrid w:val="0"/>
      <w:jc w:val="left"/>
    </w:pPr>
    <w:rPr>
      <w:rFonts w:ascii="Calibri" w:hAnsi="Calibri" w:eastAsia="宋体" w:cs="Times New Roman"/>
      <w:sz w:val="18"/>
      <w:szCs w:val="18"/>
    </w:rPr>
  </w:style>
  <w:style w:type="character" w:styleId="9">
    <w:name w:val="footnote reference"/>
    <w:basedOn w:val="8"/>
    <w:unhideWhenUsed/>
    <w:qFormat/>
    <w:uiPriority w:val="99"/>
    <w:rPr>
      <w:vertAlign w:val="superscript"/>
    </w:rPr>
  </w:style>
  <w:style w:type="paragraph" w:customStyle="1" w:styleId="10">
    <w:name w:val="正文文本缩进 21"/>
    <w:basedOn w:val="1"/>
    <w:qFormat/>
    <w:uiPriority w:val="0"/>
    <w:pPr>
      <w:spacing w:after="120" w:line="480" w:lineRule="auto"/>
      <w:ind w:left="420" w:leftChars="200" w:firstLine="640"/>
    </w:pPr>
    <w:rPr>
      <w:rFonts w:ascii="仿宋_GB2312" w:hAnsi="&amp;Euml"/>
      <w:sz w:val="21"/>
      <w:szCs w:val="24"/>
    </w:rPr>
  </w:style>
  <w:style w:type="paragraph" w:customStyle="1" w:styleId="11">
    <w:name w:val="A正文"/>
    <w:basedOn w:val="1"/>
    <w:qFormat/>
    <w:uiPriority w:val="0"/>
    <w:pPr>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2889</Words>
  <Characters>2995</Characters>
  <Lines>0</Lines>
  <Paragraphs>0</Paragraphs>
  <TotalTime>3</TotalTime>
  <ScaleCrop>false</ScaleCrop>
  <LinksUpToDate>false</LinksUpToDate>
  <CharactersWithSpaces>2997</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2017-06-14T22:10:00Z</dcterms:created>
  <dc:creator>Administrator</dc:creator>
  <cp:lastModifiedBy>user</cp:lastModifiedBy>
  <dcterms:modified xsi:type="dcterms:W3CDTF">2025-09-15T14:37:30Z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F84662E0B0854A84B24D6A8EDF460BBF_12</vt:lpwstr>
  </property>
</Properties>
</file>