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ascii="方正小标宋简体" w:eastAsia="方正小标宋简体"/>
          <w:bCs/>
          <w:sz w:val="44"/>
        </w:rPr>
      </w:pPr>
      <w:bookmarkStart w:id="0" w:name="OLE_LINK8"/>
      <w:bookmarkStart w:id="1" w:name="OLE_LINK5"/>
      <w:r>
        <w:rPr>
          <w:rFonts w:hint="eastAsia" w:ascii="方正小标宋简体" w:eastAsia="方正小标宋简体"/>
          <w:bCs/>
          <w:sz w:val="44"/>
        </w:rPr>
        <w:t>北京市</w:t>
      </w:r>
      <w:r>
        <w:rPr>
          <w:rFonts w:hint="eastAsia" w:ascii="方正小标宋简体" w:eastAsia="方正小标宋简体"/>
          <w:bCs/>
          <w:sz w:val="44"/>
          <w:lang w:eastAsia="zh-CN"/>
        </w:rPr>
        <w:t>通州区</w:t>
      </w:r>
      <w:r>
        <w:rPr>
          <w:rFonts w:hint="eastAsia" w:ascii="方正小标宋简体" w:eastAsia="方正小标宋简体"/>
          <w:bCs/>
          <w:sz w:val="44"/>
        </w:rPr>
        <w:t>发展和改革委员会</w:t>
      </w:r>
      <w:bookmarkEnd w:id="0"/>
    </w:p>
    <w:p>
      <w:pPr>
        <w:keepNext w:val="0"/>
        <w:keepLines w:val="0"/>
        <w:pageBreakBefore w:val="0"/>
        <w:widowControl w:val="0"/>
        <w:kinsoku/>
        <w:wordWrap/>
        <w:overflowPunct/>
        <w:topLinePunct w:val="0"/>
        <w:autoSpaceDE/>
        <w:autoSpaceDN/>
        <w:bidi w:val="0"/>
        <w:spacing w:line="540" w:lineRule="exact"/>
        <w:jc w:val="center"/>
        <w:rPr>
          <w:rFonts w:hint="eastAsia" w:ascii="方正小标宋简体" w:eastAsia="方正小标宋简体"/>
          <w:bCs/>
          <w:sz w:val="44"/>
        </w:rPr>
      </w:pPr>
      <w:bookmarkStart w:id="2" w:name="OLE_LINK2"/>
      <w:r>
        <w:rPr>
          <w:rFonts w:hint="eastAsia" w:ascii="方正小标宋简体" w:eastAsia="方正小标宋简体"/>
          <w:bCs/>
          <w:sz w:val="44"/>
        </w:rPr>
        <w:t>关于安贞医院东侧地块项目航油管线</w:t>
      </w:r>
    </w:p>
    <w:p>
      <w:pPr>
        <w:keepNext w:val="0"/>
        <w:keepLines w:val="0"/>
        <w:pageBreakBefore w:val="0"/>
        <w:widowControl w:val="0"/>
        <w:kinsoku/>
        <w:wordWrap/>
        <w:overflowPunct/>
        <w:topLinePunct w:val="0"/>
        <w:autoSpaceDE/>
        <w:autoSpaceDN/>
        <w:bidi w:val="0"/>
        <w:spacing w:line="540" w:lineRule="exact"/>
        <w:jc w:val="center"/>
        <w:rPr>
          <w:rFonts w:hint="eastAsia" w:ascii="仿宋_GB2312" w:eastAsia="仿宋_GB2312"/>
          <w:b w:val="0"/>
          <w:sz w:val="32"/>
          <w:u w:val="thick" w:color="FF0000"/>
        </w:rPr>
      </w:pPr>
      <w:r>
        <w:rPr>
          <w:rFonts w:hint="eastAsia" w:ascii="方正小标宋简体" w:eastAsia="方正小标宋简体"/>
          <w:bCs/>
          <w:sz w:val="44"/>
        </w:rPr>
        <w:t>迁改工程</w:t>
      </w:r>
      <w:r>
        <w:rPr>
          <w:rFonts w:hint="eastAsia" w:ascii="方正小标宋简体" w:eastAsia="方正小标宋简体"/>
          <w:bCs/>
          <w:sz w:val="44"/>
          <w:lang w:eastAsia="zh-CN"/>
        </w:rPr>
        <w:t>核准</w:t>
      </w:r>
      <w:r>
        <w:rPr>
          <w:rFonts w:hint="eastAsia" w:ascii="方正小标宋简体" w:eastAsia="方正小标宋简体"/>
          <w:bCs/>
          <w:sz w:val="44"/>
        </w:rPr>
        <w:t>的批复</w:t>
      </w:r>
      <w:bookmarkEnd w:id="1"/>
      <w:bookmarkEnd w:id="2"/>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baseline"/>
        <w:rPr>
          <w:rFonts w:hint="default" w:ascii="华文中宋" w:hAnsi="华文中宋" w:eastAsia="楷体_GB2312"/>
          <w:sz w:val="48"/>
          <w:lang w:val="en-US" w:eastAsia="zh-CN"/>
        </w:rPr>
      </w:pPr>
      <w:r>
        <w:rPr>
          <w:rFonts w:hint="eastAsia" w:ascii="仿宋_GB2312" w:hAnsi="仿宋_GB2312" w:eastAsia="仿宋_GB2312" w:cs="仿宋_GB2312"/>
          <w:b w:val="0"/>
          <w:bCs w:val="0"/>
          <w:sz w:val="32"/>
          <w:szCs w:val="32"/>
          <w:lang w:eastAsia="zh-CN"/>
        </w:rPr>
        <w:t>京通州</w:t>
      </w:r>
      <w:r>
        <w:rPr>
          <w:rFonts w:hint="eastAsia" w:ascii="仿宋_GB2312" w:hAnsi="仿宋_GB2312" w:eastAsia="仿宋_GB2312" w:cs="仿宋_GB2312"/>
          <w:b w:val="0"/>
          <w:bCs w:val="0"/>
          <w:sz w:val="32"/>
          <w:szCs w:val="32"/>
        </w:rPr>
        <w:t>发改（</w:t>
      </w:r>
      <w:r>
        <w:rPr>
          <w:rFonts w:hint="eastAsia" w:ascii="仿宋_GB2312" w:hAnsi="仿宋_GB2312" w:eastAsia="仿宋_GB2312" w:cs="仿宋_GB2312"/>
          <w:b w:val="0"/>
          <w:bCs w:val="0"/>
          <w:sz w:val="32"/>
          <w:szCs w:val="32"/>
          <w:lang w:eastAsia="zh-CN"/>
        </w:rPr>
        <w:t>核</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41</w:t>
      </w:r>
      <w:r>
        <w:rPr>
          <w:rFonts w:hint="eastAsia" w:ascii="仿宋_GB2312" w:hAnsi="仿宋_GB2312" w:eastAsia="仿宋_GB2312" w:cs="仿宋_GB2312"/>
          <w:b w:val="0"/>
          <w:bCs w:val="0"/>
          <w:sz w:val="32"/>
          <w:szCs w:val="32"/>
        </w:rPr>
        <w:t>号</w:t>
      </w:r>
    </w:p>
    <w:p>
      <w:pPr>
        <w:keepNext w:val="0"/>
        <w:keepLines w:val="0"/>
        <w:pageBreakBefore w:val="0"/>
        <w:widowControl w:val="0"/>
        <w:kinsoku/>
        <w:wordWrap/>
        <w:overflowPunct/>
        <w:topLinePunct w:val="0"/>
        <w:autoSpaceDE/>
        <w:autoSpaceDN/>
        <w:bidi w:val="0"/>
        <w:spacing w:line="540" w:lineRule="exact"/>
        <w:rPr>
          <w:rFonts w:ascii="仿宋_GB231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textAlignment w:val="baseline"/>
        <w:outlineLvl w:val="9"/>
        <w:rPr>
          <w:rFonts w:hint="eastAsia" w:ascii="仿宋_GB2312" w:hAnsi="仿宋_GB2312" w:eastAsia="仿宋_GB2312" w:cs="仿宋_GB2312"/>
          <w:sz w:val="32"/>
          <w:szCs w:val="32"/>
          <w:lang w:eastAsia="zh-CN"/>
        </w:rPr>
      </w:pPr>
      <w:bookmarkStart w:id="3" w:name="OLE_LINK4"/>
      <w:r>
        <w:rPr>
          <w:rFonts w:hint="eastAsia" w:ascii="仿宋_GB2312" w:hAnsi="仿宋_GB2312" w:eastAsia="仿宋_GB2312" w:cs="仿宋_GB2312"/>
          <w:sz w:val="32"/>
          <w:szCs w:val="32"/>
        </w:rPr>
        <w:t>北京艺创晨安置业有限公司</w:t>
      </w:r>
      <w:bookmarkEnd w:id="3"/>
      <w:r>
        <w:rPr>
          <w:rFonts w:hint="eastAsia" w:ascii="仿宋_GB2312" w:hAnsi="仿宋_GB2312" w:eastAsia="仿宋_GB2312" w:cs="仿宋_GB2312"/>
          <w:sz w:val="32"/>
          <w:szCs w:val="32"/>
          <w:lang w:eastAsia="zh-CN"/>
        </w:rPr>
        <w:t>：</w:t>
      </w: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你单位《关于报送安贞医院东侧地块项目航油管线迁改工程项目申请报告的请示》</w:t>
      </w:r>
      <w:r>
        <w:rPr>
          <w:rFonts w:hint="eastAsia" w:ascii="FangSong_GB2312" w:hAnsi="FangSong_GB2312" w:eastAsia="FangSong_GB2312"/>
          <w:sz w:val="32"/>
          <w:highlight w:val="none"/>
        </w:rPr>
        <w:t>（</w:t>
      </w:r>
      <w:bookmarkStart w:id="4" w:name="OLE_LINK1"/>
      <w:r>
        <w:rPr>
          <w:rFonts w:hint="eastAsia" w:ascii="FangSong_GB2312" w:hAnsi="FangSong_GB2312" w:eastAsia="FangSong_GB2312"/>
          <w:sz w:val="32"/>
          <w:highlight w:val="none"/>
          <w:lang w:val="en-US" w:eastAsia="zh-CN"/>
        </w:rPr>
        <w:t>艺创晨安文</w:t>
      </w:r>
      <w:r>
        <w:rPr>
          <w:rFonts w:hint="eastAsia" w:ascii="FangSong_GB2312" w:hAnsi="FangSong_GB2312" w:eastAsia="FangSong_GB2312"/>
          <w:sz w:val="32"/>
          <w:highlight w:val="none"/>
        </w:rPr>
        <w:t>字〔202</w:t>
      </w:r>
      <w:r>
        <w:rPr>
          <w:rFonts w:hint="eastAsia" w:ascii="FangSong_GB2312" w:hAnsi="FangSong_GB2312" w:eastAsia="FangSong_GB2312"/>
          <w:sz w:val="32"/>
          <w:highlight w:val="none"/>
          <w:lang w:val="en-US" w:eastAsia="zh-CN"/>
        </w:rPr>
        <w:t>5</w:t>
      </w:r>
      <w:r>
        <w:rPr>
          <w:rFonts w:hint="eastAsia" w:ascii="FangSong_GB2312" w:hAnsi="FangSong_GB2312" w:eastAsia="FangSong_GB2312"/>
          <w:sz w:val="32"/>
          <w:highlight w:val="none"/>
        </w:rPr>
        <w:t>〕</w:t>
      </w:r>
      <w:r>
        <w:rPr>
          <w:rFonts w:hint="eastAsia" w:ascii="FangSong_GB2312" w:hAnsi="FangSong_GB2312" w:eastAsia="FangSong_GB2312"/>
          <w:sz w:val="32"/>
          <w:highlight w:val="none"/>
          <w:lang w:val="en-US" w:eastAsia="zh-CN"/>
        </w:rPr>
        <w:t>6</w:t>
      </w:r>
      <w:r>
        <w:rPr>
          <w:rFonts w:hint="eastAsia" w:ascii="FangSong_GB2312" w:hAnsi="FangSong_GB2312" w:eastAsia="FangSong_GB2312"/>
          <w:sz w:val="32"/>
          <w:highlight w:val="none"/>
        </w:rPr>
        <w:t>号</w:t>
      </w:r>
      <w:bookmarkEnd w:id="4"/>
      <w:r>
        <w:rPr>
          <w:rFonts w:hint="eastAsia" w:ascii="FangSong_GB2312" w:hAnsi="FangSong_GB2312" w:eastAsia="FangSong_GB2312"/>
          <w:sz w:val="32"/>
          <w:highlight w:val="none"/>
        </w:rPr>
        <w:t>）</w:t>
      </w:r>
      <w:r>
        <w:rPr>
          <w:rFonts w:hint="eastAsia" w:ascii="仿宋_GB2312" w:hAnsi="仿宋_GB2312" w:eastAsia="仿宋_GB2312" w:cs="仿宋_GB2312"/>
          <w:sz w:val="32"/>
          <w:szCs w:val="32"/>
          <w:highlight w:val="none"/>
          <w:lang w:eastAsia="zh-CN"/>
        </w:rPr>
        <w:t>、《关于报送安贞医院东侧地块项目航油管线迁改工程项目招标方案核准的请示》</w:t>
      </w:r>
      <w:r>
        <w:rPr>
          <w:rFonts w:hint="eastAsia" w:ascii="FangSong_GB2312" w:hAnsi="FangSong_GB2312" w:eastAsia="FangSong_GB2312"/>
          <w:sz w:val="32"/>
          <w:highlight w:val="none"/>
        </w:rPr>
        <w:t>（</w:t>
      </w:r>
      <w:r>
        <w:rPr>
          <w:rFonts w:hint="eastAsia" w:ascii="FangSong_GB2312" w:hAnsi="FangSong_GB2312" w:eastAsia="FangSong_GB2312"/>
          <w:sz w:val="32"/>
          <w:highlight w:val="none"/>
          <w:lang w:val="en-US" w:eastAsia="zh-CN"/>
        </w:rPr>
        <w:t>艺创晨安文</w:t>
      </w:r>
      <w:r>
        <w:rPr>
          <w:rFonts w:hint="eastAsia" w:ascii="FangSong_GB2312" w:hAnsi="FangSong_GB2312" w:eastAsia="FangSong_GB2312"/>
          <w:sz w:val="32"/>
          <w:highlight w:val="none"/>
        </w:rPr>
        <w:t>字〔202</w:t>
      </w:r>
      <w:r>
        <w:rPr>
          <w:rFonts w:hint="eastAsia" w:ascii="FangSong_GB2312" w:hAnsi="FangSong_GB2312" w:eastAsia="FangSong_GB2312"/>
          <w:sz w:val="32"/>
          <w:highlight w:val="none"/>
          <w:lang w:val="en-US" w:eastAsia="zh-CN"/>
        </w:rPr>
        <w:t>5</w:t>
      </w:r>
      <w:r>
        <w:rPr>
          <w:rFonts w:hint="eastAsia" w:ascii="FangSong_GB2312" w:hAnsi="FangSong_GB2312" w:eastAsia="FangSong_GB2312"/>
          <w:sz w:val="32"/>
          <w:highlight w:val="none"/>
        </w:rPr>
        <w:t>〕</w:t>
      </w:r>
      <w:r>
        <w:rPr>
          <w:rFonts w:hint="eastAsia" w:ascii="FangSong_GB2312" w:hAnsi="FangSong_GB2312" w:eastAsia="FangSong_GB2312"/>
          <w:sz w:val="32"/>
          <w:highlight w:val="none"/>
          <w:lang w:val="en-US" w:eastAsia="zh-CN"/>
        </w:rPr>
        <w:t>5</w:t>
      </w:r>
      <w:r>
        <w:rPr>
          <w:rFonts w:hint="eastAsia" w:ascii="FangSong_GB2312" w:hAnsi="FangSong_GB2312" w:eastAsia="FangSong_GB2312"/>
          <w:sz w:val="32"/>
          <w:highlight w:val="none"/>
        </w:rPr>
        <w:t>号）</w:t>
      </w:r>
      <w:r>
        <w:rPr>
          <w:rFonts w:hint="eastAsia" w:ascii="仿宋_GB2312" w:hAnsi="仿宋_GB2312" w:eastAsia="仿宋_GB2312" w:cs="仿宋_GB2312"/>
          <w:sz w:val="32"/>
          <w:szCs w:val="32"/>
        </w:rPr>
        <w:t>收悉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北京市规划和自然资源委员会通州分局</w:t>
      </w:r>
      <w:r>
        <w:rPr>
          <w:rFonts w:hint="eastAsia" w:ascii="仿宋_GB2312" w:hAnsi="仿宋_GB2312" w:eastAsia="仿宋_GB2312" w:cs="仿宋_GB2312"/>
          <w:sz w:val="32"/>
          <w:szCs w:val="32"/>
        </w:rPr>
        <w:t>《关于安贞医院东侧地块项目航油管线迁改工程“多规合一”协同意见的函》（京规自基础策划</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函</w:t>
      </w:r>
      <w:r>
        <w:rPr>
          <w:rFonts w:hint="eastAsia" w:ascii="FangSong_GB2312" w:hAnsi="FangSong_GB2312" w:eastAsia="FangSong_GB2312"/>
          <w:sz w:val="32"/>
          <w:highlight w:val="none"/>
        </w:rPr>
        <w:t>〔202</w:t>
      </w:r>
      <w:r>
        <w:rPr>
          <w:rFonts w:hint="eastAsia" w:ascii="FangSong_GB2312" w:hAnsi="FangSong_GB2312" w:eastAsia="FangSong_GB2312"/>
          <w:sz w:val="32"/>
          <w:highlight w:val="none"/>
          <w:lang w:val="en-US" w:eastAsia="zh-CN"/>
        </w:rPr>
        <w:t>5</w:t>
      </w:r>
      <w:r>
        <w:rPr>
          <w:rFonts w:hint="eastAsia" w:ascii="FangSong_GB2312" w:hAnsi="FangSong_GB2312" w:eastAsia="FangSong_GB2312"/>
          <w:sz w:val="32"/>
          <w:highlight w:val="none"/>
        </w:rPr>
        <w:t>〕</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32</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相关文件，</w:t>
      </w:r>
      <w:r>
        <w:rPr>
          <w:rFonts w:hint="eastAsia" w:ascii="仿宋_GB2312" w:hAnsi="仿宋_GB2312" w:eastAsia="仿宋_GB2312" w:cs="仿宋_GB2312"/>
          <w:sz w:val="32"/>
          <w:szCs w:val="32"/>
          <w:lang w:eastAsia="zh-CN"/>
        </w:rPr>
        <w:t>经研究，原则同意你单位建设安贞医院东侧地块项目航油管线迁改工程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现就有关事项批复如下：</w:t>
      </w:r>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一、建设地点：本项目位于通州区宋庄镇，迁改地点位于六合北街至潞苑二街区域内。</w:t>
      </w:r>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建设内容及规模：</w:t>
      </w:r>
      <w:bookmarkStart w:id="5" w:name="OLE_LINK6"/>
      <w:r>
        <w:rPr>
          <w:rFonts w:hint="eastAsia" w:ascii="仿宋_GB2312" w:hAnsi="仿宋_GB2312" w:eastAsia="仿宋_GB2312" w:cs="仿宋_GB2312"/>
          <w:sz w:val="32"/>
          <w:szCs w:val="32"/>
        </w:rPr>
        <w:t>本工程对中航油管道穿越安贞医院东侧地块位置处的DN300毫米航油管道进行迁改，</w:t>
      </w:r>
      <w:bookmarkEnd w:id="5"/>
      <w:r>
        <w:rPr>
          <w:rFonts w:hint="eastAsia" w:ascii="仿宋_GB2312" w:hAnsi="仿宋_GB2312" w:eastAsia="仿宋_GB2312" w:cs="仿宋_GB2312"/>
          <w:sz w:val="32"/>
          <w:szCs w:val="32"/>
        </w:rPr>
        <w:t>迁改起点位于六合北街南侧，含章东二路西侧公共绿地内，自现状航油管线迁改移起点向东北敷设约122米，而后折向北敷设约139米，再转向西敷设约119.7米后联通原有管道，改线</w:t>
      </w:r>
      <w:r>
        <w:rPr>
          <w:rFonts w:hint="eastAsia" w:ascii="仿宋_GB2312" w:hAnsi="仿宋_GB2312" w:eastAsia="仿宋_GB2312" w:cs="仿宋_GB2312"/>
          <w:sz w:val="32"/>
          <w:szCs w:val="32"/>
          <w:lang w:eastAsia="zh-CN"/>
        </w:rPr>
        <w:t>终点</w:t>
      </w:r>
      <w:r>
        <w:rPr>
          <w:rFonts w:hint="eastAsia" w:ascii="仿宋_GB2312" w:hAnsi="仿宋_GB2312" w:eastAsia="仿宋_GB2312" w:cs="仿宋_GB2312"/>
          <w:sz w:val="32"/>
          <w:szCs w:val="32"/>
        </w:rPr>
        <w:t>位于潞苑二街南侧约22米处，</w:t>
      </w:r>
      <w:bookmarkStart w:id="6" w:name="OLE_LINK7"/>
      <w:r>
        <w:rPr>
          <w:rFonts w:hint="eastAsia" w:ascii="仿宋_GB2312" w:hAnsi="仿宋_GB2312" w:eastAsia="仿宋_GB2312" w:cs="仿宋_GB2312"/>
          <w:sz w:val="32"/>
          <w:szCs w:val="32"/>
        </w:rPr>
        <w:t>迁改管道总长度约380.7米。</w:t>
      </w:r>
      <w:bookmarkEnd w:id="6"/>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三、投资规模</w:t>
      </w:r>
      <w:r>
        <w:rPr>
          <w:rFonts w:hint="eastAsia" w:ascii="仿宋_GB2312" w:hAnsi="仿宋_GB2312" w:eastAsia="仿宋_GB2312" w:cs="仿宋_GB2312"/>
          <w:sz w:val="32"/>
          <w:szCs w:val="32"/>
        </w:rPr>
        <w:t>及资金来源：</w:t>
      </w:r>
      <w:r>
        <w:rPr>
          <w:rFonts w:hint="eastAsia" w:ascii="仿宋_GB2312" w:hAnsi="仿宋_GB2312" w:eastAsia="仿宋_GB2312" w:cs="仿宋_GB2312"/>
          <w:sz w:val="32"/>
          <w:szCs w:val="32"/>
          <w:lang w:eastAsia="zh-CN"/>
        </w:rPr>
        <w:t>项目总投资约1285.1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，所需资金全部由北京艺创晨安置业有限公司自筹解决。</w:t>
      </w:r>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四、本批复附《建设项目招标方案核准意见书》1份。请据此依法开展招标工作。在建设项目实施过程中，确有特殊情况需要变更已核准的招标方案的，应当报送我委重新核准。</w:t>
      </w:r>
    </w:p>
    <w:p>
      <w:pPr>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本批复有效期2年,请据此开展相关工作。如需延期</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工建设的，应当在2年期限届满的30个工作日前，向我委提出延期申请。</w:t>
      </w:r>
      <w:bookmarkStart w:id="10" w:name="_GoBack"/>
      <w:bookmarkEnd w:id="10"/>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ind w:firstLine="640" w:firstLineChars="200"/>
        <w:textAlignment w:val="baseline"/>
        <w:outlineLvl w:val="9"/>
        <w:rPr>
          <w:rFonts w:hint="eastAsia"/>
        </w:rPr>
      </w:pPr>
      <w:r>
        <w:rPr>
          <w:rFonts w:hint="eastAsia" w:ascii="仿宋_GB2312" w:hAnsi="仿宋_GB2312" w:eastAsia="仿宋_GB2312" w:cs="仿宋_GB2312"/>
          <w:sz w:val="32"/>
          <w:szCs w:val="32"/>
        </w:rPr>
        <w:t>附件：建设项目招标方案核准意见书</w:t>
      </w: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ind w:firstLine="3840" w:firstLineChars="1200"/>
        <w:textAlignment w:val="baseline"/>
        <w:outlineLvl w:val="9"/>
        <w:rPr>
          <w:rFonts w:hint="eastAsia" w:ascii="仿宋_GB2312" w:hAnsi="仿宋_GB2312" w:eastAsia="仿宋_GB2312" w:cs="仿宋_GB2312"/>
          <w:sz w:val="32"/>
          <w:szCs w:val="32"/>
        </w:rPr>
      </w:pP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ind w:firstLine="3840" w:firstLineChars="1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w:t>
      </w:r>
      <w:r>
        <w:rPr>
          <w:rFonts w:hint="eastAsia" w:ascii="仿宋_GB2312" w:hAnsi="仿宋_GB2312" w:eastAsia="仿宋_GB2312" w:cs="仿宋_GB2312"/>
          <w:sz w:val="32"/>
          <w:szCs w:val="32"/>
          <w:lang w:eastAsia="zh-CN"/>
        </w:rPr>
        <w:t>通州区</w:t>
      </w:r>
      <w:r>
        <w:rPr>
          <w:rFonts w:hint="eastAsia" w:ascii="仿宋_GB2312" w:hAnsi="仿宋_GB2312" w:eastAsia="仿宋_GB2312" w:cs="仿宋_GB2312"/>
          <w:sz w:val="32"/>
          <w:szCs w:val="32"/>
        </w:rPr>
        <w:t>发展和改革委员会</w:t>
      </w:r>
    </w:p>
    <w:p>
      <w:pPr>
        <w:keepNext w:val="0"/>
        <w:keepLines w:val="0"/>
        <w:pageBreakBefore w:val="0"/>
        <w:widowControl w:val="0"/>
        <w:tabs>
          <w:tab w:val="left" w:pos="4680"/>
        </w:tabs>
        <w:kinsoku/>
        <w:wordWrap/>
        <w:overflowPunct/>
        <w:topLinePunct w:val="0"/>
        <w:autoSpaceDE/>
        <w:autoSpaceDN/>
        <w:bidi w:val="0"/>
        <w:adjustRightInd w:val="0"/>
        <w:snapToGrid w:val="0"/>
        <w:spacing w:line="540" w:lineRule="exact"/>
        <w:ind w:firstLine="4800" w:firstLineChars="15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日</w:t>
      </w:r>
    </w:p>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tabs>
          <w:tab w:val="left" w:pos="4680"/>
        </w:tabs>
        <w:kinsoku/>
        <w:wordWrap/>
        <w:overflowPunct/>
        <w:topLinePunct w:val="0"/>
        <w:autoSpaceDE/>
        <w:autoSpaceDN/>
        <w:bidi w:val="0"/>
        <w:adjustRightInd w:val="0"/>
        <w:snapToGrid w:val="0"/>
        <w:spacing w:line="560" w:lineRule="exact"/>
        <w:textAlignment w:val="baseline"/>
        <w:outlineLvl w:val="9"/>
        <w:rPr>
          <w:rFonts w:hint="eastAsia" w:ascii="黑体" w:hAnsi="黑体" w:eastAsia="黑体" w:cs="黑体"/>
          <w:sz w:val="32"/>
          <w:szCs w:val="32"/>
          <w:lang w:eastAsia="zh-CN"/>
        </w:rPr>
      </w:pPr>
      <w:r>
        <w:rPr>
          <w:rFonts w:hint="eastAsia" w:ascii="黑体" w:hAnsi="黑体" w:eastAsia="黑体" w:cs="黑体"/>
          <w:sz w:val="32"/>
          <w:szCs w:val="32"/>
        </w:rPr>
        <w:t>附件</w:t>
      </w:r>
    </w:p>
    <w:p>
      <w:pPr>
        <w:jc w:val="center"/>
        <w:rPr>
          <w:rFonts w:ascii="仿宋_GB2312"/>
        </w:rPr>
      </w:pPr>
      <w:bookmarkStart w:id="7" w:name="table_title"/>
      <w:r>
        <w:rPr>
          <w:rFonts w:hint="eastAsia" w:ascii="方正小标宋简体" w:hAnsi="黑体" w:eastAsia="方正小标宋简体" w:cs="宋体"/>
          <w:bCs/>
          <w:kern w:val="0"/>
          <w:sz w:val="44"/>
          <w:szCs w:val="44"/>
        </w:rPr>
        <w:t>建设项目招标方案核准意见书</w:t>
      </w:r>
      <w:bookmarkEnd w:id="7"/>
      <w:r>
        <w:rPr>
          <w:rFonts w:hint="eastAsia" w:ascii="方正小标宋简体" w:hAnsi="黑体" w:eastAsia="方正小标宋简体"/>
          <w:vanish/>
          <w:sz w:val="44"/>
          <w:szCs w:val="44"/>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项目名称：安贞医院东侧地块项目航油管线迁改工程</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4"/>
          <w:lang w:val="en-US" w:eastAsia="zh-CN"/>
        </w:rPr>
        <w:t>项目建设单位名称：</w:t>
      </w:r>
      <w:bookmarkStart w:id="8" w:name="book_bid_tab"/>
      <w:r>
        <w:rPr>
          <w:rFonts w:hint="eastAsia" w:ascii="仿宋_GB2312" w:hAnsi="仿宋_GB2312" w:eastAsia="仿宋_GB2312" w:cs="仿宋_GB2312"/>
          <w:sz w:val="24"/>
          <w:szCs w:val="24"/>
          <w:lang w:val="en-US" w:eastAsia="zh-CN"/>
        </w:rPr>
        <w:t>北京艺创晨安置业有限公司</w:t>
      </w:r>
    </w:p>
    <w:tbl>
      <w:tblPr>
        <w:tblStyle w:val="10"/>
        <w:tblpPr w:leftFromText="180" w:rightFromText="180" w:vertAnchor="text" w:horzAnchor="page" w:tblpX="1588" w:tblpY="285"/>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236"/>
        <w:gridCol w:w="1339"/>
        <w:gridCol w:w="1505"/>
        <w:gridCol w:w="1506"/>
        <w:gridCol w:w="108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075" w:type="dxa"/>
            <w:vAlign w:val="center"/>
          </w:tcPr>
          <w:p>
            <w:pPr>
              <w:spacing w:line="300" w:lineRule="exact"/>
              <w:jc w:val="center"/>
              <w:rPr>
                <w:rFonts w:hint="eastAsia" w:ascii="仿宋_GB2312" w:hAnsi="黑体" w:eastAsia="仿宋_GB2312" w:cs="黑体"/>
                <w:kern w:val="0"/>
                <w:sz w:val="21"/>
                <w:szCs w:val="21"/>
              </w:rPr>
            </w:pPr>
          </w:p>
        </w:tc>
        <w:tc>
          <w:tcPr>
            <w:tcW w:w="1236"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采购细项</w:t>
            </w:r>
          </w:p>
        </w:tc>
        <w:tc>
          <w:tcPr>
            <w:tcW w:w="1339"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单项合同</w:t>
            </w:r>
          </w:p>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估算金额</w:t>
            </w:r>
          </w:p>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（万元）</w:t>
            </w:r>
          </w:p>
        </w:tc>
        <w:tc>
          <w:tcPr>
            <w:tcW w:w="1505"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招标方式</w:t>
            </w:r>
          </w:p>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（公开招标或邀请招标）</w:t>
            </w:r>
          </w:p>
        </w:tc>
        <w:tc>
          <w:tcPr>
            <w:tcW w:w="1506"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招标组织形式</w:t>
            </w:r>
          </w:p>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（自行招标或委托招标）</w:t>
            </w:r>
          </w:p>
        </w:tc>
        <w:tc>
          <w:tcPr>
            <w:tcW w:w="1080"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不采用招标形式</w:t>
            </w:r>
          </w:p>
        </w:tc>
        <w:tc>
          <w:tcPr>
            <w:tcW w:w="1331"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75"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勘察</w:t>
            </w:r>
          </w:p>
        </w:tc>
        <w:tc>
          <w:tcPr>
            <w:tcW w:w="1236"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全部</w:t>
            </w:r>
          </w:p>
        </w:tc>
        <w:tc>
          <w:tcPr>
            <w:tcW w:w="1339" w:type="dxa"/>
            <w:vAlign w:val="center"/>
          </w:tcPr>
          <w:p>
            <w:pPr>
              <w:spacing w:line="300" w:lineRule="exact"/>
              <w:jc w:val="center"/>
              <w:rPr>
                <w:rFonts w:hint="default"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5.0</w:t>
            </w:r>
          </w:p>
        </w:tc>
        <w:tc>
          <w:tcPr>
            <w:tcW w:w="1505" w:type="dxa"/>
            <w:vAlign w:val="center"/>
          </w:tcPr>
          <w:p>
            <w:pPr>
              <w:spacing w:line="300" w:lineRule="exact"/>
              <w:jc w:val="center"/>
              <w:rPr>
                <w:rFonts w:hint="eastAsia" w:ascii="仿宋_GB2312" w:hAnsi="黑体" w:eastAsia="仿宋_GB2312" w:cs="黑体"/>
                <w:kern w:val="0"/>
                <w:sz w:val="21"/>
                <w:szCs w:val="21"/>
              </w:rPr>
            </w:pPr>
          </w:p>
        </w:tc>
        <w:tc>
          <w:tcPr>
            <w:tcW w:w="1506" w:type="dxa"/>
            <w:vAlign w:val="center"/>
          </w:tcPr>
          <w:p>
            <w:pPr>
              <w:spacing w:line="300" w:lineRule="exact"/>
              <w:jc w:val="center"/>
              <w:rPr>
                <w:rFonts w:hint="eastAsia" w:ascii="仿宋_GB2312" w:hAnsi="黑体" w:eastAsia="仿宋_GB2312" w:cs="黑体"/>
                <w:kern w:val="0"/>
                <w:sz w:val="21"/>
                <w:szCs w:val="21"/>
              </w:rPr>
            </w:pPr>
          </w:p>
        </w:tc>
        <w:tc>
          <w:tcPr>
            <w:tcW w:w="1080" w:type="dxa"/>
            <w:vAlign w:val="center"/>
          </w:tcPr>
          <w:p>
            <w:pPr>
              <w:spacing w:line="300" w:lineRule="exact"/>
              <w:jc w:val="center"/>
              <w:rPr>
                <w:rFonts w:hint="eastAsia"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w:t>
            </w:r>
          </w:p>
        </w:tc>
        <w:tc>
          <w:tcPr>
            <w:tcW w:w="1331"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未达到招标金额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75"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rPr>
              <w:t>设计</w:t>
            </w:r>
          </w:p>
        </w:tc>
        <w:tc>
          <w:tcPr>
            <w:tcW w:w="1236"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全部</w:t>
            </w:r>
          </w:p>
        </w:tc>
        <w:tc>
          <w:tcPr>
            <w:tcW w:w="1339" w:type="dxa"/>
            <w:vAlign w:val="center"/>
          </w:tcPr>
          <w:p>
            <w:pPr>
              <w:spacing w:line="300" w:lineRule="exact"/>
              <w:jc w:val="center"/>
              <w:rPr>
                <w:rFonts w:hint="default" w:ascii="仿宋_GB2312" w:hAnsi="黑体" w:eastAsia="仿宋_GB2312" w:cs="黑体"/>
                <w:kern w:val="0"/>
                <w:sz w:val="21"/>
                <w:szCs w:val="21"/>
                <w:lang w:val="en-US" w:eastAsia="zh-CN"/>
              </w:rPr>
            </w:pPr>
            <w:r>
              <w:rPr>
                <w:rFonts w:hint="default" w:ascii="仿宋_GB2312" w:hAnsi="黑体" w:eastAsia="仿宋_GB2312" w:cs="黑体"/>
                <w:kern w:val="0"/>
                <w:sz w:val="21"/>
                <w:szCs w:val="21"/>
                <w:lang w:val="en-US" w:eastAsia="zh-CN"/>
              </w:rPr>
              <w:t>32.</w:t>
            </w:r>
            <w:r>
              <w:rPr>
                <w:rFonts w:hint="eastAsia" w:ascii="仿宋_GB2312" w:hAnsi="黑体" w:eastAsia="仿宋_GB2312" w:cs="黑体"/>
                <w:kern w:val="0"/>
                <w:sz w:val="21"/>
                <w:szCs w:val="21"/>
                <w:lang w:val="en-US" w:eastAsia="zh-CN"/>
              </w:rPr>
              <w:t>3</w:t>
            </w:r>
          </w:p>
        </w:tc>
        <w:tc>
          <w:tcPr>
            <w:tcW w:w="1505" w:type="dxa"/>
            <w:vAlign w:val="center"/>
          </w:tcPr>
          <w:p>
            <w:pPr>
              <w:jc w:val="center"/>
              <w:rPr>
                <w:rFonts w:hint="eastAsia" w:ascii="仿宋_GB2312" w:hAnsi="仿宋_GB2312" w:eastAsia="仿宋_GB2312" w:cs="仿宋_GB2312"/>
                <w:kern w:val="2"/>
                <w:sz w:val="21"/>
                <w:szCs w:val="21"/>
                <w:lang w:val="en-US" w:eastAsia="zh-CN" w:bidi="ar-SA"/>
              </w:rPr>
            </w:pPr>
          </w:p>
        </w:tc>
        <w:tc>
          <w:tcPr>
            <w:tcW w:w="1506" w:type="dxa"/>
            <w:vAlign w:val="center"/>
          </w:tcPr>
          <w:p>
            <w:pPr>
              <w:jc w:val="center"/>
              <w:rPr>
                <w:rFonts w:hint="eastAsia" w:ascii="仿宋_GB2312" w:hAnsi="仿宋_GB2312" w:eastAsia="仿宋_GB2312" w:cs="仿宋_GB2312"/>
                <w:kern w:val="2"/>
                <w:sz w:val="21"/>
                <w:szCs w:val="21"/>
                <w:lang w:val="en-US" w:eastAsia="zh-CN" w:bidi="ar-SA"/>
              </w:rPr>
            </w:pPr>
          </w:p>
        </w:tc>
        <w:tc>
          <w:tcPr>
            <w:tcW w:w="1080" w:type="dxa"/>
            <w:vAlign w:val="center"/>
          </w:tcPr>
          <w:p>
            <w:pPr>
              <w:spacing w:line="300" w:lineRule="exact"/>
              <w:jc w:val="center"/>
              <w:rPr>
                <w:rFonts w:hint="eastAsia" w:ascii="仿宋_GB2312" w:hAnsi="黑体" w:eastAsia="仿宋_GB2312" w:cs="黑体"/>
                <w:kern w:val="0"/>
                <w:sz w:val="21"/>
                <w:szCs w:val="21"/>
              </w:rPr>
            </w:pPr>
            <w:r>
              <w:rPr>
                <w:rFonts w:hint="eastAsia" w:ascii="仿宋_GB2312" w:hAnsi="黑体" w:eastAsia="仿宋_GB2312" w:cs="黑体"/>
                <w:kern w:val="0"/>
                <w:sz w:val="21"/>
                <w:szCs w:val="21"/>
                <w:lang w:val="en-US" w:eastAsia="zh-CN"/>
              </w:rPr>
              <w:t>√</w:t>
            </w:r>
          </w:p>
        </w:tc>
        <w:tc>
          <w:tcPr>
            <w:tcW w:w="1331" w:type="dxa"/>
            <w:vAlign w:val="center"/>
          </w:tcPr>
          <w:p>
            <w:pPr>
              <w:spacing w:line="300" w:lineRule="exact"/>
              <w:jc w:val="center"/>
              <w:rPr>
                <w:rFonts w:hint="default"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eastAsia="zh-CN"/>
              </w:rPr>
              <w:t>未达到招标金额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5" w:type="dxa"/>
            <w:vAlign w:val="center"/>
          </w:tcPr>
          <w:p>
            <w:pPr>
              <w:spacing w:line="300" w:lineRule="exact"/>
              <w:jc w:val="center"/>
              <w:rPr>
                <w:rFonts w:hint="eastAsia"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施工</w:t>
            </w:r>
          </w:p>
        </w:tc>
        <w:tc>
          <w:tcPr>
            <w:tcW w:w="1236"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全部</w:t>
            </w:r>
          </w:p>
        </w:tc>
        <w:tc>
          <w:tcPr>
            <w:tcW w:w="1339" w:type="dxa"/>
            <w:vAlign w:val="center"/>
          </w:tcPr>
          <w:p>
            <w:pPr>
              <w:spacing w:line="300" w:lineRule="exact"/>
              <w:jc w:val="center"/>
              <w:rPr>
                <w:rFonts w:hint="default" w:ascii="仿宋_GB2312" w:hAnsi="黑体" w:eastAsia="仿宋_GB2312" w:cs="黑体"/>
                <w:kern w:val="0"/>
                <w:sz w:val="21"/>
                <w:szCs w:val="21"/>
                <w:lang w:val="en-US" w:eastAsia="zh-CN"/>
              </w:rPr>
            </w:pPr>
            <w:r>
              <w:rPr>
                <w:rFonts w:hint="default" w:ascii="仿宋_GB2312" w:hAnsi="黑体" w:eastAsia="仿宋_GB2312" w:cs="黑体"/>
                <w:kern w:val="0"/>
                <w:sz w:val="21"/>
                <w:szCs w:val="21"/>
                <w:lang w:val="en-US" w:eastAsia="zh-CN"/>
              </w:rPr>
              <w:t>464.6</w:t>
            </w:r>
          </w:p>
        </w:tc>
        <w:tc>
          <w:tcPr>
            <w:tcW w:w="1505" w:type="dxa"/>
            <w:vAlign w:val="center"/>
          </w:tcPr>
          <w:p>
            <w:pPr>
              <w:spacing w:line="30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公开招标</w:t>
            </w:r>
          </w:p>
        </w:tc>
        <w:tc>
          <w:tcPr>
            <w:tcW w:w="1506" w:type="dxa"/>
            <w:vAlign w:val="center"/>
          </w:tcPr>
          <w:p>
            <w:pPr>
              <w:spacing w:line="30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委托招标</w:t>
            </w:r>
          </w:p>
        </w:tc>
        <w:tc>
          <w:tcPr>
            <w:tcW w:w="1080" w:type="dxa"/>
            <w:vAlign w:val="center"/>
          </w:tcPr>
          <w:p>
            <w:pPr>
              <w:spacing w:line="300" w:lineRule="exact"/>
              <w:jc w:val="center"/>
              <w:rPr>
                <w:rFonts w:hint="eastAsia" w:ascii="仿宋_GB2312" w:hAnsi="黑体" w:eastAsia="仿宋_GB2312" w:cs="黑体"/>
                <w:kern w:val="0"/>
                <w:sz w:val="21"/>
                <w:szCs w:val="21"/>
                <w:lang w:val="en-US" w:eastAsia="zh-CN" w:bidi="ar-SA"/>
              </w:rPr>
            </w:pPr>
          </w:p>
        </w:tc>
        <w:tc>
          <w:tcPr>
            <w:tcW w:w="1331" w:type="dxa"/>
            <w:vAlign w:val="center"/>
          </w:tcPr>
          <w:p>
            <w:pPr>
              <w:spacing w:line="300" w:lineRule="exact"/>
              <w:jc w:val="center"/>
              <w:rPr>
                <w:rFonts w:hint="eastAsia" w:ascii="仿宋_GB2312" w:hAnsi="黑体" w:eastAsia="仿宋_GB2312" w:cs="黑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75"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监理</w:t>
            </w:r>
          </w:p>
        </w:tc>
        <w:tc>
          <w:tcPr>
            <w:tcW w:w="1236"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全部</w:t>
            </w:r>
          </w:p>
        </w:tc>
        <w:tc>
          <w:tcPr>
            <w:tcW w:w="1339" w:type="dxa"/>
            <w:vAlign w:val="center"/>
          </w:tcPr>
          <w:p>
            <w:pPr>
              <w:spacing w:line="300" w:lineRule="exact"/>
              <w:jc w:val="center"/>
              <w:rPr>
                <w:rFonts w:hint="default"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15.3</w:t>
            </w:r>
          </w:p>
        </w:tc>
        <w:tc>
          <w:tcPr>
            <w:tcW w:w="1505" w:type="dxa"/>
            <w:vAlign w:val="center"/>
          </w:tcPr>
          <w:p>
            <w:pPr>
              <w:jc w:val="center"/>
              <w:rPr>
                <w:rFonts w:hint="eastAsia" w:ascii="仿宋_GB2312" w:hAnsi="仿宋_GB2312" w:eastAsia="仿宋_GB2312" w:cs="仿宋_GB2312"/>
                <w:kern w:val="2"/>
                <w:sz w:val="21"/>
                <w:szCs w:val="21"/>
                <w:lang w:val="en-US" w:eastAsia="zh-CN" w:bidi="ar-SA"/>
              </w:rPr>
            </w:pPr>
          </w:p>
        </w:tc>
        <w:tc>
          <w:tcPr>
            <w:tcW w:w="1506" w:type="dxa"/>
            <w:vAlign w:val="center"/>
          </w:tcPr>
          <w:p>
            <w:pPr>
              <w:jc w:val="center"/>
              <w:rPr>
                <w:rFonts w:hint="eastAsia" w:ascii="仿宋_GB2312" w:hAnsi="仿宋_GB2312" w:eastAsia="仿宋_GB2312" w:cs="仿宋_GB2312"/>
                <w:kern w:val="2"/>
                <w:sz w:val="21"/>
                <w:szCs w:val="21"/>
                <w:lang w:val="en-US" w:eastAsia="zh-CN" w:bidi="ar-SA"/>
              </w:rPr>
            </w:pPr>
          </w:p>
        </w:tc>
        <w:tc>
          <w:tcPr>
            <w:tcW w:w="1080"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val="en-US" w:eastAsia="zh-CN"/>
              </w:rPr>
              <w:t>√</w:t>
            </w:r>
          </w:p>
        </w:tc>
        <w:tc>
          <w:tcPr>
            <w:tcW w:w="1331" w:type="dxa"/>
            <w:vAlign w:val="center"/>
          </w:tcPr>
          <w:p>
            <w:pPr>
              <w:spacing w:line="300" w:lineRule="exact"/>
              <w:jc w:val="center"/>
              <w:rPr>
                <w:rFonts w:hint="eastAsia" w:ascii="仿宋_GB2312" w:hAnsi="黑体" w:eastAsia="仿宋_GB2312" w:cs="黑体"/>
                <w:kern w:val="0"/>
                <w:sz w:val="21"/>
                <w:szCs w:val="21"/>
                <w:lang w:val="en-US" w:eastAsia="zh-CN" w:bidi="ar-SA"/>
              </w:rPr>
            </w:pPr>
            <w:r>
              <w:rPr>
                <w:rFonts w:hint="eastAsia" w:ascii="仿宋_GB2312" w:hAnsi="黑体" w:eastAsia="仿宋_GB2312" w:cs="黑体"/>
                <w:kern w:val="0"/>
                <w:sz w:val="21"/>
                <w:szCs w:val="21"/>
                <w:lang w:eastAsia="zh-CN"/>
              </w:rPr>
              <w:t>未达到招标金额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75"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重要材料</w:t>
            </w:r>
          </w:p>
        </w:tc>
        <w:tc>
          <w:tcPr>
            <w:tcW w:w="1236"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全部</w:t>
            </w:r>
          </w:p>
        </w:tc>
        <w:tc>
          <w:tcPr>
            <w:tcW w:w="1339" w:type="dxa"/>
            <w:vAlign w:val="center"/>
          </w:tcPr>
          <w:p>
            <w:pPr>
              <w:spacing w:line="300" w:lineRule="exact"/>
              <w:jc w:val="center"/>
              <w:rPr>
                <w:rFonts w:hint="eastAsia" w:ascii="仿宋_GB2312" w:hAnsi="黑体" w:eastAsia="仿宋_GB2312" w:cs="黑体"/>
                <w:kern w:val="0"/>
                <w:sz w:val="21"/>
                <w:szCs w:val="21"/>
                <w:lang w:val="en-US" w:eastAsia="zh-CN"/>
              </w:rPr>
            </w:pPr>
          </w:p>
        </w:tc>
        <w:tc>
          <w:tcPr>
            <w:tcW w:w="1505" w:type="dxa"/>
            <w:vAlign w:val="center"/>
          </w:tcPr>
          <w:p>
            <w:pPr>
              <w:jc w:val="center"/>
              <w:rPr>
                <w:rFonts w:hint="eastAsia" w:ascii="仿宋_GB2312" w:hAnsi="仿宋_GB2312" w:eastAsia="仿宋_GB2312" w:cs="仿宋_GB2312"/>
                <w:kern w:val="2"/>
                <w:sz w:val="21"/>
                <w:szCs w:val="21"/>
                <w:lang w:val="en-US" w:eastAsia="zh-CN" w:bidi="ar-SA"/>
              </w:rPr>
            </w:pPr>
          </w:p>
        </w:tc>
        <w:tc>
          <w:tcPr>
            <w:tcW w:w="1506" w:type="dxa"/>
            <w:vAlign w:val="center"/>
          </w:tcPr>
          <w:p>
            <w:pPr>
              <w:jc w:val="center"/>
              <w:rPr>
                <w:rFonts w:hint="eastAsia" w:ascii="仿宋_GB2312" w:hAnsi="仿宋_GB2312" w:eastAsia="仿宋_GB2312" w:cs="仿宋_GB2312"/>
                <w:kern w:val="2"/>
                <w:sz w:val="21"/>
                <w:szCs w:val="21"/>
                <w:lang w:val="en-US" w:eastAsia="zh-CN" w:bidi="ar-SA"/>
              </w:rPr>
            </w:pPr>
          </w:p>
        </w:tc>
        <w:tc>
          <w:tcPr>
            <w:tcW w:w="1080" w:type="dxa"/>
            <w:vAlign w:val="center"/>
          </w:tcPr>
          <w:p>
            <w:pPr>
              <w:spacing w:line="300" w:lineRule="exact"/>
              <w:jc w:val="center"/>
              <w:rPr>
                <w:rFonts w:hint="eastAsia" w:ascii="仿宋_GB2312" w:hAnsi="黑体" w:eastAsia="仿宋_GB2312" w:cs="黑体"/>
                <w:kern w:val="0"/>
                <w:sz w:val="21"/>
                <w:szCs w:val="21"/>
                <w:lang w:val="en-US" w:eastAsia="zh-CN"/>
              </w:rPr>
            </w:pPr>
          </w:p>
        </w:tc>
        <w:tc>
          <w:tcPr>
            <w:tcW w:w="1331"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含在施工中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5" w:type="dxa"/>
            <w:vAlign w:val="center"/>
          </w:tcPr>
          <w:p>
            <w:pPr>
              <w:spacing w:line="300" w:lineRule="exact"/>
              <w:jc w:val="center"/>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lang w:eastAsia="zh-CN"/>
              </w:rPr>
              <w:t>其他</w:t>
            </w:r>
          </w:p>
        </w:tc>
        <w:tc>
          <w:tcPr>
            <w:tcW w:w="1236" w:type="dxa"/>
            <w:vAlign w:val="center"/>
          </w:tcPr>
          <w:p>
            <w:pPr>
              <w:spacing w:line="300" w:lineRule="exact"/>
              <w:jc w:val="both"/>
              <w:rPr>
                <w:rFonts w:hint="default" w:ascii="仿宋_GB2312" w:hAnsi="黑体" w:eastAsia="仿宋_GB2312" w:cs="黑体"/>
                <w:kern w:val="0"/>
                <w:sz w:val="21"/>
                <w:szCs w:val="21"/>
                <w:lang w:val="en-US" w:eastAsia="zh-CN"/>
              </w:rPr>
            </w:pPr>
          </w:p>
        </w:tc>
        <w:tc>
          <w:tcPr>
            <w:tcW w:w="1339" w:type="dxa"/>
            <w:vAlign w:val="center"/>
          </w:tcPr>
          <w:p>
            <w:pPr>
              <w:spacing w:line="300" w:lineRule="exact"/>
              <w:jc w:val="center"/>
              <w:rPr>
                <w:rFonts w:hint="default" w:ascii="仿宋_GB2312" w:hAnsi="黑体" w:eastAsia="仿宋_GB2312" w:cs="黑体"/>
                <w:kern w:val="0"/>
                <w:sz w:val="21"/>
                <w:szCs w:val="21"/>
                <w:lang w:val="en-US" w:eastAsia="zh-CN"/>
              </w:rPr>
            </w:pPr>
            <w:r>
              <w:rPr>
                <w:rFonts w:hint="eastAsia" w:ascii="仿宋_GB2312" w:hAnsi="黑体" w:eastAsia="仿宋_GB2312" w:cs="黑体"/>
                <w:kern w:val="0"/>
                <w:sz w:val="21"/>
                <w:szCs w:val="21"/>
                <w:lang w:val="en-US" w:eastAsia="zh-CN"/>
              </w:rPr>
              <w:t>767.9</w:t>
            </w:r>
          </w:p>
        </w:tc>
        <w:tc>
          <w:tcPr>
            <w:tcW w:w="1505" w:type="dxa"/>
            <w:vAlign w:val="center"/>
          </w:tcPr>
          <w:p>
            <w:pPr>
              <w:spacing w:line="300" w:lineRule="exact"/>
              <w:jc w:val="center"/>
              <w:rPr>
                <w:rFonts w:hint="eastAsia" w:ascii="仿宋_GB2312" w:hAnsi="黑体" w:eastAsia="仿宋_GB2312" w:cs="黑体"/>
                <w:kern w:val="0"/>
                <w:sz w:val="21"/>
                <w:szCs w:val="21"/>
                <w:lang w:eastAsia="zh-CN"/>
              </w:rPr>
            </w:pPr>
          </w:p>
        </w:tc>
        <w:tc>
          <w:tcPr>
            <w:tcW w:w="1506" w:type="dxa"/>
            <w:vAlign w:val="center"/>
          </w:tcPr>
          <w:p>
            <w:pPr>
              <w:spacing w:line="300" w:lineRule="exact"/>
              <w:jc w:val="center"/>
              <w:rPr>
                <w:rFonts w:hint="eastAsia" w:ascii="仿宋_GB2312" w:hAnsi="黑体" w:eastAsia="仿宋_GB2312" w:cs="黑体"/>
                <w:kern w:val="0"/>
                <w:sz w:val="21"/>
                <w:szCs w:val="21"/>
                <w:lang w:eastAsia="zh-CN"/>
              </w:rPr>
            </w:pPr>
          </w:p>
        </w:tc>
        <w:tc>
          <w:tcPr>
            <w:tcW w:w="1080" w:type="dxa"/>
            <w:vAlign w:val="center"/>
          </w:tcPr>
          <w:p>
            <w:pPr>
              <w:spacing w:line="300" w:lineRule="exact"/>
              <w:jc w:val="both"/>
              <w:rPr>
                <w:rFonts w:hint="eastAsia" w:ascii="仿宋_GB2312" w:hAnsi="黑体" w:eastAsia="仿宋_GB2312" w:cs="黑体"/>
                <w:kern w:val="0"/>
                <w:sz w:val="21"/>
                <w:szCs w:val="21"/>
                <w:lang w:val="en-US" w:eastAsia="zh-CN" w:bidi="ar-SA"/>
              </w:rPr>
            </w:pPr>
          </w:p>
        </w:tc>
        <w:tc>
          <w:tcPr>
            <w:tcW w:w="1331" w:type="dxa"/>
            <w:vAlign w:val="center"/>
          </w:tcPr>
          <w:p>
            <w:pPr>
              <w:spacing w:line="300" w:lineRule="exact"/>
              <w:jc w:val="center"/>
              <w:rPr>
                <w:rFonts w:hint="eastAsia" w:ascii="仿宋_GB2312" w:hAnsi="黑体" w:eastAsia="仿宋_GB2312" w:cs="黑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072" w:type="dxa"/>
            <w:gridSpan w:val="7"/>
          </w:tcPr>
          <w:p>
            <w:pPr>
              <w:spacing w:line="300" w:lineRule="exact"/>
              <w:jc w:val="both"/>
              <w:rPr>
                <w:rFonts w:hint="eastAsia" w:ascii="仿宋_GB2312" w:hAnsi="黑体" w:eastAsia="仿宋_GB2312" w:cs="黑体"/>
                <w:kern w:val="0"/>
                <w:sz w:val="21"/>
                <w:szCs w:val="21"/>
                <w:lang w:eastAsia="zh-CN"/>
              </w:rPr>
            </w:pPr>
            <w:r>
              <w:rPr>
                <w:rFonts w:hint="eastAsia" w:ascii="仿宋_GB2312" w:hAnsi="黑体" w:eastAsia="仿宋_GB2312" w:cs="黑体"/>
                <w:kern w:val="0"/>
                <w:sz w:val="21"/>
                <w:szCs w:val="21"/>
              </w:rPr>
              <w:t>核准意见说明：</w:t>
            </w:r>
            <w:r>
              <w:rPr>
                <w:rFonts w:hint="eastAsia" w:ascii="仿宋_GB2312" w:hAnsi="黑体" w:eastAsia="仿宋_GB2312" w:cs="黑体"/>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072" w:type="dxa"/>
            <w:gridSpan w:val="7"/>
            <w:tcBorders>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注意事项：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rPr>
              <w:t>1</w:t>
            </w:r>
            <w:r>
              <w:rPr>
                <w:rFonts w:hint="eastAsia" w:ascii="仿宋_GB2312" w:hAnsi="仿宋_GB2312" w:eastAsia="仿宋_GB2312" w:cs="仿宋_GB2312"/>
                <w:kern w:val="0"/>
                <w:sz w:val="24"/>
                <w:szCs w:val="24"/>
              </w:rPr>
              <w:t>、</w:t>
            </w:r>
            <w:bookmarkStart w:id="9" w:name="OLE_LINK3"/>
            <w:r>
              <w:rPr>
                <w:rFonts w:hint="eastAsia" w:ascii="仿宋_GB2312" w:hAnsi="仿宋_GB2312" w:eastAsia="仿宋_GB2312" w:cs="仿宋_GB2312"/>
                <w:kern w:val="0"/>
                <w:sz w:val="24"/>
                <w:szCs w:val="24"/>
              </w:rPr>
              <w:t>根据《招标公告和公示信息发布管理办法》（国家发展改革委令第10号），依法必须招标项目的招标公告和公示信息应当在北京市公共资源交易服务平台、中国招标投标公共服务平台上发布。</w:t>
            </w:r>
            <w:bookmarkEnd w:id="9"/>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2、政府投资项目，项目单位应当将资格预审公告、招标公告、中标候选人公示、中标结果公示等信息在北京市公共资源交易服务平台（ggzyfw.beijing.gov.cn）上全过程公开。</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hAnsi="仿宋_GB2312" w:cs="仿宋_GB2312"/>
                <w:kern w:val="0"/>
                <w:sz w:val="21"/>
                <w:szCs w:val="21"/>
              </w:rPr>
            </w:pPr>
            <w:r>
              <w:rPr>
                <w:rFonts w:hint="eastAsia" w:ascii="仿宋_GB2312" w:hAnsi="仿宋_GB2312" w:eastAsia="仿宋_GB2312" w:cs="仿宋_GB2312"/>
                <w:kern w:val="0"/>
                <w:sz w:val="24"/>
                <w:szCs w:val="24"/>
              </w:rPr>
              <w:t>3、招标方案核准意见在本项目实施全过程有效。在项目实施过程中，如确有特殊情况需要变更已经核准的招标方案的，应当报我委重新核准。</w:t>
            </w: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2"/>
          <w:szCs w:val="21"/>
          <w:lang w:eastAsia="zh-CN"/>
        </w:rPr>
      </w:pPr>
    </w:p>
    <w:bookmarkEnd w:id="8"/>
    <w:tbl>
      <w:tblPr>
        <w:tblStyle w:val="10"/>
        <w:tblpPr w:leftFromText="181" w:rightFromText="181" w:vertAnchor="page" w:horzAnchor="page" w:tblpX="1563" w:tblpY="14336"/>
        <w:tblW w:w="8860" w:type="dxa"/>
        <w:tblInd w:w="0" w:type="dxa"/>
        <w:tblLayout w:type="fixed"/>
        <w:tblCellMar>
          <w:top w:w="0" w:type="dxa"/>
          <w:left w:w="0" w:type="dxa"/>
          <w:bottom w:w="0" w:type="dxa"/>
          <w:right w:w="0" w:type="dxa"/>
        </w:tblCellMar>
      </w:tblPr>
      <w:tblGrid>
        <w:gridCol w:w="4665"/>
        <w:gridCol w:w="4195"/>
      </w:tblGrid>
      <w:tr>
        <w:tblPrEx>
          <w:tblCellMar>
            <w:top w:w="0" w:type="dxa"/>
            <w:left w:w="0" w:type="dxa"/>
            <w:bottom w:w="0" w:type="dxa"/>
            <w:right w:w="0" w:type="dxa"/>
          </w:tblCellMar>
        </w:tblPrEx>
        <w:trPr>
          <w:cantSplit/>
          <w:trHeight w:val="578" w:hRule="atLeast"/>
        </w:trPr>
        <w:tc>
          <w:tcPr>
            <w:tcW w:w="4665" w:type="dxa"/>
            <w:tcBorders>
              <w:top w:val="single" w:color="auto" w:sz="4" w:space="0"/>
              <w:bottom w:val="single" w:color="auto" w:sz="8" w:space="0"/>
            </w:tcBorders>
            <w:tcMar>
              <w:left w:w="0" w:type="dxa"/>
              <w:right w:w="0" w:type="dxa"/>
            </w:tcMar>
            <w:vAlign w:val="center"/>
          </w:tcPr>
          <w:p>
            <w:pPr>
              <w:spacing w:line="520" w:lineRule="exact"/>
              <w:ind w:firstLine="280" w:firstLineChars="100"/>
              <w:rPr>
                <w:rFonts w:hint="eastAsia" w:ascii="仿宋_GB2312" w:hAnsi="仿宋_GB2312" w:eastAsia="仿宋_GB2312"/>
                <w:sz w:val="28"/>
              </w:rPr>
            </w:pPr>
            <w:r>
              <w:rPr>
                <w:rFonts w:hint="eastAsia" w:ascii="仿宋_GB2312" w:hAnsi="仿宋_GB2312" w:eastAsia="仿宋_GB2312"/>
                <w:sz w:val="28"/>
              </w:rPr>
              <w:t>通州区发展和改革委员会办公室</w:t>
            </w:r>
          </w:p>
        </w:tc>
        <w:tc>
          <w:tcPr>
            <w:tcW w:w="4195" w:type="dxa"/>
            <w:tcBorders>
              <w:top w:val="single" w:color="auto" w:sz="4" w:space="0"/>
              <w:bottom w:val="single" w:color="auto" w:sz="8" w:space="0"/>
            </w:tcBorders>
            <w:tcMar>
              <w:left w:w="0" w:type="dxa"/>
              <w:right w:w="0" w:type="dxa"/>
            </w:tcMar>
            <w:vAlign w:val="center"/>
          </w:tcPr>
          <w:p>
            <w:pPr>
              <w:spacing w:line="520" w:lineRule="exact"/>
              <w:jc w:val="center"/>
              <w:rPr>
                <w:rFonts w:hint="eastAsia" w:ascii="仿宋_GB2312" w:hAnsi="仿宋_GB2312" w:eastAsia="仿宋_GB2312"/>
                <w:sz w:val="28"/>
              </w:rPr>
            </w:pPr>
            <w:r>
              <w:rPr>
                <w:rFonts w:hint="eastAsia" w:ascii="仿宋_GB2312" w:hAnsi="仿宋_GB2312" w:eastAsia="仿宋_GB2312"/>
                <w:sz w:val="28"/>
                <w:lang w:val="en-US" w:eastAsia="zh-CN"/>
              </w:rPr>
              <w:t xml:space="preserve">     </w:t>
            </w:r>
            <w:r>
              <w:rPr>
                <w:rFonts w:hint="eastAsia" w:ascii="仿宋_GB2312" w:hAnsi="仿宋_GB2312" w:eastAsia="仿宋_GB2312"/>
                <w:sz w:val="28"/>
              </w:rPr>
              <w:t>202</w:t>
            </w:r>
            <w:r>
              <w:rPr>
                <w:rFonts w:hint="eastAsia" w:ascii="仿宋_GB2312" w:hAnsi="仿宋_GB2312" w:eastAsia="仿宋_GB2312"/>
                <w:sz w:val="28"/>
                <w:lang w:val="en-US" w:eastAsia="zh-CN"/>
              </w:rPr>
              <w:t>5</w:t>
            </w:r>
            <w:r>
              <w:rPr>
                <w:rFonts w:hint="eastAsia" w:ascii="仿宋_GB2312" w:hAnsi="仿宋_GB2312" w:eastAsia="仿宋_GB2312"/>
                <w:sz w:val="28"/>
              </w:rPr>
              <w:t>年</w:t>
            </w:r>
            <w:r>
              <w:rPr>
                <w:rFonts w:hint="eastAsia" w:ascii="仿宋_GB2312" w:hAnsi="仿宋_GB2312" w:eastAsia="仿宋_GB2312"/>
                <w:sz w:val="28"/>
                <w:lang w:val="en-US" w:eastAsia="zh-CN"/>
              </w:rPr>
              <w:t>8</w:t>
            </w:r>
            <w:r>
              <w:rPr>
                <w:rFonts w:hint="eastAsia" w:ascii="仿宋_GB2312" w:hAnsi="仿宋_GB2312" w:eastAsia="仿宋_GB2312"/>
                <w:sz w:val="28"/>
              </w:rPr>
              <w:t>月</w:t>
            </w:r>
            <w:r>
              <w:rPr>
                <w:rFonts w:hint="eastAsia" w:ascii="仿宋_GB2312" w:hAnsi="仿宋_GB2312" w:eastAsia="仿宋_GB2312"/>
                <w:sz w:val="28"/>
                <w:lang w:val="en-US" w:eastAsia="zh-CN"/>
              </w:rPr>
              <w:t>14</w:t>
            </w:r>
            <w:r>
              <w:rPr>
                <w:rFonts w:hint="eastAsia" w:ascii="仿宋_GB2312" w:hAnsi="仿宋_GB2312" w:eastAsia="仿宋_GB2312"/>
                <w:sz w:val="28"/>
              </w:rPr>
              <w:t>日印发</w:t>
            </w:r>
          </w:p>
        </w:tc>
      </w:tr>
    </w:tbl>
    <w:p>
      <w:pPr>
        <w:keepNext w:val="0"/>
        <w:keepLines w:val="0"/>
        <w:pageBreakBefore w:val="0"/>
        <w:widowControl w:val="0"/>
        <w:tabs>
          <w:tab w:val="left" w:pos="7350"/>
        </w:tabs>
        <w:kinsoku/>
        <w:wordWrap/>
        <w:overflowPunct/>
        <w:topLinePunct w:val="0"/>
        <w:autoSpaceDE/>
        <w:autoSpaceDN/>
        <w:bidi w:val="0"/>
        <w:adjustRightInd/>
        <w:snapToGrid/>
        <w:textAlignment w:val="auto"/>
        <w:rPr>
          <w:lang w:val="en-US" w:eastAsia="zh-CN"/>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4"/>
      </w:rPr>
    </w:pPr>
  </w:p>
  <w:p>
    <w:pPr>
      <w:pStyle w:val="6"/>
      <w:rPr>
        <w:rFonts w:hint="eastAsia" w:eastAsia="宋体"/>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NmY1YzM1NmFmNDA2MDE3OWM4OTkxODQ4ZGRiZDgifQ=="/>
  </w:docVars>
  <w:rsids>
    <w:rsidRoot w:val="00172A27"/>
    <w:rsid w:val="00005209"/>
    <w:rsid w:val="000149DD"/>
    <w:rsid w:val="000218F7"/>
    <w:rsid w:val="0002716F"/>
    <w:rsid w:val="00035244"/>
    <w:rsid w:val="0004527E"/>
    <w:rsid w:val="0008765D"/>
    <w:rsid w:val="00094A26"/>
    <w:rsid w:val="000A020F"/>
    <w:rsid w:val="000A174B"/>
    <w:rsid w:val="000B16E6"/>
    <w:rsid w:val="000C5EEC"/>
    <w:rsid w:val="000C76C2"/>
    <w:rsid w:val="000D3CCA"/>
    <w:rsid w:val="000D7115"/>
    <w:rsid w:val="000E1798"/>
    <w:rsid w:val="000F2C71"/>
    <w:rsid w:val="00121579"/>
    <w:rsid w:val="0012274D"/>
    <w:rsid w:val="00125F26"/>
    <w:rsid w:val="00151935"/>
    <w:rsid w:val="00172A27"/>
    <w:rsid w:val="00176C2A"/>
    <w:rsid w:val="0018600F"/>
    <w:rsid w:val="0019031B"/>
    <w:rsid w:val="001D0E26"/>
    <w:rsid w:val="001E06D0"/>
    <w:rsid w:val="001E4F17"/>
    <w:rsid w:val="00205F40"/>
    <w:rsid w:val="00220AEE"/>
    <w:rsid w:val="00231479"/>
    <w:rsid w:val="002371E8"/>
    <w:rsid w:val="00242FF7"/>
    <w:rsid w:val="00246D6C"/>
    <w:rsid w:val="00261785"/>
    <w:rsid w:val="002630AC"/>
    <w:rsid w:val="002722DC"/>
    <w:rsid w:val="00273768"/>
    <w:rsid w:val="002776B2"/>
    <w:rsid w:val="00280B74"/>
    <w:rsid w:val="00297B54"/>
    <w:rsid w:val="002A1788"/>
    <w:rsid w:val="002A5FDC"/>
    <w:rsid w:val="002B5782"/>
    <w:rsid w:val="002E7C61"/>
    <w:rsid w:val="00301210"/>
    <w:rsid w:val="0031512C"/>
    <w:rsid w:val="00333A20"/>
    <w:rsid w:val="003341AF"/>
    <w:rsid w:val="00334496"/>
    <w:rsid w:val="00385E34"/>
    <w:rsid w:val="003A1285"/>
    <w:rsid w:val="003A4D3C"/>
    <w:rsid w:val="003B0BE9"/>
    <w:rsid w:val="003D0AA2"/>
    <w:rsid w:val="004060F2"/>
    <w:rsid w:val="00416129"/>
    <w:rsid w:val="00446A93"/>
    <w:rsid w:val="00447C0B"/>
    <w:rsid w:val="00453300"/>
    <w:rsid w:val="00453583"/>
    <w:rsid w:val="00453CE3"/>
    <w:rsid w:val="00481296"/>
    <w:rsid w:val="00486678"/>
    <w:rsid w:val="0048763F"/>
    <w:rsid w:val="00492EF8"/>
    <w:rsid w:val="004B2133"/>
    <w:rsid w:val="004B71F1"/>
    <w:rsid w:val="004B7B08"/>
    <w:rsid w:val="004C268A"/>
    <w:rsid w:val="004C4538"/>
    <w:rsid w:val="004C6672"/>
    <w:rsid w:val="004C6BA1"/>
    <w:rsid w:val="004C7145"/>
    <w:rsid w:val="004C7A38"/>
    <w:rsid w:val="004D259D"/>
    <w:rsid w:val="004E1BCD"/>
    <w:rsid w:val="004E4C50"/>
    <w:rsid w:val="004E6839"/>
    <w:rsid w:val="004F6533"/>
    <w:rsid w:val="00507DFD"/>
    <w:rsid w:val="00510FC6"/>
    <w:rsid w:val="0054131E"/>
    <w:rsid w:val="005667B7"/>
    <w:rsid w:val="00566FDC"/>
    <w:rsid w:val="005742BE"/>
    <w:rsid w:val="005840D1"/>
    <w:rsid w:val="00591980"/>
    <w:rsid w:val="00597E54"/>
    <w:rsid w:val="005C6DB6"/>
    <w:rsid w:val="005E565F"/>
    <w:rsid w:val="00604D0A"/>
    <w:rsid w:val="00606140"/>
    <w:rsid w:val="006075DA"/>
    <w:rsid w:val="00615B66"/>
    <w:rsid w:val="00617C3C"/>
    <w:rsid w:val="006212A9"/>
    <w:rsid w:val="00621BB5"/>
    <w:rsid w:val="00621DA9"/>
    <w:rsid w:val="0065391C"/>
    <w:rsid w:val="00655430"/>
    <w:rsid w:val="00684E27"/>
    <w:rsid w:val="00695A40"/>
    <w:rsid w:val="00697581"/>
    <w:rsid w:val="006A006C"/>
    <w:rsid w:val="006A44F2"/>
    <w:rsid w:val="006D44A7"/>
    <w:rsid w:val="006D7EBF"/>
    <w:rsid w:val="006E4C88"/>
    <w:rsid w:val="006F4F4D"/>
    <w:rsid w:val="006F7785"/>
    <w:rsid w:val="00707E97"/>
    <w:rsid w:val="00714F00"/>
    <w:rsid w:val="00750DB9"/>
    <w:rsid w:val="00764D98"/>
    <w:rsid w:val="0078482E"/>
    <w:rsid w:val="00786CB5"/>
    <w:rsid w:val="007925AD"/>
    <w:rsid w:val="007C1D85"/>
    <w:rsid w:val="007D1E51"/>
    <w:rsid w:val="007E5474"/>
    <w:rsid w:val="007F67F7"/>
    <w:rsid w:val="00802A4A"/>
    <w:rsid w:val="00815DC4"/>
    <w:rsid w:val="008501FA"/>
    <w:rsid w:val="00852CE6"/>
    <w:rsid w:val="00863033"/>
    <w:rsid w:val="0089012D"/>
    <w:rsid w:val="008918A1"/>
    <w:rsid w:val="008A0825"/>
    <w:rsid w:val="008B5D5B"/>
    <w:rsid w:val="008C2A06"/>
    <w:rsid w:val="008D2E5D"/>
    <w:rsid w:val="008E3AB7"/>
    <w:rsid w:val="008F523E"/>
    <w:rsid w:val="0090583C"/>
    <w:rsid w:val="00905FE4"/>
    <w:rsid w:val="00961D62"/>
    <w:rsid w:val="00971EC0"/>
    <w:rsid w:val="0097273F"/>
    <w:rsid w:val="009813F8"/>
    <w:rsid w:val="00983BB4"/>
    <w:rsid w:val="009A2C79"/>
    <w:rsid w:val="009A6420"/>
    <w:rsid w:val="009A77BA"/>
    <w:rsid w:val="009C1F09"/>
    <w:rsid w:val="009C1F7C"/>
    <w:rsid w:val="009C5EE4"/>
    <w:rsid w:val="009D3C54"/>
    <w:rsid w:val="009D67EF"/>
    <w:rsid w:val="009D7672"/>
    <w:rsid w:val="009F35B7"/>
    <w:rsid w:val="009F6B0C"/>
    <w:rsid w:val="00A001C2"/>
    <w:rsid w:val="00A04487"/>
    <w:rsid w:val="00A05EBC"/>
    <w:rsid w:val="00A06C13"/>
    <w:rsid w:val="00A11F11"/>
    <w:rsid w:val="00A16F77"/>
    <w:rsid w:val="00A318F6"/>
    <w:rsid w:val="00A35BC1"/>
    <w:rsid w:val="00A55BB5"/>
    <w:rsid w:val="00A60B71"/>
    <w:rsid w:val="00A6427D"/>
    <w:rsid w:val="00A8377D"/>
    <w:rsid w:val="00A90C2C"/>
    <w:rsid w:val="00AC49B8"/>
    <w:rsid w:val="00AC7685"/>
    <w:rsid w:val="00AD1CEE"/>
    <w:rsid w:val="00AF562A"/>
    <w:rsid w:val="00B02372"/>
    <w:rsid w:val="00B031FA"/>
    <w:rsid w:val="00B10C12"/>
    <w:rsid w:val="00B211E6"/>
    <w:rsid w:val="00B2471E"/>
    <w:rsid w:val="00B42737"/>
    <w:rsid w:val="00B67488"/>
    <w:rsid w:val="00B80702"/>
    <w:rsid w:val="00BB099E"/>
    <w:rsid w:val="00BB6DAA"/>
    <w:rsid w:val="00BD6D3A"/>
    <w:rsid w:val="00BE382C"/>
    <w:rsid w:val="00BE6D90"/>
    <w:rsid w:val="00C002D8"/>
    <w:rsid w:val="00C0496E"/>
    <w:rsid w:val="00C05534"/>
    <w:rsid w:val="00C057C7"/>
    <w:rsid w:val="00C1010B"/>
    <w:rsid w:val="00C2466C"/>
    <w:rsid w:val="00C33CAC"/>
    <w:rsid w:val="00C431CC"/>
    <w:rsid w:val="00C44763"/>
    <w:rsid w:val="00C55100"/>
    <w:rsid w:val="00C5754C"/>
    <w:rsid w:val="00C75585"/>
    <w:rsid w:val="00C76ADD"/>
    <w:rsid w:val="00C819D7"/>
    <w:rsid w:val="00C82F69"/>
    <w:rsid w:val="00C95C2C"/>
    <w:rsid w:val="00C96F1F"/>
    <w:rsid w:val="00CB775E"/>
    <w:rsid w:val="00CC50DB"/>
    <w:rsid w:val="00CE3190"/>
    <w:rsid w:val="00D00B5F"/>
    <w:rsid w:val="00D14C31"/>
    <w:rsid w:val="00D14CF5"/>
    <w:rsid w:val="00D2184E"/>
    <w:rsid w:val="00D37468"/>
    <w:rsid w:val="00D42F06"/>
    <w:rsid w:val="00D42F40"/>
    <w:rsid w:val="00D827C5"/>
    <w:rsid w:val="00DB2410"/>
    <w:rsid w:val="00DB47B9"/>
    <w:rsid w:val="00DB5EFD"/>
    <w:rsid w:val="00DB6094"/>
    <w:rsid w:val="00DC2077"/>
    <w:rsid w:val="00DD414E"/>
    <w:rsid w:val="00DF4DE9"/>
    <w:rsid w:val="00E06820"/>
    <w:rsid w:val="00E30B7D"/>
    <w:rsid w:val="00E34BCB"/>
    <w:rsid w:val="00E513A6"/>
    <w:rsid w:val="00E600F8"/>
    <w:rsid w:val="00E60DE5"/>
    <w:rsid w:val="00E63F99"/>
    <w:rsid w:val="00E6628B"/>
    <w:rsid w:val="00E70381"/>
    <w:rsid w:val="00EA5E5C"/>
    <w:rsid w:val="00EA742E"/>
    <w:rsid w:val="00EC128C"/>
    <w:rsid w:val="00EC1789"/>
    <w:rsid w:val="00EC5DF6"/>
    <w:rsid w:val="00ED374D"/>
    <w:rsid w:val="00ED5E04"/>
    <w:rsid w:val="00EE0685"/>
    <w:rsid w:val="00EE4BA7"/>
    <w:rsid w:val="00EE7765"/>
    <w:rsid w:val="00F03ED0"/>
    <w:rsid w:val="00F17F02"/>
    <w:rsid w:val="00F216DF"/>
    <w:rsid w:val="00F23739"/>
    <w:rsid w:val="00F5159E"/>
    <w:rsid w:val="00F540E6"/>
    <w:rsid w:val="00F541E0"/>
    <w:rsid w:val="00F62CC0"/>
    <w:rsid w:val="00F8109C"/>
    <w:rsid w:val="00F81468"/>
    <w:rsid w:val="00FD60A5"/>
    <w:rsid w:val="00FD62C9"/>
    <w:rsid w:val="00FE1CA1"/>
    <w:rsid w:val="00FE3841"/>
    <w:rsid w:val="01B11575"/>
    <w:rsid w:val="01F10F2F"/>
    <w:rsid w:val="0227097B"/>
    <w:rsid w:val="02A0184A"/>
    <w:rsid w:val="02B10FE0"/>
    <w:rsid w:val="042D191E"/>
    <w:rsid w:val="04D50EFA"/>
    <w:rsid w:val="05132376"/>
    <w:rsid w:val="053F3C16"/>
    <w:rsid w:val="05ED4186"/>
    <w:rsid w:val="061B6D66"/>
    <w:rsid w:val="06227D5C"/>
    <w:rsid w:val="06530E2F"/>
    <w:rsid w:val="065B7D5E"/>
    <w:rsid w:val="067E5E4B"/>
    <w:rsid w:val="073F1F16"/>
    <w:rsid w:val="07411113"/>
    <w:rsid w:val="07737C11"/>
    <w:rsid w:val="08A42BA5"/>
    <w:rsid w:val="09570682"/>
    <w:rsid w:val="09F52429"/>
    <w:rsid w:val="0A0E20F1"/>
    <w:rsid w:val="0A394710"/>
    <w:rsid w:val="0B142C26"/>
    <w:rsid w:val="0B3F6586"/>
    <w:rsid w:val="0B9252D1"/>
    <w:rsid w:val="0C081FD9"/>
    <w:rsid w:val="0C0832F6"/>
    <w:rsid w:val="0D2801AA"/>
    <w:rsid w:val="0E2277CB"/>
    <w:rsid w:val="0E2F0364"/>
    <w:rsid w:val="0E54779A"/>
    <w:rsid w:val="0F1A4DA5"/>
    <w:rsid w:val="0FCE1E42"/>
    <w:rsid w:val="0FD14A20"/>
    <w:rsid w:val="0FF320B4"/>
    <w:rsid w:val="10326620"/>
    <w:rsid w:val="10395A91"/>
    <w:rsid w:val="1049359A"/>
    <w:rsid w:val="106C62AC"/>
    <w:rsid w:val="114636C6"/>
    <w:rsid w:val="11D43A3F"/>
    <w:rsid w:val="11DD1FA6"/>
    <w:rsid w:val="12EE3129"/>
    <w:rsid w:val="13E26A72"/>
    <w:rsid w:val="142C3204"/>
    <w:rsid w:val="144417E3"/>
    <w:rsid w:val="146779EB"/>
    <w:rsid w:val="14CB74F9"/>
    <w:rsid w:val="157A3A5C"/>
    <w:rsid w:val="15B3508F"/>
    <w:rsid w:val="15C63520"/>
    <w:rsid w:val="162131E6"/>
    <w:rsid w:val="16A23F21"/>
    <w:rsid w:val="1775192E"/>
    <w:rsid w:val="17AA2167"/>
    <w:rsid w:val="18691509"/>
    <w:rsid w:val="18FE6EBA"/>
    <w:rsid w:val="191A7E5B"/>
    <w:rsid w:val="1A4D7C6D"/>
    <w:rsid w:val="1BEF7250"/>
    <w:rsid w:val="1CCF1D5B"/>
    <w:rsid w:val="1D5A5D40"/>
    <w:rsid w:val="1DAA74CC"/>
    <w:rsid w:val="1E5D4AA3"/>
    <w:rsid w:val="1F110B89"/>
    <w:rsid w:val="1FC505A0"/>
    <w:rsid w:val="209C3893"/>
    <w:rsid w:val="22BE5F44"/>
    <w:rsid w:val="22EC4B30"/>
    <w:rsid w:val="24CB26E2"/>
    <w:rsid w:val="256C329A"/>
    <w:rsid w:val="258C4677"/>
    <w:rsid w:val="25CF5750"/>
    <w:rsid w:val="269237CC"/>
    <w:rsid w:val="26E347A2"/>
    <w:rsid w:val="26EF744B"/>
    <w:rsid w:val="28255661"/>
    <w:rsid w:val="289C2E72"/>
    <w:rsid w:val="29777338"/>
    <w:rsid w:val="29E40A0D"/>
    <w:rsid w:val="2AE826DF"/>
    <w:rsid w:val="2B197D64"/>
    <w:rsid w:val="2B2F4D25"/>
    <w:rsid w:val="2D067762"/>
    <w:rsid w:val="2D7354A9"/>
    <w:rsid w:val="2D77767C"/>
    <w:rsid w:val="2DA66CA0"/>
    <w:rsid w:val="2E1A0968"/>
    <w:rsid w:val="2E297D6F"/>
    <w:rsid w:val="2E461099"/>
    <w:rsid w:val="2F595A0B"/>
    <w:rsid w:val="2F8E785D"/>
    <w:rsid w:val="2FFE2977"/>
    <w:rsid w:val="300371EA"/>
    <w:rsid w:val="30171D35"/>
    <w:rsid w:val="30190B1C"/>
    <w:rsid w:val="30236D92"/>
    <w:rsid w:val="3118459C"/>
    <w:rsid w:val="32321932"/>
    <w:rsid w:val="334A0D48"/>
    <w:rsid w:val="336D5B07"/>
    <w:rsid w:val="33721D32"/>
    <w:rsid w:val="34356B70"/>
    <w:rsid w:val="350A5538"/>
    <w:rsid w:val="355B2B76"/>
    <w:rsid w:val="358A78E3"/>
    <w:rsid w:val="35E27D80"/>
    <w:rsid w:val="360D23D1"/>
    <w:rsid w:val="378077B1"/>
    <w:rsid w:val="379A30C2"/>
    <w:rsid w:val="38102F59"/>
    <w:rsid w:val="3845163F"/>
    <w:rsid w:val="38AD40AD"/>
    <w:rsid w:val="3A3303D1"/>
    <w:rsid w:val="3A8F37B6"/>
    <w:rsid w:val="3A9D1366"/>
    <w:rsid w:val="3AE575D8"/>
    <w:rsid w:val="3CE97584"/>
    <w:rsid w:val="3D723818"/>
    <w:rsid w:val="3DF2368E"/>
    <w:rsid w:val="3E923BC6"/>
    <w:rsid w:val="3EED45D7"/>
    <w:rsid w:val="3F606432"/>
    <w:rsid w:val="40362EE0"/>
    <w:rsid w:val="40984E1F"/>
    <w:rsid w:val="420403F7"/>
    <w:rsid w:val="420743FC"/>
    <w:rsid w:val="42D069E5"/>
    <w:rsid w:val="44247717"/>
    <w:rsid w:val="44616634"/>
    <w:rsid w:val="44CC16FD"/>
    <w:rsid w:val="45095480"/>
    <w:rsid w:val="45423313"/>
    <w:rsid w:val="45983CF3"/>
    <w:rsid w:val="46B1640B"/>
    <w:rsid w:val="46CE1FA1"/>
    <w:rsid w:val="46D27ACF"/>
    <w:rsid w:val="472A4760"/>
    <w:rsid w:val="47C67D18"/>
    <w:rsid w:val="49324D4E"/>
    <w:rsid w:val="49DB351E"/>
    <w:rsid w:val="49EA3CF6"/>
    <w:rsid w:val="4A965018"/>
    <w:rsid w:val="4BDE19C2"/>
    <w:rsid w:val="4F514FED"/>
    <w:rsid w:val="528F09B8"/>
    <w:rsid w:val="543C0F3D"/>
    <w:rsid w:val="544800BB"/>
    <w:rsid w:val="54C27B5B"/>
    <w:rsid w:val="552C1C13"/>
    <w:rsid w:val="58EA4062"/>
    <w:rsid w:val="594A639D"/>
    <w:rsid w:val="596252F6"/>
    <w:rsid w:val="5AA70668"/>
    <w:rsid w:val="5C542763"/>
    <w:rsid w:val="5E4C2329"/>
    <w:rsid w:val="5E5E3F1C"/>
    <w:rsid w:val="5E7365EB"/>
    <w:rsid w:val="5F174CF1"/>
    <w:rsid w:val="5F2243BB"/>
    <w:rsid w:val="5FC707AE"/>
    <w:rsid w:val="5FF64265"/>
    <w:rsid w:val="60815702"/>
    <w:rsid w:val="60E3232E"/>
    <w:rsid w:val="60F3336C"/>
    <w:rsid w:val="610B7446"/>
    <w:rsid w:val="61B75EBB"/>
    <w:rsid w:val="62C926A6"/>
    <w:rsid w:val="63792132"/>
    <w:rsid w:val="638B18AC"/>
    <w:rsid w:val="64A84B6A"/>
    <w:rsid w:val="6536727F"/>
    <w:rsid w:val="6573056E"/>
    <w:rsid w:val="665121E0"/>
    <w:rsid w:val="66A95DE7"/>
    <w:rsid w:val="67506317"/>
    <w:rsid w:val="67E43AB7"/>
    <w:rsid w:val="69155A6E"/>
    <w:rsid w:val="69B0655D"/>
    <w:rsid w:val="6AB06C2A"/>
    <w:rsid w:val="6B883EE8"/>
    <w:rsid w:val="6BA70DFA"/>
    <w:rsid w:val="6C195994"/>
    <w:rsid w:val="6D4F4286"/>
    <w:rsid w:val="6D801142"/>
    <w:rsid w:val="6DD62405"/>
    <w:rsid w:val="6EDE59BE"/>
    <w:rsid w:val="6F066DAC"/>
    <w:rsid w:val="6FCE545F"/>
    <w:rsid w:val="6FEC09C8"/>
    <w:rsid w:val="706A4BAF"/>
    <w:rsid w:val="70D65229"/>
    <w:rsid w:val="715C33BB"/>
    <w:rsid w:val="72A7310A"/>
    <w:rsid w:val="72E92C14"/>
    <w:rsid w:val="73091AF0"/>
    <w:rsid w:val="731C2A2E"/>
    <w:rsid w:val="74783646"/>
    <w:rsid w:val="7486115D"/>
    <w:rsid w:val="74FF056C"/>
    <w:rsid w:val="755D671E"/>
    <w:rsid w:val="77231470"/>
    <w:rsid w:val="787358C9"/>
    <w:rsid w:val="78830AE4"/>
    <w:rsid w:val="78841962"/>
    <w:rsid w:val="78997DB6"/>
    <w:rsid w:val="793F5EA6"/>
    <w:rsid w:val="7AA928DC"/>
    <w:rsid w:val="7B3509F0"/>
    <w:rsid w:val="7B8F79DF"/>
    <w:rsid w:val="7B98702C"/>
    <w:rsid w:val="7D270BF6"/>
    <w:rsid w:val="7D5B5686"/>
    <w:rsid w:val="7D972B64"/>
    <w:rsid w:val="7E093F8D"/>
    <w:rsid w:val="7E4A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360"/>
      <w:jc w:val="center"/>
    </w:pPr>
    <w:rPr>
      <w:rFonts w:eastAsia="黑体"/>
      <w:b/>
      <w:sz w:val="44"/>
    </w:rPr>
  </w:style>
  <w:style w:type="paragraph" w:styleId="3">
    <w:name w:val="Body Text Indent"/>
    <w:basedOn w:val="1"/>
    <w:qFormat/>
    <w:uiPriority w:val="0"/>
    <w:pPr>
      <w:spacing w:after="120"/>
      <w:ind w:left="42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tabs>
        <w:tab w:val="center" w:pos="4153"/>
        <w:tab w:val="right" w:pos="8306"/>
      </w:tabs>
      <w:snapToGrid w:val="0"/>
    </w:pPr>
    <w:rPr>
      <w:sz w:val="18"/>
    </w:rPr>
  </w:style>
  <w:style w:type="paragraph" w:styleId="8">
    <w:name w:val="Body Text 2"/>
    <w:basedOn w:val="1"/>
    <w:qFormat/>
    <w:uiPriority w:val="0"/>
    <w:pPr>
      <w:spacing w:after="120" w:line="480" w:lineRule="auto"/>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Fifth Edition" SelectedStyle="\APA.XSL"/>
</file>

<file path=customXml/itemProps1.xml><?xml version="1.0" encoding="utf-8"?>
<ds:datastoreItem xmlns:ds="http://schemas.openxmlformats.org/officeDocument/2006/customXml" ds:itemID="{A852D106-DAFA-4EFA-B850-F12E5EA4776C}">
  <ds:schemaRefs/>
</ds:datastoreItem>
</file>

<file path=docProps/app.xml><?xml version="1.0" encoding="utf-8"?>
<Properties xmlns="http://schemas.openxmlformats.org/officeDocument/2006/extended-properties" xmlns:vt="http://schemas.openxmlformats.org/officeDocument/2006/docPropsVTypes">
  <Template>Normal</Template>
  <Pages>3</Pages>
  <Words>1143</Words>
  <Characters>1231</Characters>
  <Lines>2</Lines>
  <Paragraphs>1</Paragraphs>
  <TotalTime>1</TotalTime>
  <ScaleCrop>false</ScaleCrop>
  <LinksUpToDate>false</LinksUpToDate>
  <CharactersWithSpaces>1244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2018-06-05T13:55:00Z</dcterms:created>
  <dc:creator>谚语</dc:creator>
  <cp:lastModifiedBy>zhibanshi</cp:lastModifiedBy>
  <cp:lastPrinted>2025-08-14T09:38:00Z</cp:lastPrinted>
  <dcterms:modified xsi:type="dcterms:W3CDTF">2025-08-18T16:12:26Z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64997A16086221326AE0A2687A11358E</vt:lpwstr>
  </property>
</Properties>
</file>