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0B270">
      <w:pPr>
        <w:ind w:left="0" w:leftChars="0" w:firstLine="0" w:firstLineChars="0"/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lang w:val="en-US" w:eastAsia="zh-CN" w:bidi="ar-SA"/>
        </w:rPr>
        <w:t>附件10：</w:t>
      </w:r>
    </w:p>
    <w:p w14:paraId="1F345CD8">
      <w:pPr>
        <w:rPr>
          <w:rFonts w:hint="eastAsia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240AE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" w:eastAsia="zh-CN"/>
        </w:rPr>
        <w:t>通州区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/>
        </w:rPr>
        <w:t>生活服务业发展项目属地意见</w:t>
      </w:r>
    </w:p>
    <w:p w14:paraId="7EF6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color w:val="auto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highlight w:val="none"/>
          <w:lang w:val="en-US" w:eastAsia="zh-CN"/>
        </w:rPr>
        <w:t>（2024年度）</w:t>
      </w:r>
    </w:p>
    <w:p w14:paraId="0531CBBA">
      <w:pPr>
        <w:rPr>
          <w:rFonts w:hint="eastAsia"/>
          <w:color w:val="auto"/>
          <w:highlight w:val="none"/>
          <w:lang w:val="en-US" w:eastAsia="zh-CN"/>
        </w:rPr>
      </w:pPr>
    </w:p>
    <w:p w14:paraId="5D7978C1">
      <w:pPr>
        <w:ind w:left="0" w:leftChars="0" w:firstLine="0" w:firstLineChars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北京市通州区商务局：</w:t>
      </w:r>
    </w:p>
    <w:p w14:paraId="05C32B5B"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申报单位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名称）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投资管理的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（门店名称）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位于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（经营地址）的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（新建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/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改造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提升）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项目，经确认，符合本街道生活性服务业网点规划布局，符合街道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/乡镇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相关规范与管理要求，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社区居民满意度较高，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认可作为街道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/乡镇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生活性服务业网点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，同意申报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促进便民服务水平提升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45B6DEB5"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其他相关意见：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               </w:t>
      </w:r>
    </w:p>
    <w:p w14:paraId="760F50FD">
      <w:pPr>
        <w:ind w:left="0" w:leftChars="0" w:firstLine="0" w:firstLineChars="0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                              </w:t>
      </w:r>
      <w:r>
        <w:rPr>
          <w:rFonts w:hint="eastAsia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bookmarkStart w:id="0" w:name="_GoBack"/>
      <w:bookmarkEnd w:id="0"/>
    </w:p>
    <w:p w14:paraId="6BB317EF">
      <w:pPr>
        <w:ind w:left="0" w:leftChars="0" w:firstLine="0" w:firstLine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</w:p>
    <w:p w14:paraId="47A257BD">
      <w:pP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u w:val="none"/>
          <w:lang w:eastAsia="zh-CN"/>
        </w:rPr>
        <w:t>街道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/乡镇</w:t>
      </w:r>
    </w:p>
    <w:p w14:paraId="0A82AC8C"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  月  日</w:t>
      </w:r>
    </w:p>
    <w:p w14:paraId="6223D6DA"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       （单位公章）</w:t>
      </w:r>
    </w:p>
    <w:p w14:paraId="264A2D4C">
      <w:pPr>
        <w:widowControl/>
        <w:jc w:val="both"/>
        <w:rPr>
          <w:rFonts w:hint="eastAsia" w:ascii="仿宋_GB2312" w:hAnsi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kern w:val="0"/>
          <w:sz w:val="28"/>
          <w:szCs w:val="28"/>
          <w:highlight w:val="none"/>
          <w:lang w:eastAsia="zh-CN"/>
        </w:rPr>
        <w:t>填表说明：</w:t>
      </w:r>
    </w:p>
    <w:p w14:paraId="28C38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1.“其他相关意见”指申报项目对所属街道、乡镇规划一刻钟便民生活圈建设的重点区域具有业态补建、提级作用。</w:t>
      </w:r>
    </w:p>
    <w:p w14:paraId="5FD67726">
      <w:pPr>
        <w:widowControl/>
        <w:numPr>
          <w:ilvl w:val="0"/>
          <w:numId w:val="0"/>
        </w:numPr>
        <w:ind w:firstLine="560" w:firstLineChars="200"/>
        <w:jc w:val="both"/>
        <w:rPr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单位公章</w:t>
      </w:r>
      <w:r>
        <w:rPr>
          <w:rFonts w:hint="eastAsia" w:ascii="仿宋_GB2312" w:hAnsi="仿宋_GB2312" w:cs="仿宋_GB2312"/>
          <w:color w:val="auto"/>
          <w:kern w:val="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应为项目所属街道办事处</w:t>
      </w:r>
      <w:r>
        <w:rPr>
          <w:rFonts w:hint="eastAsia" w:ascii="仿宋_GB2312" w:hAnsi="仿宋_GB2312" w:cs="仿宋_GB2312"/>
          <w:color w:val="auto"/>
          <w:kern w:val="0"/>
          <w:sz w:val="28"/>
          <w:szCs w:val="28"/>
          <w:highlight w:val="none"/>
          <w:lang w:eastAsia="zh-CN"/>
        </w:rPr>
        <w:t>、乡镇政府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公章</w:t>
      </w:r>
      <w:r>
        <w:rPr>
          <w:rFonts w:hint="eastAsia" w:ascii="仿宋_GB2312" w:hAnsi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FC5275"/>
    <w:rsid w:val="4BE33007"/>
    <w:rsid w:val="50722446"/>
    <w:rsid w:val="715E4F2E"/>
    <w:rsid w:val="71E2790D"/>
    <w:rsid w:val="7E54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keepNext w:val="0"/>
      <w:keepLines w:val="0"/>
      <w:widowControl w:val="0"/>
      <w:suppressLineNumbers w:val="0"/>
      <w:spacing w:before="100" w:beforeAutospacing="1" w:after="100" w:afterAutospacing="1"/>
      <w:ind w:left="0" w:right="0"/>
      <w:jc w:val="both"/>
    </w:pPr>
    <w:rPr>
      <w:rFonts w:hint="default" w:ascii="Times New Roman" w:hAnsi="Times New Roman" w:eastAsia="宋体" w:cs="Times New Roman"/>
      <w:kern w:val="2"/>
      <w:sz w:val="32"/>
      <w:szCs w:val="2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272</Characters>
  <Lines>0</Lines>
  <Paragraphs>0</Paragraphs>
  <TotalTime>1</TotalTime>
  <ScaleCrop>false</ScaleCrop>
  <LinksUpToDate>false</LinksUpToDate>
  <CharactersWithSpaces>584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2025-03-18T08:07:00Z</dcterms:created>
  <dc:creator>Administrator</dc:creator>
  <cp:lastModifiedBy>Ellen</cp:lastModifiedBy>
  <dcterms:modified xsi:type="dcterms:W3CDTF">2025-03-18T08:32:31Z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eyJoZGlkIjoiZTYwYjc3ZjI5ZGU2ZTMzZTJmMGI4Mzg2ZjU5Mzc2YjEiLCJ1c2VySWQiOiIzMjkxMzk0NjYifQ==</vt:lpwstr>
  </property>
  <property fmtid="{D5CDD505-2E9C-101B-9397-08002B2CF9AE}" pid="4" name="ICV">
    <vt:lpwstr>DE60430DFB354536A92C10F6A7B0018C_12</vt:lpwstr>
  </property>
</Properties>
</file>