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附件1-1</w:t>
      </w:r>
    </w:p>
    <w:tbl>
      <w:tblPr>
        <w:tblStyle w:val="8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578"/>
        <w:gridCol w:w="982"/>
        <w:gridCol w:w="992"/>
        <w:gridCol w:w="799"/>
        <w:gridCol w:w="1114"/>
        <w:gridCol w:w="213"/>
        <w:gridCol w:w="894"/>
        <w:gridCol w:w="848"/>
        <w:gridCol w:w="202"/>
        <w:gridCol w:w="466"/>
        <w:gridCol w:w="305"/>
        <w:gridCol w:w="404"/>
        <w:gridCol w:w="432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（  </w:t>
            </w:r>
            <w:r>
              <w:rPr>
                <w:rFonts w:ascii="宋体" w:hAnsi="宋体" w:eastAsia="宋体" w:cs="宋体"/>
                <w:kern w:val="0"/>
                <w:sz w:val="22"/>
                <w:szCs w:val="24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 xml:space="preserve">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6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2023年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通州区体育总会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赛事活动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通州区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通州区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体育总会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郎燕庚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010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-80888125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0.3687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0.3687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0.3687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3" w:name="_GoBack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0.3687</w:t>
            </w:r>
            <w:bookmarkEnd w:id="3"/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4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全面贯彻执行党和国家的各项方针、政策和法规，调动一切积极因素，大力宣传贯彻《体育法》、《全民健身条例》及蔡奇书记运河+体育系列体育赛事活动指示精神，开展丰富多彩的全民健身运动。举办或与有关单位共同举办群众性体育活动，支持和组织会员单位开展实施《体育法》、《全民健身条例》的各类活动。年内将举办毽球、定向越野、马术、飞盘、武术、风筝等专项或综合性体育活动6次以上，参与人数1400人以上，体育总会注册资金等其他项目经费共计56万元。进一步丰富我区居民全民健身项目，调动一切资源，充分发挥体育总会职能，掀起我区全民健身运动新的高潮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  <w:t>2023</w:t>
            </w: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年举办毽球、定向越野、马术、飞盘、武术、风筝等专项或综合性体育活动6次以上，参与人数</w:t>
            </w:r>
            <w:r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  <w:t>1516</w:t>
            </w: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人，经费支出共计</w:t>
            </w:r>
            <w:r>
              <w:rPr>
                <w:rFonts w:ascii="宋体" w:hAnsi="宋体" w:eastAsia="宋体" w:cs="宋体"/>
                <w:bCs/>
                <w:kern w:val="0"/>
                <w:sz w:val="18"/>
                <w:szCs w:val="18"/>
              </w:rPr>
              <w:t>50.3687</w:t>
            </w: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</w:rPr>
              <w:t>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指标1：赛事场次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≥6场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6场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8.2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8.2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指标2：赛事参与人数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1400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1516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6.3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6.3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指标1：赛事完成比例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≥98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6.8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6.8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指标2：赛事人数参与比例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97%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6.2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6.2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完成场次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12.5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指标1：赛事活动经费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50.3687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9.9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指标1：市民参加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健身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活动热情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指标2：社会组织组织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、开展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全民健身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活动热情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指标1：市民参加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全民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健身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活动热情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指标2：社会组织组织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、开展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全民健身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活动热情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7.5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指标1：参与赛事人员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96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96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指标2：体育社会组织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98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方正小标宋简体" w:hAnsi="宋体" w:eastAsia="方正小标宋简体" w:cs="宋体"/>
          <w:bCs/>
          <w:kern w:val="0"/>
          <w:sz w:val="36"/>
          <w:szCs w:val="36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1-2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jc w:val="center"/>
        <w:rPr>
          <w:rFonts w:ascii="方正小标宋简体" w:hAnsi="宋体" w:eastAsia="方正小标宋简体" w:cs="宋体"/>
          <w:bCs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</w:rPr>
        <w:t>2023年度</w:t>
      </w:r>
      <w:r>
        <w:rPr>
          <w:rFonts w:ascii="方正小标宋简体" w:hAnsi="宋体" w:eastAsia="方正小标宋简体" w:cs="宋体"/>
          <w:bCs/>
          <w:kern w:val="0"/>
          <w:sz w:val="36"/>
          <w:szCs w:val="36"/>
        </w:rPr>
        <w:t>体育总会赛事活动</w:t>
      </w: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</w:rPr>
        <w:t>项目支出绩效评价报告</w:t>
      </w:r>
    </w:p>
    <w:p>
      <w:pPr>
        <w:spacing w:line="520" w:lineRule="exact"/>
        <w:jc w:val="center"/>
        <w:rPr>
          <w:rFonts w:ascii="宋体" w:hAnsi="宋体" w:cs="宋体"/>
          <w:bCs/>
          <w:kern w:val="0"/>
          <w:sz w:val="24"/>
        </w:rPr>
      </w:pPr>
    </w:p>
    <w:p>
      <w:pPr>
        <w:keepNext/>
        <w:keepLines/>
        <w:snapToGrid w:val="0"/>
        <w:spacing w:line="520" w:lineRule="exact"/>
        <w:ind w:firstLine="640" w:firstLineChars="200"/>
        <w:outlineLvl w:val="0"/>
        <w:rPr>
          <w:rFonts w:ascii="黑体" w:hAnsi="黑体" w:eastAsia="黑体" w:cs="宋体"/>
          <w:bCs/>
          <w:kern w:val="0"/>
          <w:sz w:val="32"/>
          <w:szCs w:val="32"/>
        </w:rPr>
      </w:pPr>
      <w:bookmarkStart w:id="0" w:name="_Toc169183181"/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一、绩效跟踪工作组织实施情况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为了贯彻党的二十大精神，进一步落实《北京市全民健身条例》、《北京市全民健身实施计划（</w:t>
      </w:r>
      <w:r>
        <w:rPr>
          <w:rFonts w:ascii="仿宋" w:hAnsi="仿宋" w:eastAsia="仿宋" w:cs="仿宋_GB2312"/>
          <w:sz w:val="32"/>
          <w:szCs w:val="32"/>
        </w:rPr>
        <w:t>2021</w:t>
      </w:r>
      <w:r>
        <w:rPr>
          <w:rFonts w:hint="eastAsia" w:ascii="仿宋" w:hAnsi="仿宋" w:eastAsia="仿宋" w:cs="仿宋_GB2312"/>
          <w:sz w:val="32"/>
          <w:szCs w:val="32"/>
        </w:rPr>
        <w:t>-20</w:t>
      </w:r>
      <w:r>
        <w:rPr>
          <w:rFonts w:ascii="仿宋" w:hAnsi="仿宋" w:eastAsia="仿宋" w:cs="仿宋_GB2312"/>
          <w:sz w:val="32"/>
          <w:szCs w:val="32"/>
        </w:rPr>
        <w:t>25</w:t>
      </w:r>
      <w:r>
        <w:rPr>
          <w:rFonts w:hint="eastAsia" w:ascii="仿宋" w:hAnsi="仿宋" w:eastAsia="仿宋" w:cs="仿宋_GB2312"/>
          <w:sz w:val="32"/>
          <w:szCs w:val="32"/>
        </w:rPr>
        <w:t>年）》，完成《通州区全民健身实施计划（20</w:t>
      </w:r>
      <w:r>
        <w:rPr>
          <w:rFonts w:ascii="仿宋" w:hAnsi="仿宋" w:eastAsia="仿宋" w:cs="仿宋_GB2312"/>
          <w:sz w:val="32"/>
          <w:szCs w:val="32"/>
        </w:rPr>
        <w:t>21</w:t>
      </w:r>
      <w:r>
        <w:rPr>
          <w:rFonts w:hint="eastAsia" w:ascii="仿宋" w:hAnsi="仿宋" w:eastAsia="仿宋" w:cs="仿宋_GB2312"/>
          <w:sz w:val="32"/>
          <w:szCs w:val="32"/>
        </w:rPr>
        <w:t>-20</w:t>
      </w:r>
      <w:r>
        <w:rPr>
          <w:rFonts w:ascii="仿宋" w:hAnsi="仿宋" w:eastAsia="仿宋" w:cs="仿宋_GB2312"/>
          <w:sz w:val="32"/>
          <w:szCs w:val="32"/>
        </w:rPr>
        <w:t>25</w:t>
      </w:r>
      <w:r>
        <w:rPr>
          <w:rFonts w:hint="eastAsia" w:ascii="仿宋" w:hAnsi="仿宋" w:eastAsia="仿宋" w:cs="仿宋_GB2312"/>
          <w:sz w:val="32"/>
          <w:szCs w:val="32"/>
        </w:rPr>
        <w:t>年）》各项任务指标，根据2023年区体育局工作思路，开展2023年度通州区体育总会赛事活动。</w:t>
      </w:r>
    </w:p>
    <w:p>
      <w:pPr>
        <w:spacing w:line="560" w:lineRule="exact"/>
        <w:ind w:firstLine="640" w:firstLineChars="200"/>
        <w:jc w:val="left"/>
        <w:outlineLvl w:val="2"/>
        <w:rPr>
          <w:rFonts w:ascii="仿宋" w:hAnsi="仿宋" w:eastAsia="仿宋" w:cs="Times New Roman"/>
          <w:bCs/>
          <w:kern w:val="28"/>
          <w:sz w:val="32"/>
          <w:szCs w:val="32"/>
        </w:rPr>
      </w:pPr>
      <w:r>
        <w:rPr>
          <w:rFonts w:hint="eastAsia" w:ascii="仿宋" w:hAnsi="仿宋" w:eastAsia="仿宋" w:cs="Times New Roman"/>
          <w:bCs/>
          <w:kern w:val="28"/>
          <w:sz w:val="32"/>
          <w:szCs w:val="32"/>
        </w:rPr>
        <w:t>（一）项目组织情况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为确保总会各项比赛活动顺利进行，特成立领导小组：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组  长：邓小民  区体育局局长、区体育总会主席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副组长：刘月刚  区体育局副局长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设立秘书处：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秘书长：郎燕庚  区体育总会负责人</w:t>
      </w:r>
    </w:p>
    <w:p>
      <w:pPr>
        <w:spacing w:line="560" w:lineRule="exac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   组  员：各</w:t>
      </w:r>
      <w:r>
        <w:rPr>
          <w:rFonts w:ascii="仿宋" w:hAnsi="仿宋" w:eastAsia="仿宋" w:cs="Times New Roman"/>
          <w:sz w:val="32"/>
          <w:szCs w:val="32"/>
        </w:rPr>
        <w:t>单项协会负责人、</w:t>
      </w:r>
      <w:r>
        <w:rPr>
          <w:rFonts w:hint="eastAsia" w:ascii="仿宋" w:hAnsi="仿宋" w:eastAsia="仿宋" w:cs="Times New Roman"/>
          <w:sz w:val="32"/>
          <w:szCs w:val="32"/>
        </w:rPr>
        <w:t>李宝栋</w:t>
      </w:r>
    </w:p>
    <w:p>
      <w:pPr>
        <w:spacing w:line="560" w:lineRule="exact"/>
        <w:ind w:firstLine="640" w:firstLineChars="200"/>
        <w:jc w:val="left"/>
        <w:outlineLvl w:val="2"/>
        <w:rPr>
          <w:rFonts w:ascii="仿宋" w:hAnsi="仿宋" w:eastAsia="仿宋" w:cs="Times New Roman"/>
          <w:bCs/>
          <w:kern w:val="28"/>
          <w:sz w:val="32"/>
          <w:szCs w:val="32"/>
        </w:rPr>
      </w:pPr>
      <w:r>
        <w:rPr>
          <w:rFonts w:hint="eastAsia" w:ascii="仿宋" w:hAnsi="仿宋" w:eastAsia="仿宋" w:cs="Times New Roman"/>
          <w:bCs/>
          <w:kern w:val="28"/>
          <w:sz w:val="32"/>
          <w:szCs w:val="32"/>
        </w:rPr>
        <w:t>（二）项目管理情况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1、筹备阶段：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根据年初工作安排，经局党组研究决定后制定了活动总体方案,同时制定了安保方案、防疫方案，并召开相关部门协调会进行分工。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 w:cs="Times New Roman"/>
          <w:sz w:val="32"/>
          <w:szCs w:val="32"/>
        </w:rPr>
        <w:t>2、宣传阶段：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为了加强赛事宣传工作，加大宣传力度，做到家喻户晓，采取以下方式：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①在全区主要街道、重要交通节点悬挂道旗；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②副中心融媒体</w:t>
      </w:r>
      <w:r>
        <w:rPr>
          <w:rFonts w:ascii="仿宋" w:hAnsi="仿宋" w:eastAsia="仿宋" w:cs="Times New Roman"/>
          <w:kern w:val="0"/>
          <w:sz w:val="32"/>
          <w:szCs w:val="32"/>
          <w:lang w:bidi="en-US"/>
        </w:rPr>
        <w:t>中心</w:t>
      </w: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加大宣传力度；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③邀请主流媒体扩大影响；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 xml:space="preserve">④通过通州区体育局公众号进行宣传。 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3.报名阶段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根据体育总会工作安排，按照各项比赛活动通知、规程进行报名。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4.具体实施阶段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各项比赛报名结束后，召开局内分工会，做到分工明确，责任到人。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5.活动当天安排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本着节俭办赛事，一般不举办开幕式，直接进行比赛；比赛结束后，由相关领导进行发奖。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6.安保措施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一方面体育局制定安保预案，上报区公安分局，另一方面参赛运动员签订自愿参赛承诺书，同时组委会设置医务人员和救护设备。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7.防疫措施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kern w:val="0"/>
          <w:sz w:val="32"/>
          <w:szCs w:val="32"/>
          <w:lang w:bidi="en-US"/>
        </w:rPr>
      </w:pP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在疫情</w:t>
      </w:r>
      <w:r>
        <w:rPr>
          <w:rFonts w:ascii="仿宋" w:hAnsi="仿宋" w:eastAsia="仿宋" w:cs="Times New Roman"/>
          <w:kern w:val="0"/>
          <w:sz w:val="32"/>
          <w:szCs w:val="32"/>
          <w:lang w:bidi="en-US"/>
        </w:rPr>
        <w:t>防控常态化的前提下，</w:t>
      </w: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严格</w:t>
      </w:r>
      <w:r>
        <w:rPr>
          <w:rFonts w:ascii="仿宋" w:hAnsi="仿宋" w:eastAsia="仿宋" w:cs="Times New Roman"/>
          <w:kern w:val="0"/>
          <w:sz w:val="32"/>
          <w:szCs w:val="32"/>
          <w:lang w:bidi="en-US"/>
        </w:rPr>
        <w:t>按照</w:t>
      </w: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防疫要求组织</w:t>
      </w:r>
      <w:r>
        <w:rPr>
          <w:rFonts w:ascii="仿宋" w:hAnsi="仿宋" w:eastAsia="仿宋" w:cs="Times New Roman"/>
          <w:kern w:val="0"/>
          <w:sz w:val="32"/>
          <w:szCs w:val="32"/>
          <w:lang w:bidi="en-US"/>
        </w:rPr>
        <w:t>赛事活动</w:t>
      </w: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由于加强了对该项目管理</w:t>
      </w:r>
      <w:r>
        <w:rPr>
          <w:rFonts w:hint="eastAsia" w:ascii="仿宋" w:hAnsi="仿宋" w:eastAsia="仿宋" w:cs="Times New Roman"/>
          <w:kern w:val="0"/>
          <w:sz w:val="32"/>
          <w:szCs w:val="32"/>
          <w:lang w:bidi="en-US"/>
        </w:rPr>
        <w:t>，</w:t>
      </w:r>
      <w:r>
        <w:rPr>
          <w:rFonts w:hint="eastAsia" w:ascii="仿宋" w:hAnsi="仿宋" w:eastAsia="仿宋" w:cs="仿宋_GB2312"/>
          <w:color w:val="000000"/>
          <w:sz w:val="32"/>
          <w:szCs w:val="32"/>
        </w:rPr>
        <w:t>从而确保赛事活动安全、顺利进行。</w:t>
      </w:r>
    </w:p>
    <w:p>
      <w:pPr>
        <w:keepNext/>
        <w:keepLines/>
        <w:snapToGrid w:val="0"/>
        <w:spacing w:line="520" w:lineRule="exact"/>
        <w:ind w:firstLine="640" w:firstLineChars="200"/>
        <w:outlineLvl w:val="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二、年度预算执行情况</w:t>
      </w:r>
    </w:p>
    <w:p>
      <w:pPr>
        <w:keepNext/>
        <w:keepLines/>
        <w:snapToGrid w:val="0"/>
        <w:spacing w:line="520" w:lineRule="exact"/>
        <w:ind w:firstLine="640" w:firstLineChars="200"/>
        <w:outlineLvl w:val="0"/>
        <w:rPr>
          <w:rFonts w:ascii="仿宋_GB2312" w:hAnsi="宋体" w:eastAsia="仿宋_GB2312"/>
          <w:bCs/>
          <w:sz w:val="32"/>
          <w:szCs w:val="32"/>
        </w:rPr>
      </w:pPr>
      <w:r>
        <w:rPr>
          <w:rFonts w:ascii="仿宋_GB2312" w:hAnsi="宋体" w:eastAsia="仿宋_GB2312"/>
          <w:bCs/>
          <w:sz w:val="32"/>
          <w:szCs w:val="32"/>
        </w:rPr>
        <w:t>2023</w:t>
      </w:r>
      <w:r>
        <w:rPr>
          <w:rFonts w:hint="eastAsia" w:ascii="仿宋_GB2312" w:hAnsi="宋体" w:eastAsia="仿宋_GB2312"/>
          <w:bCs/>
          <w:sz w:val="32"/>
          <w:szCs w:val="32"/>
        </w:rPr>
        <w:t>年举办毽球、定向越野、马术、飞盘、武术、风筝等专项或综合性体育活动6次以上，参与人数</w:t>
      </w:r>
      <w:r>
        <w:rPr>
          <w:rFonts w:ascii="仿宋_GB2312" w:hAnsi="宋体" w:eastAsia="仿宋_GB2312"/>
          <w:bCs/>
          <w:sz w:val="32"/>
          <w:szCs w:val="32"/>
        </w:rPr>
        <w:t>1516</w:t>
      </w:r>
      <w:r>
        <w:rPr>
          <w:rFonts w:hint="eastAsia" w:ascii="仿宋_GB2312" w:hAnsi="宋体" w:eastAsia="仿宋_GB2312"/>
          <w:bCs/>
          <w:sz w:val="32"/>
          <w:szCs w:val="32"/>
        </w:rPr>
        <w:t>人，经费支出共计</w:t>
      </w:r>
      <w:r>
        <w:rPr>
          <w:rFonts w:ascii="仿宋_GB2312" w:hAnsi="宋体" w:eastAsia="仿宋_GB2312"/>
          <w:bCs/>
          <w:sz w:val="32"/>
          <w:szCs w:val="32"/>
        </w:rPr>
        <w:t>50.3687</w:t>
      </w:r>
      <w:r>
        <w:rPr>
          <w:rFonts w:hint="eastAsia" w:ascii="仿宋_GB2312" w:hAnsi="宋体" w:eastAsia="仿宋_GB2312"/>
          <w:bCs/>
          <w:sz w:val="32"/>
          <w:szCs w:val="32"/>
        </w:rPr>
        <w:t>万元。</w:t>
      </w:r>
      <w:r>
        <w:rPr>
          <w:rFonts w:ascii="仿宋_GB2312" w:hAnsi="宋体" w:eastAsia="仿宋_GB2312"/>
          <w:bCs/>
          <w:sz w:val="32"/>
          <w:szCs w:val="32"/>
        </w:rPr>
        <w:t xml:space="preserve">        </w:t>
      </w:r>
    </w:p>
    <w:p>
      <w:pPr>
        <w:keepNext/>
        <w:keepLines/>
        <w:snapToGrid w:val="0"/>
        <w:spacing w:line="520" w:lineRule="exact"/>
        <w:ind w:firstLine="640" w:firstLineChars="200"/>
        <w:outlineLvl w:val="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三、</w:t>
      </w:r>
      <w:bookmarkEnd w:id="0"/>
      <w:r>
        <w:rPr>
          <w:rFonts w:hint="eastAsia" w:ascii="黑体" w:hAnsi="黑体" w:eastAsia="黑体" w:cs="宋体"/>
          <w:bCs/>
          <w:kern w:val="0"/>
          <w:sz w:val="32"/>
          <w:szCs w:val="32"/>
        </w:rPr>
        <w:t>绩效目标情况及分析</w:t>
      </w:r>
    </w:p>
    <w:p>
      <w:pPr>
        <w:spacing w:line="520" w:lineRule="exact"/>
        <w:ind w:firstLine="640" w:firstLineChars="200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（一）绩效目标完成情况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bCs/>
          <w:sz w:val="32"/>
          <w:szCs w:val="32"/>
        </w:rPr>
      </w:pPr>
      <w:r>
        <w:rPr>
          <w:rFonts w:ascii="仿宋_GB2312" w:hAnsi="宋体" w:eastAsia="仿宋_GB2312"/>
          <w:bCs/>
          <w:sz w:val="32"/>
          <w:szCs w:val="32"/>
        </w:rPr>
        <w:t>2023</w:t>
      </w:r>
      <w:r>
        <w:rPr>
          <w:rFonts w:hint="eastAsia" w:ascii="仿宋_GB2312" w:hAnsi="宋体" w:eastAsia="仿宋_GB2312"/>
          <w:bCs/>
          <w:sz w:val="32"/>
          <w:szCs w:val="32"/>
        </w:rPr>
        <w:t>年举办毽球、定向越野、马术、飞盘、武术、风筝等专项或综合性体育活动6次以上，参与人数</w:t>
      </w:r>
      <w:r>
        <w:rPr>
          <w:rFonts w:ascii="仿宋_GB2312" w:hAnsi="宋体" w:eastAsia="仿宋_GB2312"/>
          <w:bCs/>
          <w:sz w:val="32"/>
          <w:szCs w:val="32"/>
        </w:rPr>
        <w:t>1516</w:t>
      </w:r>
      <w:r>
        <w:rPr>
          <w:rFonts w:hint="eastAsia" w:ascii="仿宋_GB2312" w:hAnsi="宋体" w:eastAsia="仿宋_GB2312"/>
          <w:bCs/>
          <w:sz w:val="32"/>
          <w:szCs w:val="32"/>
        </w:rPr>
        <w:t>人，经费支出共计</w:t>
      </w:r>
      <w:r>
        <w:rPr>
          <w:rFonts w:ascii="仿宋_GB2312" w:hAnsi="宋体" w:eastAsia="仿宋_GB2312"/>
          <w:bCs/>
          <w:sz w:val="32"/>
          <w:szCs w:val="32"/>
        </w:rPr>
        <w:t>50.3687</w:t>
      </w:r>
      <w:r>
        <w:rPr>
          <w:rFonts w:hint="eastAsia" w:ascii="仿宋_GB2312" w:hAnsi="宋体" w:eastAsia="仿宋_GB2312"/>
          <w:bCs/>
          <w:sz w:val="32"/>
          <w:szCs w:val="32"/>
        </w:rPr>
        <w:t>万元。</w:t>
      </w:r>
      <w:r>
        <w:rPr>
          <w:rFonts w:ascii="仿宋_GB2312" w:hAnsi="宋体" w:eastAsia="仿宋_GB2312"/>
          <w:bCs/>
          <w:sz w:val="32"/>
          <w:szCs w:val="32"/>
        </w:rPr>
        <w:t xml:space="preserve">   </w:t>
      </w:r>
      <w:r>
        <w:rPr>
          <w:rFonts w:hint="eastAsia" w:ascii="仿宋_GB2312" w:hAnsi="宋体" w:eastAsia="仿宋_GB2312"/>
          <w:bCs/>
          <w:sz w:val="32"/>
          <w:szCs w:val="32"/>
        </w:rPr>
        <w:t xml:space="preserve">  </w:t>
      </w:r>
      <w:r>
        <w:rPr>
          <w:rFonts w:ascii="仿宋_GB2312" w:hAnsi="宋体" w:eastAsia="仿宋_GB2312"/>
          <w:bCs/>
          <w:sz w:val="32"/>
          <w:szCs w:val="32"/>
        </w:rPr>
        <w:t xml:space="preserve"> </w:t>
      </w:r>
    </w:p>
    <w:p>
      <w:pPr>
        <w:spacing w:line="520" w:lineRule="exact"/>
        <w:ind w:firstLine="640" w:firstLineChars="200"/>
        <w:rPr>
          <w:rFonts w:ascii="楷体_GB2312" w:hAnsi="宋体" w:eastAsia="楷体_GB2312"/>
          <w:sz w:val="32"/>
          <w:szCs w:val="32"/>
        </w:rPr>
      </w:pPr>
      <w:r>
        <w:rPr>
          <w:rFonts w:hint="eastAsia" w:ascii="楷体_GB2312" w:hAnsi="宋体" w:eastAsia="楷体_GB2312"/>
          <w:sz w:val="32"/>
          <w:szCs w:val="32"/>
        </w:rPr>
        <w:t>（二）原因分析</w:t>
      </w:r>
    </w:p>
    <w:p>
      <w:pPr>
        <w:keepNext/>
        <w:keepLines/>
        <w:snapToGrid w:val="0"/>
        <w:spacing w:line="520" w:lineRule="exact"/>
        <w:ind w:firstLine="640" w:firstLineChars="200"/>
        <w:outlineLvl w:val="0"/>
        <w:rPr>
          <w:rFonts w:ascii="仿宋_GB2312" w:hAnsi="宋体" w:eastAsia="仿宋_GB2312"/>
          <w:bCs/>
          <w:sz w:val="32"/>
          <w:szCs w:val="32"/>
        </w:rPr>
      </w:pPr>
      <w:bookmarkStart w:id="1" w:name="_Toc169183188"/>
      <w:r>
        <w:rPr>
          <w:rFonts w:hint="eastAsia" w:ascii="仿宋_GB2312" w:hAnsi="宋体" w:eastAsia="仿宋_GB2312"/>
          <w:bCs/>
          <w:sz w:val="32"/>
          <w:szCs w:val="32"/>
        </w:rPr>
        <w:t>无调整。</w:t>
      </w:r>
    </w:p>
    <w:p>
      <w:pPr>
        <w:keepNext/>
        <w:keepLines/>
        <w:snapToGrid w:val="0"/>
        <w:spacing w:line="520" w:lineRule="exact"/>
        <w:ind w:firstLine="640" w:firstLineChars="200"/>
        <w:outlineLvl w:val="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</w:t>
      </w:r>
      <w:bookmarkEnd w:id="1"/>
      <w:r>
        <w:rPr>
          <w:rFonts w:hint="eastAsia" w:ascii="黑体" w:hAnsi="黑体" w:eastAsia="黑体" w:cs="宋体"/>
          <w:bCs/>
          <w:kern w:val="0"/>
          <w:sz w:val="32"/>
          <w:szCs w:val="32"/>
        </w:rPr>
        <w:t>意见和建议</w:t>
      </w:r>
    </w:p>
    <w:p>
      <w:pPr>
        <w:spacing w:line="5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无意见</w:t>
      </w:r>
    </w:p>
    <w:p>
      <w:pPr>
        <w:keepNext/>
        <w:keepLines/>
        <w:snapToGrid w:val="0"/>
        <w:spacing w:line="520" w:lineRule="exact"/>
        <w:ind w:firstLine="640" w:firstLineChars="200"/>
        <w:outlineLvl w:val="0"/>
        <w:rPr>
          <w:rFonts w:ascii="黑体" w:hAnsi="黑体" w:eastAsia="黑体" w:cs="宋体"/>
          <w:bCs/>
          <w:kern w:val="0"/>
          <w:sz w:val="32"/>
          <w:szCs w:val="32"/>
        </w:rPr>
      </w:pPr>
      <w:bookmarkStart w:id="2" w:name="_Toc169183194"/>
      <w:r>
        <w:rPr>
          <w:rFonts w:hint="eastAsia" w:ascii="黑体" w:hAnsi="黑体" w:eastAsia="黑体" w:cs="宋体"/>
          <w:bCs/>
          <w:kern w:val="0"/>
          <w:sz w:val="32"/>
          <w:szCs w:val="32"/>
        </w:rPr>
        <w:t>五、</w:t>
      </w:r>
      <w:bookmarkEnd w:id="2"/>
      <w:r>
        <w:rPr>
          <w:rFonts w:hint="eastAsia" w:ascii="黑体" w:hAnsi="黑体" w:eastAsia="黑体" w:cs="宋体"/>
          <w:bCs/>
          <w:kern w:val="0"/>
          <w:sz w:val="32"/>
          <w:szCs w:val="32"/>
        </w:rPr>
        <w:t>其他需要说明的问题</w:t>
      </w:r>
    </w:p>
    <w:p>
      <w:pPr>
        <w:pStyle w:val="5"/>
        <w:spacing w:line="560" w:lineRule="exact"/>
        <w:ind w:firstLine="643"/>
        <w:rPr>
          <w:rFonts w:ascii="仿宋" w:hAnsi="仿宋" w:eastAsia="仿宋"/>
          <w:b/>
          <w:sz w:val="32"/>
        </w:rPr>
      </w:pPr>
      <w:r>
        <w:rPr>
          <w:rFonts w:hint="eastAsia" w:ascii="仿宋" w:hAnsi="仿宋" w:eastAsia="仿宋"/>
          <w:b/>
          <w:sz w:val="32"/>
        </w:rPr>
        <w:t>（一）主要经验及做法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1．领导重视，组织健全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为了保证活动顺利进行，成立了以局主要领导挂帅的组织机构，召开相关部门协调会，做到分工明确，责任到人。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2．节俭办赛，简化形式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为了响应中央号召，节俭办赛，我们简化开幕式形式，既节省了大量的人力、物力、财力，又解决了现场人员拥挤的现象，降低了安全隐患，提升了比赛流畅性。</w:t>
      </w:r>
    </w:p>
    <w:p>
      <w:pPr>
        <w:spacing w:line="560" w:lineRule="exact"/>
        <w:ind w:firstLine="42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Calibri" w:hAnsi="Calibri" w:eastAsia="宋体" w:cs="黑体"/>
          <w:kern w:val="2"/>
          <w:sz w:val="21"/>
          <w:szCs w:val="22"/>
          <w:lang w:val="en-US" w:eastAsia="zh-CN" w:bidi="ar-SA"/>
        </w:rPr>
        <w:pict>
          <v:group id="组合 5" o:spid="_x0000_s1026" style="position:absolute;left:0;margin-left:-17.85pt;margin-top:0pt;height:647.4pt;width:486pt;rotation:0f;z-index:251658240;" coordorigin="0,0" coordsize="9720,12948">
            <o:lock v:ext="edit" position="f" selection="f" grouping="f" rotation="f" cropping="f" text="f" aspectratio="f"/>
            <v:line id="Line 3" o:spid="_x0000_s1027" style="position:absolute;left:0;top:0;height:0;width:972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</v:line>
            <v:line id="Line 4" o:spid="_x0000_s1028" style="position:absolute;left:0;top:12948;height:0;width:9720;rotation:0f;" o:ole="f" fillcolor="#FFFFFF" filled="f" o:preferrelative="t" stroked="f" coordsize="21600,21600">
              <v:fill on="f" color2="#FFFFFF" focus="0%"/>
              <v:imagedata gain="65536f" blacklevel="0f" gamma="0"/>
              <o:lock v:ext="edit" position="f" selection="f" grouping="f" rotation="f" cropping="f" text="f" aspectratio="f"/>
            </v:line>
          </v:group>
        </w:pict>
      </w:r>
      <w:r>
        <w:rPr>
          <w:rFonts w:hint="eastAsia" w:ascii="仿宋" w:hAnsi="仿宋" w:eastAsia="仿宋" w:cs="仿宋_GB2312"/>
          <w:sz w:val="32"/>
          <w:szCs w:val="32"/>
        </w:rPr>
        <w:t>3．以人为本，确保安全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为了保证比赛顺利进行，制定活动总体安保方案、总体活动防疫方案，与运动员签订自愿参赛承诺书，同时协调交通、公安、</w:t>
      </w:r>
      <w:r>
        <w:rPr>
          <w:rFonts w:ascii="仿宋" w:hAnsi="仿宋" w:eastAsia="仿宋" w:cs="仿宋_GB2312"/>
          <w:sz w:val="32"/>
          <w:szCs w:val="32"/>
        </w:rPr>
        <w:t>卫生</w:t>
      </w:r>
      <w:r>
        <w:rPr>
          <w:rFonts w:hint="eastAsia" w:ascii="仿宋" w:hAnsi="仿宋" w:eastAsia="仿宋" w:cs="仿宋_GB2312"/>
          <w:sz w:val="32"/>
          <w:szCs w:val="32"/>
        </w:rPr>
        <w:t>等相关部门，确保比赛安全进行。由于组织得当，安排精细，在2023年</w:t>
      </w:r>
      <w:r>
        <w:rPr>
          <w:rFonts w:ascii="仿宋" w:hAnsi="仿宋" w:eastAsia="仿宋" w:cs="仿宋_GB2312"/>
          <w:sz w:val="32"/>
          <w:szCs w:val="32"/>
        </w:rPr>
        <w:t>度</w:t>
      </w:r>
      <w:r>
        <w:rPr>
          <w:rFonts w:hint="eastAsia" w:ascii="仿宋" w:hAnsi="仿宋" w:eastAsia="仿宋" w:cs="仿宋_GB2312"/>
          <w:sz w:val="32"/>
          <w:szCs w:val="32"/>
        </w:rPr>
        <w:t>体育总会各项赛事活动中，未出现安全事故。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4．加强宣传，营造氛围</w:t>
      </w:r>
    </w:p>
    <w:p>
      <w:pPr>
        <w:spacing w:line="56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一是在全区主要街道、重要交通节点悬挂道旗；二是副中心融媒体中心加大宣传力度；三是邀请主流媒体扩大影响；四是通过通州区体育局公众号进行宣传。</w:t>
      </w:r>
    </w:p>
    <w:p>
      <w:pPr>
        <w:pStyle w:val="5"/>
        <w:spacing w:line="560" w:lineRule="exact"/>
        <w:ind w:firstLine="643"/>
        <w:rPr>
          <w:rFonts w:ascii="仿宋" w:hAnsi="仿宋" w:eastAsia="仿宋"/>
          <w:b/>
          <w:sz w:val="32"/>
        </w:rPr>
      </w:pPr>
      <w:r>
        <w:rPr>
          <w:rFonts w:hint="eastAsia" w:ascii="仿宋" w:hAnsi="仿宋" w:eastAsia="仿宋"/>
          <w:b/>
          <w:sz w:val="32"/>
        </w:rPr>
        <w:t>（二）存在问题和建议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．活动项目内容需一步、</w:t>
      </w:r>
      <w:r>
        <w:rPr>
          <w:rFonts w:ascii="仿宋" w:hAnsi="仿宋" w:eastAsia="仿宋"/>
          <w:sz w:val="32"/>
          <w:szCs w:val="32"/>
        </w:rPr>
        <w:t>创新、</w:t>
      </w:r>
      <w:r>
        <w:rPr>
          <w:rFonts w:hint="eastAsia" w:ascii="仿宋" w:hAnsi="仿宋" w:eastAsia="仿宋"/>
          <w:sz w:val="32"/>
          <w:szCs w:val="32"/>
        </w:rPr>
        <w:t>丰富。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．宣传工作需进一步加强。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．经济带动作用不够。</w:t>
      </w:r>
    </w:p>
    <w:p>
      <w:pPr>
        <w:widowControl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4. 生态</w:t>
      </w:r>
      <w:r>
        <w:rPr>
          <w:rFonts w:ascii="仿宋_GB2312" w:eastAsia="仿宋_GB2312"/>
          <w:sz w:val="32"/>
          <w:szCs w:val="32"/>
        </w:rPr>
        <w:t>带动作用不足。</w:t>
      </w: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</w:p>
    <w:p>
      <w:pPr>
        <w:widowControl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</w:t>
      </w:r>
      <w:r>
        <w:rPr>
          <w:rFonts w:ascii="仿宋_GB2312" w:eastAsia="仿宋_GB2312"/>
          <w:sz w:val="32"/>
          <w:szCs w:val="32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通州区</w:t>
      </w:r>
      <w:r>
        <w:rPr>
          <w:rFonts w:ascii="仿宋_GB2312" w:eastAsia="仿宋_GB2312"/>
          <w:sz w:val="32"/>
          <w:szCs w:val="32"/>
        </w:rPr>
        <w:t>体育</w:t>
      </w:r>
      <w:r>
        <w:rPr>
          <w:rFonts w:hint="eastAsia" w:ascii="仿宋_GB2312" w:eastAsia="仿宋_GB2312"/>
          <w:sz w:val="32"/>
          <w:szCs w:val="32"/>
        </w:rPr>
        <w:t>总会</w:t>
      </w:r>
    </w:p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1803" w:right="1440" w:bottom="1803" w:left="1440" w:header="851" w:footer="992" w:gutter="0"/>
          <w:cols w:space="0" w:num="1"/>
          <w:docGrid w:type="lines" w:linePitch="312" w:charSpace="0"/>
        </w:sect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月1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6" w:h="16838"/>
      <w:pgMar w:top="1803" w:right="1440" w:bottom="1803" w:left="144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7529AF"/>
    <w:rsid w:val="0000279D"/>
    <w:rsid w:val="00020235"/>
    <w:rsid w:val="0007791B"/>
    <w:rsid w:val="000A0E87"/>
    <w:rsid w:val="000A35B0"/>
    <w:rsid w:val="000D7AC8"/>
    <w:rsid w:val="000F76B3"/>
    <w:rsid w:val="00120504"/>
    <w:rsid w:val="00157171"/>
    <w:rsid w:val="001719FE"/>
    <w:rsid w:val="00190F2B"/>
    <w:rsid w:val="00194618"/>
    <w:rsid w:val="001A5ABF"/>
    <w:rsid w:val="001C12BD"/>
    <w:rsid w:val="001C1B65"/>
    <w:rsid w:val="001C7F0A"/>
    <w:rsid w:val="001D3BAA"/>
    <w:rsid w:val="001F162B"/>
    <w:rsid w:val="00224EB5"/>
    <w:rsid w:val="00254467"/>
    <w:rsid w:val="00267552"/>
    <w:rsid w:val="002B0E2A"/>
    <w:rsid w:val="002D2634"/>
    <w:rsid w:val="002E190B"/>
    <w:rsid w:val="0037029A"/>
    <w:rsid w:val="0037527C"/>
    <w:rsid w:val="00396020"/>
    <w:rsid w:val="003C0306"/>
    <w:rsid w:val="003E5994"/>
    <w:rsid w:val="003F1ED4"/>
    <w:rsid w:val="003F56C0"/>
    <w:rsid w:val="00405EEF"/>
    <w:rsid w:val="004138BE"/>
    <w:rsid w:val="0044469F"/>
    <w:rsid w:val="00465AF9"/>
    <w:rsid w:val="00486110"/>
    <w:rsid w:val="004904A7"/>
    <w:rsid w:val="004C022F"/>
    <w:rsid w:val="004C79E9"/>
    <w:rsid w:val="005622C2"/>
    <w:rsid w:val="00592004"/>
    <w:rsid w:val="00594247"/>
    <w:rsid w:val="005E57E7"/>
    <w:rsid w:val="006247CE"/>
    <w:rsid w:val="00626D99"/>
    <w:rsid w:val="00631181"/>
    <w:rsid w:val="006535C2"/>
    <w:rsid w:val="00654E08"/>
    <w:rsid w:val="00671F69"/>
    <w:rsid w:val="006A1DFB"/>
    <w:rsid w:val="006A6CD3"/>
    <w:rsid w:val="006B4A7A"/>
    <w:rsid w:val="006D2D02"/>
    <w:rsid w:val="006F705D"/>
    <w:rsid w:val="0070488C"/>
    <w:rsid w:val="00713649"/>
    <w:rsid w:val="007529AF"/>
    <w:rsid w:val="00780AD5"/>
    <w:rsid w:val="007F55D6"/>
    <w:rsid w:val="00830212"/>
    <w:rsid w:val="00852955"/>
    <w:rsid w:val="008A4D82"/>
    <w:rsid w:val="008B4C02"/>
    <w:rsid w:val="008E3479"/>
    <w:rsid w:val="00932F53"/>
    <w:rsid w:val="009509AE"/>
    <w:rsid w:val="00951F5E"/>
    <w:rsid w:val="00976CF6"/>
    <w:rsid w:val="009F6C3B"/>
    <w:rsid w:val="00A0496B"/>
    <w:rsid w:val="00A272DC"/>
    <w:rsid w:val="00A37D8B"/>
    <w:rsid w:val="00A47A74"/>
    <w:rsid w:val="00A5375F"/>
    <w:rsid w:val="00A64858"/>
    <w:rsid w:val="00A7065A"/>
    <w:rsid w:val="00A84F70"/>
    <w:rsid w:val="00A90952"/>
    <w:rsid w:val="00AA76B7"/>
    <w:rsid w:val="00AB0615"/>
    <w:rsid w:val="00AB2E65"/>
    <w:rsid w:val="00AB39DE"/>
    <w:rsid w:val="00AB4EB9"/>
    <w:rsid w:val="00AF228A"/>
    <w:rsid w:val="00B04396"/>
    <w:rsid w:val="00B345F5"/>
    <w:rsid w:val="00B70175"/>
    <w:rsid w:val="00BB6C0B"/>
    <w:rsid w:val="00BF5185"/>
    <w:rsid w:val="00C40C7B"/>
    <w:rsid w:val="00C73103"/>
    <w:rsid w:val="00C74520"/>
    <w:rsid w:val="00C944B5"/>
    <w:rsid w:val="00C9624D"/>
    <w:rsid w:val="00CA7094"/>
    <w:rsid w:val="00CE6FBF"/>
    <w:rsid w:val="00CF777B"/>
    <w:rsid w:val="00D051CA"/>
    <w:rsid w:val="00D132E9"/>
    <w:rsid w:val="00D63E12"/>
    <w:rsid w:val="00D7024B"/>
    <w:rsid w:val="00D86FEA"/>
    <w:rsid w:val="00DD53FF"/>
    <w:rsid w:val="00E15E8A"/>
    <w:rsid w:val="00E17654"/>
    <w:rsid w:val="00E7493B"/>
    <w:rsid w:val="00E848F7"/>
    <w:rsid w:val="00EA12BA"/>
    <w:rsid w:val="00EA419E"/>
    <w:rsid w:val="00EC6651"/>
    <w:rsid w:val="00F325D5"/>
    <w:rsid w:val="00F57AA8"/>
    <w:rsid w:val="00FC656D"/>
    <w:rsid w:val="00FD1F76"/>
    <w:rsid w:val="09FD0D99"/>
    <w:rsid w:val="22D56551"/>
    <w:rsid w:val="2CF077F9"/>
    <w:rsid w:val="325C2CBB"/>
    <w:rsid w:val="33554BCC"/>
    <w:rsid w:val="3BA80795"/>
    <w:rsid w:val="41BB3854"/>
    <w:rsid w:val="4AD0241A"/>
    <w:rsid w:val="4F6F3786"/>
    <w:rsid w:val="5CD61BFF"/>
    <w:rsid w:val="64AA2E81"/>
    <w:rsid w:val="74865314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2"/>
    <w:qFormat/>
    <w:uiPriority w:val="0"/>
    <w:pPr>
      <w:ind w:firstLine="200" w:firstLineChars="200"/>
      <w:jc w:val="left"/>
      <w:outlineLvl w:val="2"/>
    </w:pPr>
    <w:rPr>
      <w:rFonts w:ascii="Cambria" w:hAnsi="Cambria" w:eastAsia="黑体" w:cs="Times New Roman"/>
      <w:bCs/>
      <w:kern w:val="28"/>
      <w:sz w:val="28"/>
      <w:szCs w:val="32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副标题 Char"/>
    <w:aliases w:val="标题3副 Char"/>
    <w:basedOn w:val="7"/>
    <w:link w:val="5"/>
    <w:locked/>
    <w:uiPriority w:val="0"/>
    <w:rPr>
      <w:rFonts w:ascii="Cambria" w:hAnsi="Cambria" w:eastAsia="黑体"/>
      <w:bCs/>
      <w:kern w:val="28"/>
      <w:sz w:val="28"/>
      <w:szCs w:val="32"/>
    </w:rPr>
  </w:style>
  <w:style w:type="character" w:customStyle="1" w:styleId="13">
    <w:name w:val="副标题 Char1"/>
    <w:basedOn w:val="7"/>
    <w:uiPriority w:val="11"/>
    <w:rPr>
      <w:rFonts w:ascii="Cambria" w:hAnsi="Cambria" w:cs="黑体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7" textRotate="1"/>
    <customShpInfo spid="_x0000_s102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430</Words>
  <Characters>2456</Characters>
  <Lines>20</Lines>
  <Paragraphs>5</Paragraphs>
  <TotalTime>0</TotalTime>
  <ScaleCrop>false</ScaleCrop>
  <LinksUpToDate>false</LinksUpToDate>
  <CharactersWithSpaces>0</CharactersWithSpaces>
  <Application>WPS Office_9.1.0.5111_{F1E327BC-269C-435d-A152-05C5408002CA}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2024-04-16T02:01:00Z</dcterms:created>
  <dc:creator>a</dc:creator>
  <cp:lastModifiedBy>Administrator</cp:lastModifiedBy>
  <cp:lastPrinted>2021-02-02T04:29:00Z</cp:lastPrinted>
  <dcterms:modified xsi:type="dcterms:W3CDTF">2024-04-18T09:16:25Z</dcterms:modified>
  <dc:title>附件1-1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  <property fmtid="{D5CDD505-2E9C-101B-9397-08002B2CF9AE}" pid="3" name="ICV">
    <vt:lpwstr>48F7B63F84064C6E894F95A3370444B8</vt:lpwstr>
  </property>
</Properties>
</file>