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2023年通州区排球运动队日常训练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通州区体育运动学校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孙凯昭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15801555065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运动队数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4队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4队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运动员数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训练参与度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技术技能增长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教练费用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资金使用率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服务范围率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队员训练规律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≥85%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促进教育率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参与训练人员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widowControl/>
        <w:wordWrap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widowControl/>
        <w:wordWrap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numPr>
          <w:numId w:val="0"/>
        </w:numPr>
        <w:pBdr>
          <w:bottom w:val="single" w:color="FFFFFF" w:sz="4" w:space="17"/>
        </w:pBdr>
        <w:wordWrap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/>
    <w:p>
      <w:pPr>
        <w:pStyle w:val="3"/>
      </w:pP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一、基本情况</w:t>
      </w:r>
    </w:p>
    <w:p>
      <w:pPr>
        <w:spacing w:line="360" w:lineRule="auto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（一）项目概况。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本项目包括排球男子甲丙、女子甲乙扶持资金，共计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69万元，共计4支队伍。截至目前，相应参赛2023年北京市青少年排球锦标赛扶持资金，全部拨付到位。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项目绩效目标。包括总体目标和阶段性目标。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阶段性目标：增加速度、力量、灵敏的运动能力，提升运动员的心肺功能，加强实战技能的训练。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总体目标：通州区排球参赛各组别，争取佳绩，个别组别突破最好成绩。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（一）绩效评价目的、对象和范围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：绩效评价对象为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4支运动队所有教练员及运动员。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（二）绩效评价原则、评价指标体系（附表说明）、评价方法、评价标准等。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（三）绩效评价工作过程。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三、综合评价情况及评价结论（附相关评分表）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四、绩效评价指标分析</w:t>
      </w:r>
    </w:p>
    <w:p>
      <w:pPr>
        <w:ind w:firstLine="640" w:firstLineChars="200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（一）资金投入情况分析</w:t>
      </w:r>
    </w:p>
    <w:p>
      <w:pPr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本项目资金于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2023年年初全部到位，年初与公司签订合作协议，其中通州区鹏瑞俱乐部负责4支排球运动队，共计69万元。</w:t>
      </w:r>
    </w:p>
    <w:p>
      <w:pPr>
        <w:ind w:firstLine="640" w:firstLineChars="200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（二）总体绩效目标完成情况分析</w:t>
      </w:r>
    </w:p>
    <w:p>
      <w:pPr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通州区排球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4支队伍全部完成2023年整年度训练并且全部组别参加2023年北京市青少年排球锦标赛。</w:t>
      </w:r>
    </w:p>
    <w:p>
      <w:pPr>
        <w:ind w:firstLine="640" w:firstLineChars="200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（三）绩效指标完成情况分析</w:t>
      </w:r>
    </w:p>
    <w:p>
      <w:pPr>
        <w:numPr>
          <w:numId w:val="0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1、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通州区排球队男子甲组获得</w:t>
      </w: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>2024年北京市青少年排球锦标赛第四名的好成绩、女甲获得第四名的好成绩。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主要经验及做法、存在的问题及原因分析</w:t>
      </w:r>
    </w:p>
    <w:p>
      <w:pPr>
        <w:numPr>
          <w:numId w:val="0"/>
        </w:numPr>
        <w:spacing w:line="600" w:lineRule="exact"/>
        <w:rPr>
          <w:rFonts w:hint="default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 xml:space="preserve">     主要经验及做法：按月检查排球项目各队伍训练基本情况，观察教练员及运动员心理身理健康，如有问题提供心理疏导和身体康复辅助。团结各队伍凝聚力，心往一处想，劲往一处使。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六、有关建议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其他需要说明的问题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无</w:t>
      </w:r>
    </w:p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13592990">
    <w:nsid w:val="5A37989E"/>
    <w:multiLevelType w:val="singleLevel"/>
    <w:tmpl w:val="5A37989E"/>
    <w:lvl w:ilvl="0" w:tentative="1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418803506">
    <w:nsid w:val="902C0332"/>
    <w:multiLevelType w:val="singleLevel"/>
    <w:tmpl w:val="902C0332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224650096">
    <w:nsid w:val="FBCF0B70"/>
    <w:multiLevelType w:val="singleLevel"/>
    <w:tmpl w:val="FBCF0B70"/>
    <w:lvl w:ilvl="0" w:tentative="1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418803506"/>
  </w:num>
  <w:num w:numId="2">
    <w:abstractNumId w:val="4224650096"/>
  </w:num>
  <w:num w:numId="3">
    <w:abstractNumId w:val="151359299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mRmOTEzZDlkY2Y1NTIyY2QzYjA3Y2NjMTZmM2YzMzMifQ=="/>
  </w:docVars>
  <w:rsids>
    <w:rsidRoot w:val="5EDB0B63"/>
    <w:rsid w:val="00D13EE2"/>
    <w:rsid w:val="01534994"/>
    <w:rsid w:val="0C8165E0"/>
    <w:rsid w:val="185D40D7"/>
    <w:rsid w:val="1EA03416"/>
    <w:rsid w:val="2CBF8107"/>
    <w:rsid w:val="2EB70209"/>
    <w:rsid w:val="30FF2B40"/>
    <w:rsid w:val="35D339CB"/>
    <w:rsid w:val="3FF79B31"/>
    <w:rsid w:val="4ADD4E2B"/>
    <w:rsid w:val="4BA31FDB"/>
    <w:rsid w:val="4BFF9656"/>
    <w:rsid w:val="4E0F475B"/>
    <w:rsid w:val="537B9DA3"/>
    <w:rsid w:val="55BE7584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2024-04-16T04:27:25Z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86F1498DCFE54467BAE8A01462FFE139_12</vt:lpwstr>
  </property>
</Properties>
</file>