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202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年通州区国家体育锻炼标准测试项目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安山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54.7537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54.7537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1.202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年全年测试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2.开展全区街道、乡镇居民体质测试活动。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3.提高体质测试社会影响力、认知度。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4.收集数据并上报区体育局汇总。  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1.202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年全年测试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4083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2.开展全区街道、乡镇居民体质测试活动。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3.提高体质测试社会影响力、认知度。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4.收集数据并上报区体育局汇总。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测试站点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4083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测试周期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4-11月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4-11月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测试参与度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全区各乡镇、街道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全区各乡镇、街道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受测人员了解自身身体状况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受测人员掌握锻炼方式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显着增强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显着增强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增强群众健身意识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显着增强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显着增强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受测人员满意度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202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3年全年测试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 xml:space="preserve">4083人。开展全区街道、乡镇居民体质测试活动。提高体质测试社会影响力、认知度。收集数据并上报区体育局汇总。 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2023年我局对全区22个街道、乡镇开展《国家体育锻炼标准》测试工作，共计完成测试人数4083人，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测试达标率89.45%，同比上一年增长2.6%。</w:t>
      </w:r>
      <w:r>
        <w:rPr>
          <w:rFonts w:hint="eastAsia" w:ascii="宋体" w:hAnsi="宋体" w:cs="宋体"/>
          <w:color w:val="auto"/>
          <w:kern w:val="0"/>
          <w:sz w:val="22"/>
        </w:rPr>
        <w:t>参加测试的人员有农民、社区居民、区机关工作人员、体育协会会员、体育俱乐部人员、企业工作人员等。在测试过程中裁判及工作人员对参加测试的人员进行现场科普指导，给参与测试的全部人员发放宣传品，鼓励和引导大家积极参与到体育锻炼中来，并将全部测试数据收录存档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参加测试的人员有农民、社区居民、区机关工作人员、体育协会会员、体育俱乐部人员、企业工作人员等。</w:t>
      </w:r>
      <w:bookmarkStart w:id="0" w:name="_GoBack"/>
      <w:bookmarkEnd w:id="0"/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Ll1uVLQAAAABQEAAA8AAAAAAAAAAQAgAAAAOAAAAGRycy9kb3ducmV2LnhtbFBLAQIUABQA&#10;AAAIAIdO4kCM7bLaqQEAAEQDAAAOAAAAAAAAAAEAIAAAADU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lYzllMDljNTdiMDBlYTJhNjc3ZjhlZmIzNTYxMjUifQ=="/>
  </w:docVars>
  <w:rsids>
    <w:rsidRoot w:val="5EDB0B63"/>
    <w:rsid w:val="01534994"/>
    <w:rsid w:val="0C8165E0"/>
    <w:rsid w:val="10500E8D"/>
    <w:rsid w:val="1AEFE3BF"/>
    <w:rsid w:val="1EA03416"/>
    <w:rsid w:val="2CBF8107"/>
    <w:rsid w:val="2EB70209"/>
    <w:rsid w:val="30FF2B40"/>
    <w:rsid w:val="35D339CB"/>
    <w:rsid w:val="3DC713E5"/>
    <w:rsid w:val="3FF10C36"/>
    <w:rsid w:val="3FF79B31"/>
    <w:rsid w:val="3FFFD02B"/>
    <w:rsid w:val="46100B25"/>
    <w:rsid w:val="4BA31FDB"/>
    <w:rsid w:val="4BFF9656"/>
    <w:rsid w:val="4EE709B4"/>
    <w:rsid w:val="537B9DA3"/>
    <w:rsid w:val="56FD686A"/>
    <w:rsid w:val="5A474F5C"/>
    <w:rsid w:val="5D5B85EA"/>
    <w:rsid w:val="5DDF52D1"/>
    <w:rsid w:val="5EDB0B63"/>
    <w:rsid w:val="5F9F33EB"/>
    <w:rsid w:val="63FC518C"/>
    <w:rsid w:val="6AC7B1A3"/>
    <w:rsid w:val="6B4F980F"/>
    <w:rsid w:val="6B77FB6F"/>
    <w:rsid w:val="6BFBF351"/>
    <w:rsid w:val="6D974ECB"/>
    <w:rsid w:val="6EE9A86C"/>
    <w:rsid w:val="6FD43E60"/>
    <w:rsid w:val="6FF55E63"/>
    <w:rsid w:val="75B6B375"/>
    <w:rsid w:val="763E871D"/>
    <w:rsid w:val="797B5AA7"/>
    <w:rsid w:val="79EBFCAD"/>
    <w:rsid w:val="7AFD31A3"/>
    <w:rsid w:val="7B7F6D35"/>
    <w:rsid w:val="7BBD97BD"/>
    <w:rsid w:val="7BDF11D5"/>
    <w:rsid w:val="7BFE4A5B"/>
    <w:rsid w:val="7BFFEC6B"/>
    <w:rsid w:val="7CFA9CFA"/>
    <w:rsid w:val="7CFD9935"/>
    <w:rsid w:val="7DBF4FBB"/>
    <w:rsid w:val="7DCD9330"/>
    <w:rsid w:val="7DD758A1"/>
    <w:rsid w:val="7DF8ADE7"/>
    <w:rsid w:val="7E562264"/>
    <w:rsid w:val="7E5EB5A1"/>
    <w:rsid w:val="7F2773F9"/>
    <w:rsid w:val="7F3909BD"/>
    <w:rsid w:val="7F76F4E2"/>
    <w:rsid w:val="7F7C49BA"/>
    <w:rsid w:val="7FBF70D0"/>
    <w:rsid w:val="7FF719AD"/>
    <w:rsid w:val="9BFD2FEF"/>
    <w:rsid w:val="AFDDEFDC"/>
    <w:rsid w:val="B2DFF942"/>
    <w:rsid w:val="B5FC34C6"/>
    <w:rsid w:val="B72A39A3"/>
    <w:rsid w:val="BAEFCA12"/>
    <w:rsid w:val="BB3F46D5"/>
    <w:rsid w:val="BD5D8A02"/>
    <w:rsid w:val="D4CEDA1A"/>
    <w:rsid w:val="D5A31DC0"/>
    <w:rsid w:val="D7FF1616"/>
    <w:rsid w:val="DADD579A"/>
    <w:rsid w:val="DCFB92A7"/>
    <w:rsid w:val="DFD72AC9"/>
    <w:rsid w:val="DFEAA56F"/>
    <w:rsid w:val="DFFEDE5F"/>
    <w:rsid w:val="E49F9ACF"/>
    <w:rsid w:val="E6922BE3"/>
    <w:rsid w:val="EB5BB730"/>
    <w:rsid w:val="EDFF835A"/>
    <w:rsid w:val="EEBB59E1"/>
    <w:rsid w:val="EFCF022D"/>
    <w:rsid w:val="F37B3AB2"/>
    <w:rsid w:val="F4FC9DF0"/>
    <w:rsid w:val="F6FF4047"/>
    <w:rsid w:val="F7E365DE"/>
    <w:rsid w:val="F7F342CF"/>
    <w:rsid w:val="FA5A168B"/>
    <w:rsid w:val="FAFF3A7A"/>
    <w:rsid w:val="FD3F40DC"/>
    <w:rsid w:val="FEF8056D"/>
    <w:rsid w:val="FEF82787"/>
    <w:rsid w:val="FEFD3F0E"/>
    <w:rsid w:val="FFBDEA55"/>
    <w:rsid w:val="FFEF68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user</cp:lastModifiedBy>
  <cp:lastPrinted>2024-03-30T09:59:00Z</cp:lastPrinted>
  <dcterms:modified xsi:type="dcterms:W3CDTF">2024-04-18T19:46:26Z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220037B4C111461AAB2887DEA31B83C9_13</vt:lpwstr>
  </property>
</Properties>
</file>