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suppressAutoHyphens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北京市限额以下工程开工建设</w:t>
      </w:r>
    </w:p>
    <w:p>
      <w:pPr>
        <w:keepNext w:val="0"/>
        <w:keepLines w:val="0"/>
        <w:pageBreakBefore w:val="0"/>
        <w:suppressAutoHyphens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信息登记表（范本）</w:t>
      </w:r>
    </w:p>
    <w:tbl>
      <w:tblPr>
        <w:tblStyle w:val="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196"/>
        <w:gridCol w:w="970"/>
        <w:gridCol w:w="1797"/>
        <w:gridCol w:w="124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suppressAutoHyphens/>
              <w:bidi w:val="0"/>
              <w:spacing w:line="56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一、工程基本信息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工程地点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6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建设单位（个人）名称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（身份证号码）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建设单位（个人）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负责人姓名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1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号码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联系电话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施工单位资质</w:t>
            </w:r>
          </w:p>
        </w:tc>
        <w:tc>
          <w:tcPr>
            <w:tcW w:w="26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施工单位负责人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1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注册执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业证号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联系电话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工程类别（在对应项目上打</w:t>
            </w:r>
            <w:r>
              <w:rPr>
                <w:rFonts w:hint="eastAsia" w:ascii="仿宋_GB2312" w:hAnsi="Arial" w:eastAsia="仿宋_GB2312" w:cs="Arial"/>
                <w:szCs w:val="24"/>
              </w:rPr>
              <w:t>√）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房</w:t>
            </w:r>
            <w:r>
              <w:rPr>
                <w:rFonts w:hint="eastAsia" w:ascii="仿宋_GB2312" w:hAnsi="宋体" w:eastAsia="仿宋_GB2312" w:cs="宋体"/>
                <w:szCs w:val="24"/>
              </w:rPr>
              <w:t>建工程（新建□  改、扩建□ 装饰装修□）</w:t>
            </w:r>
            <w:r>
              <w:rPr>
                <w:rFonts w:ascii="仿宋_GB2312" w:hAnsi="宋体" w:eastAsia="仿宋_GB2312" w:cs="宋体"/>
                <w:szCs w:val="24"/>
              </w:rPr>
              <w:t>市政基础设施工程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市政管线及附属设施工程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园林绿化工程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电力工程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交通工程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szCs w:val="24"/>
              </w:rPr>
              <w:t xml:space="preserve">   水利、水务工程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危化工程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szCs w:val="24"/>
              </w:rPr>
              <w:t xml:space="preserve"> 消防工程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地下综合管廊工程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公用工程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 农业工程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</w:rPr>
              <w:t xml:space="preserve"> 交管设施工程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通信工程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校园工程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医疗机构工程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宋体" w:eastAsia="仿宋_GB2312" w:cs="宋体"/>
                <w:szCs w:val="24"/>
              </w:rPr>
              <w:t>其他工程</w:t>
            </w:r>
            <w:r>
              <w:rPr>
                <w:rFonts w:hint="eastAsia" w:ascii="仿宋_GB2312" w:hAnsi="宋体" w:eastAsia="仿宋_GB2312" w:cs="宋体"/>
                <w:szCs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建设规模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总投资：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万元；建筑面积：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平方米；层数：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主要施工内容（行为）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二、建设单位应提供的资料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0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1.建设工程用地批准文件、产权租赁协议；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2.建设工程规划许可手续；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3.满足施工技术要求的施工图纸或选用的设计通用图和标准图集；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4.施工单位资质文件及工程承发包合同关键页；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5.提供挖掘工程地下管线调查情况；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</w:t>
            </w:r>
            <w:r>
              <w:rPr>
                <w:rFonts w:ascii="仿宋_GB2312" w:hAnsi="Calibri" w:eastAsia="仿宋_GB2312" w:cs="Times New Roman"/>
                <w:szCs w:val="21"/>
              </w:rPr>
              <w:t>.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专项施工方案。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注：以上资料如有需提供，均为非必要提交项。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三、备注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920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1.申请单位（个人）应准确提供工程基本信息。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2.申请单位（个人）应如实提供相关资料，并承担由此引起的法律责任。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3.本表一式两份，登记机构和办理人各留一份。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0A7A9D5-23C1-44B2-8CCD-70DBAA92AA7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DDC7EC-3223-4882-8013-39FE399BDB2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0AA48BD-0A4D-4297-B770-2C62394CE9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0745B47-A08E-47D6-8093-983C302306D9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36A52966-2B85-451D-9359-E93DA3F00E49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ZmEzOWFjMGRhMjUzMTk1ODI0NTNlZWUyMTk0YzIifQ=="/>
  </w:docVars>
  <w:rsids>
    <w:rsidRoot w:val="00000000"/>
    <w:rsid w:val="5CD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8460"/>
      </w:tabs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2023-11-24T02:16:34Z</dcterms:created>
  <dc:creator>Admin</dc:creator>
  <cp:lastModifiedBy>落寞的温暖</cp:lastModifiedBy>
  <dcterms:modified xsi:type="dcterms:W3CDTF">2023-11-24T02:16:41Z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500C8E68A8A245278C85C540B0AB222A_12</vt:lpwstr>
  </property>
</Properties>
</file>