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4643120" cy="2572385"/>
            <wp:effectExtent l="0" t="0" r="508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272280" cy="2729230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4464050" cy="2670810"/>
            <wp:effectExtent l="0" t="0" r="12700" b="15240"/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center"/>
        <w:rPr>
          <w:color w:val="B3A2C7" w:themeColor="accent4" w:themeTint="99"/>
          <w14:textFill>
            <w14:solidFill>
              <w14:schemeClr w14:val="accent4">
                <w14:lumMod w14:val="60000"/>
                <w14:lumOff w14:val="40000"/>
              </w14:schemeClr>
            </w14:solidFill>
          </w14:textFill>
        </w:rPr>
      </w:pPr>
    </w:p>
    <w:p>
      <w:pPr>
        <w:jc w:val="left"/>
      </w:pPr>
    </w:p>
    <w:p>
      <w:pPr>
        <w:jc w:val="left"/>
        <w:rPr>
          <w:color w:val="B3A2C7" w:themeColor="accent4" w:themeTint="99"/>
          <w14:textFill>
            <w14:solidFill>
              <w14:schemeClr w14:val="accent4">
                <w14:lumMod w14:val="60000"/>
                <w14:lumOff w14:val="40000"/>
              </w14:schemeClr>
            </w14:solidFill>
          </w14:textFill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076700" cy="2685415"/>
            <wp:effectExtent l="0" t="0" r="0" b="635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700270" cy="2517775"/>
            <wp:effectExtent l="0" t="0" r="5080" b="1587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sz w:val="21"/>
          <w:szCs w:val="21"/>
        </w:rPr>
      </w:pPr>
    </w:p>
    <w:p>
      <w:pPr>
        <w:jc w:val="left"/>
      </w:pPr>
    </w:p>
    <w:p>
      <w:pPr>
        <w:jc w:val="center"/>
      </w:pPr>
    </w:p>
    <w:p>
      <w:pPr>
        <w:jc w:val="left"/>
        <w:rPr>
          <w:rFonts w:hint="eastAsia" w:eastAsia="等线"/>
          <w:lang w:eastAsia="zh-CN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YjliY2Q0OGQ1MzZlOTk0MTgyOTI4MGU2OWE4MmYifQ=="/>
  </w:docVars>
  <w:rsids>
    <w:rsidRoot w:val="000A43DC"/>
    <w:rsid w:val="000135E7"/>
    <w:rsid w:val="00034983"/>
    <w:rsid w:val="000417F9"/>
    <w:rsid w:val="00074EED"/>
    <w:rsid w:val="00076791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22A2E24"/>
    <w:rsid w:val="022E5173"/>
    <w:rsid w:val="046A2A3A"/>
    <w:rsid w:val="04763EE5"/>
    <w:rsid w:val="04A57852"/>
    <w:rsid w:val="0553134C"/>
    <w:rsid w:val="06A136B9"/>
    <w:rsid w:val="07C12FA2"/>
    <w:rsid w:val="09315C8F"/>
    <w:rsid w:val="0A60637E"/>
    <w:rsid w:val="0B9257DC"/>
    <w:rsid w:val="0ED202B1"/>
    <w:rsid w:val="101210C7"/>
    <w:rsid w:val="12F952F5"/>
    <w:rsid w:val="1433222A"/>
    <w:rsid w:val="150222E5"/>
    <w:rsid w:val="15691286"/>
    <w:rsid w:val="15F65D9C"/>
    <w:rsid w:val="175B7696"/>
    <w:rsid w:val="179A3525"/>
    <w:rsid w:val="183B3728"/>
    <w:rsid w:val="1A6730C3"/>
    <w:rsid w:val="1B9E2D48"/>
    <w:rsid w:val="1DC40A44"/>
    <w:rsid w:val="1EBD29E4"/>
    <w:rsid w:val="1F110DE9"/>
    <w:rsid w:val="203C6D40"/>
    <w:rsid w:val="22DA21F5"/>
    <w:rsid w:val="23435939"/>
    <w:rsid w:val="23483364"/>
    <w:rsid w:val="24C51723"/>
    <w:rsid w:val="27716887"/>
    <w:rsid w:val="27A24E6D"/>
    <w:rsid w:val="281021BF"/>
    <w:rsid w:val="2A7725E1"/>
    <w:rsid w:val="2A8152CE"/>
    <w:rsid w:val="2AF05EF0"/>
    <w:rsid w:val="2B8D0C77"/>
    <w:rsid w:val="2C7A5B1E"/>
    <w:rsid w:val="330D68FA"/>
    <w:rsid w:val="34271086"/>
    <w:rsid w:val="348D3665"/>
    <w:rsid w:val="36A119FB"/>
    <w:rsid w:val="39853F9F"/>
    <w:rsid w:val="3B0954D1"/>
    <w:rsid w:val="3B5A188F"/>
    <w:rsid w:val="3DAC13B8"/>
    <w:rsid w:val="3E1D47C5"/>
    <w:rsid w:val="4092099C"/>
    <w:rsid w:val="41BB2D74"/>
    <w:rsid w:val="447D1FF7"/>
    <w:rsid w:val="459E2E2D"/>
    <w:rsid w:val="46F52C78"/>
    <w:rsid w:val="48C8384B"/>
    <w:rsid w:val="4B222F02"/>
    <w:rsid w:val="4BFC353A"/>
    <w:rsid w:val="4CFB26C0"/>
    <w:rsid w:val="4DE414C1"/>
    <w:rsid w:val="4EF7020E"/>
    <w:rsid w:val="4F3B7EBF"/>
    <w:rsid w:val="4F8B4779"/>
    <w:rsid w:val="50492604"/>
    <w:rsid w:val="516867E6"/>
    <w:rsid w:val="51A056CA"/>
    <w:rsid w:val="553E5415"/>
    <w:rsid w:val="578D0486"/>
    <w:rsid w:val="59417793"/>
    <w:rsid w:val="596C12DB"/>
    <w:rsid w:val="59B87950"/>
    <w:rsid w:val="59E16894"/>
    <w:rsid w:val="5D780ABD"/>
    <w:rsid w:val="5E087FFD"/>
    <w:rsid w:val="5E4E45F0"/>
    <w:rsid w:val="5E941E66"/>
    <w:rsid w:val="5EA80F26"/>
    <w:rsid w:val="5EE949D8"/>
    <w:rsid w:val="5EF32B74"/>
    <w:rsid w:val="608B7025"/>
    <w:rsid w:val="63A07E28"/>
    <w:rsid w:val="648B248A"/>
    <w:rsid w:val="657F0D27"/>
    <w:rsid w:val="67D02E98"/>
    <w:rsid w:val="68A25C7C"/>
    <w:rsid w:val="69CA6506"/>
    <w:rsid w:val="6A2E3D63"/>
    <w:rsid w:val="71775AB0"/>
    <w:rsid w:val="72A41658"/>
    <w:rsid w:val="72FC49FE"/>
    <w:rsid w:val="734B0AAB"/>
    <w:rsid w:val="739B38BF"/>
    <w:rsid w:val="73E15A39"/>
    <w:rsid w:val="750F25EE"/>
    <w:rsid w:val="75125EDB"/>
    <w:rsid w:val="75F47512"/>
    <w:rsid w:val="765E328F"/>
    <w:rsid w:val="769F2138"/>
    <w:rsid w:val="77BF7EE1"/>
    <w:rsid w:val="790A567E"/>
    <w:rsid w:val="7AD258DE"/>
    <w:rsid w:val="7C9F25F3"/>
    <w:rsid w:val="7D945CD3"/>
    <w:rsid w:val="7E3E411D"/>
    <w:rsid w:val="7EE95410"/>
    <w:rsid w:val="7F1D2D77"/>
    <w:rsid w:val="7F51623B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3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1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4.&#31038;&#20250;&#28040;&#36153;&#21697;&#38646;&#21806;&#24635;&#39069;&#65288;&#32047;&#35745;&#65289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5.&#20840;&#21306;&#23621;&#27665;&#20154;&#22343;&#21487;&#25903;&#37197;&#25910;&#20837;&#21450;&#22686;&#36895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6.&#19968;&#33324;&#20844;&#20849;&#39044;&#31639;&#25910;&#20837;&#65288;&#32047;&#35745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规模以上工业总产值（累计）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2023年(亿元）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108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89.3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275346"/>
        <c:axId val="309986865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-4.8</c:v>
                </c:pt>
                <c:pt idx="1">
                  <c:v>-3</c:v>
                </c:pt>
                <c:pt idx="2">
                  <c:v>-5.8</c:v>
                </c:pt>
                <c:pt idx="3">
                  <c:v>-8.5</c:v>
                </c:pt>
                <c:pt idx="4">
                  <c:v>-9.7</c:v>
                </c:pt>
                <c:pt idx="5">
                  <c:v>-9.2</c:v>
                </c:pt>
                <c:pt idx="6">
                  <c:v>-9</c:v>
                </c:pt>
                <c:pt idx="7">
                  <c:v>-7.5</c:v>
                </c:pt>
                <c:pt idx="8">
                  <c:v>-6.4</c:v>
                </c:pt>
                <c:pt idx="9" c:formatCode="General">
                  <c:v>-6.6</c:v>
                </c:pt>
                <c:pt idx="10">
                  <c:v>-8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65000"/>
                </a:schemeClr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38.1</c:v>
                </c:pt>
                <c:pt idx="1">
                  <c:v>31.6</c:v>
                </c:pt>
                <c:pt idx="2">
                  <c:v>22.4</c:v>
                </c:pt>
                <c:pt idx="3">
                  <c:v>20.7</c:v>
                </c:pt>
                <c:pt idx="4">
                  <c:v>17.9</c:v>
                </c:pt>
                <c:pt idx="5" c:formatCode="0.0_ ">
                  <c:v>15</c:v>
                </c:pt>
                <c:pt idx="6">
                  <c:v>13.6</c:v>
                </c:pt>
                <c:pt idx="7">
                  <c:v>9.9</c:v>
                </c:pt>
                <c:pt idx="8">
                  <c:v>6.5</c:v>
                </c:pt>
                <c:pt idx="9">
                  <c:v>5.4</c:v>
                </c:pt>
                <c:pt idx="10">
                  <c:v>4.7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0.025919526042952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12700" cap="flat" cmpd="sng" algn="ctr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prstDash val="solid"/>
                      <a:round/>
                      <a:headEnd type="oval" w="sm" len="sm"/>
                      <a:tailEnd type="oval" w="sm" len="sm"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-8.6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4962187"/>
        <c:axId val="764244050"/>
      </c:lineChart>
      <c:catAx>
        <c:axId val="1422753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9986865"/>
        <c:crosses val="autoZero"/>
        <c:auto val="1"/>
        <c:lblAlgn val="ctr"/>
        <c:lblOffset val="100"/>
        <c:noMultiLvlLbl val="0"/>
      </c:catAx>
      <c:valAx>
        <c:axId val="309986865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2275346"/>
        <c:crosses val="autoZero"/>
        <c:crossBetween val="between"/>
      </c:valAx>
      <c:catAx>
        <c:axId val="45496218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4244050"/>
        <c:crosses val="autoZero"/>
        <c:auto val="1"/>
        <c:lblAlgn val="ctr"/>
        <c:lblOffset val="100"/>
        <c:noMultiLvlLbl val="0"/>
      </c:catAx>
      <c:valAx>
        <c:axId val="764244050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9621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  <c:pt idx="7">
                  <c:v>6.2</c:v>
                </c:pt>
                <c:pt idx="8">
                  <c:v>3.5</c:v>
                </c:pt>
                <c:pt idx="9">
                  <c:v>-1.4</c:v>
                </c:pt>
                <c:pt idx="10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39</c:v>
                </c:pt>
                <c:pt idx="1" c:formatCode="General">
                  <c:v>23.7</c:v>
                </c:pt>
                <c:pt idx="2" c:formatCode="General">
                  <c:v>11.3</c:v>
                </c:pt>
                <c:pt idx="3" c:formatCode="General">
                  <c:v>0.4</c:v>
                </c:pt>
                <c:pt idx="4">
                  <c:v>9</c:v>
                </c:pt>
                <c:pt idx="5" c:formatCode="General">
                  <c:v>-1.9</c:v>
                </c:pt>
                <c:pt idx="6" c:formatCode="General">
                  <c:v>-8.5</c:v>
                </c:pt>
                <c:pt idx="7" c:formatCode="General">
                  <c:v>-3.8</c:v>
                </c:pt>
                <c:pt idx="8" c:formatCode="General">
                  <c:v>-2.7</c:v>
                </c:pt>
                <c:pt idx="9" c:formatCode="General">
                  <c:v>-4.7</c:v>
                </c:pt>
                <c:pt idx="10" c:formatCode="General">
                  <c:v>-2.6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2020年增速（%）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-8.1</c:v>
                </c:pt>
                <c:pt idx="1">
                  <c:v>0.3</c:v>
                </c:pt>
                <c:pt idx="2">
                  <c:v>1.4</c:v>
                </c:pt>
                <c:pt idx="3">
                  <c:v>9.5</c:v>
                </c:pt>
                <c:pt idx="4">
                  <c:v>0.9</c:v>
                </c:pt>
                <c:pt idx="5">
                  <c:v>5.6</c:v>
                </c:pt>
                <c:pt idx="6">
                  <c:v>9.4</c:v>
                </c:pt>
                <c:pt idx="7">
                  <c:v>10.1</c:v>
                </c:pt>
                <c:pt idx="8">
                  <c:v>11.4</c:v>
                </c:pt>
                <c:pt idx="9">
                  <c:v>12.7</c:v>
                </c:pt>
                <c:pt idx="10">
                  <c:v>8.7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145301905069422"/>
                  <c:y val="-0.0068027210884353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12700" cap="flat" cmpd="sng" algn="ctr">
                      <a:solidFill>
                        <a:srgbClr val="00B0F0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0.7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  <c:pt idx="7">
                  <c:v>18.5</c:v>
                </c:pt>
                <c:pt idx="8">
                  <c:v>16.9</c:v>
                </c:pt>
                <c:pt idx="9">
                  <c:v>13.9</c:v>
                </c:pt>
                <c:pt idx="10">
                  <c:v>17.1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6.3</c:v>
                </c:pt>
                <c:pt idx="1">
                  <c:v>8</c:v>
                </c:pt>
                <c:pt idx="2">
                  <c:v>9.8</c:v>
                </c:pt>
                <c:pt idx="3">
                  <c:v>0.1</c:v>
                </c:pt>
                <c:pt idx="4">
                  <c:v>0.4</c:v>
                </c:pt>
                <c:pt idx="5">
                  <c:v>-6.2</c:v>
                </c:pt>
                <c:pt idx="6">
                  <c:v>-10</c:v>
                </c:pt>
                <c:pt idx="7">
                  <c:v>-10.3</c:v>
                </c:pt>
                <c:pt idx="8">
                  <c:v>-11.4</c:v>
                </c:pt>
                <c:pt idx="9">
                  <c:v>-12.8</c:v>
                </c:pt>
                <c:pt idx="10">
                  <c:v>-16.4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2020年增速（%）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21.4</c:v>
                </c:pt>
                <c:pt idx="1">
                  <c:v>3.7</c:v>
                </c:pt>
                <c:pt idx="2">
                  <c:v>-8.8</c:v>
                </c:pt>
                <c:pt idx="3">
                  <c:v>-5.2</c:v>
                </c:pt>
                <c:pt idx="4">
                  <c:v>2.4</c:v>
                </c:pt>
                <c:pt idx="5">
                  <c:v>0.3</c:v>
                </c:pt>
                <c:pt idx="6">
                  <c:v>-1.2</c:v>
                </c:pt>
                <c:pt idx="7">
                  <c:v>1.4</c:v>
                </c:pt>
                <c:pt idx="8">
                  <c:v>3.4</c:v>
                </c:pt>
                <c:pt idx="9">
                  <c:v>2.3</c:v>
                </c:pt>
                <c:pt idx="10">
                  <c:v>5.6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089179548156956"/>
                  <c:y val="0.010469986040018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12700" cap="flat" cmpd="sng" algn="ctr">
                      <a:solidFill>
                        <a:srgbClr val="7030A0"/>
                      </a:solidFill>
                      <a:prstDash val="solid"/>
                      <a:round/>
                      <a:headEnd type="oval" w="sm" len="sm"/>
                      <a:tailEnd type="oval" w="sm" len="sm"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社会消费品零售总额（累计）</a:t>
            </a:r>
            <a:endParaRPr sz="900" b="1"/>
          </a:p>
        </c:rich>
      </c:tx>
      <c:layout>
        <c:manualLayout>
          <c:xMode val="edge"/>
          <c:yMode val="edge"/>
          <c:x val="0.315114588272483"/>
          <c:y val="0.017078776351244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2023年（亿元）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Sheet1!$D$6:$D$16</c:f>
              <c:numCache>
                <c:formatCode>0.0_ </c:formatCode>
                <c:ptCount val="11"/>
                <c:pt idx="0">
                  <c:v>85.7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1129363"/>
        <c:axId val="273446261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Sheet1!$E$6:$E$16</c:f>
              <c:numCache>
                <c:formatCode>0.0_ </c:formatCode>
                <c:ptCount val="11"/>
                <c:pt idx="0">
                  <c:v>3.2</c:v>
                </c:pt>
                <c:pt idx="1">
                  <c:v>3.8</c:v>
                </c:pt>
                <c:pt idx="2">
                  <c:v>-1.7</c:v>
                </c:pt>
                <c:pt idx="3">
                  <c:v>-5.7</c:v>
                </c:pt>
                <c:pt idx="4">
                  <c:v>-5</c:v>
                </c:pt>
                <c:pt idx="5">
                  <c:v>-3.7</c:v>
                </c:pt>
                <c:pt idx="6">
                  <c:v>-2.8</c:v>
                </c:pt>
                <c:pt idx="7">
                  <c:v>-1.2</c:v>
                </c:pt>
                <c:pt idx="8">
                  <c:v>-1.5</c:v>
                </c:pt>
                <c:pt idx="9">
                  <c:v>-3.2</c:v>
                </c:pt>
                <c:pt idx="10">
                  <c:v>-4.2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>
              <a:solidFill>
                <a:schemeClr val="accent1"/>
              </a:solidFill>
              <a:bevel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Sheet1!$F$6:$F$16</c:f>
              <c:numCache>
                <c:formatCode>0.0_ </c:formatCode>
                <c:ptCount val="11"/>
                <c:pt idx="0">
                  <c:v>19.7</c:v>
                </c:pt>
                <c:pt idx="1">
                  <c:v>24.7</c:v>
                </c:pt>
                <c:pt idx="2">
                  <c:v>22.5</c:v>
                </c:pt>
                <c:pt idx="3">
                  <c:v>17.9</c:v>
                </c:pt>
                <c:pt idx="4">
                  <c:v>15.4</c:v>
                </c:pt>
                <c:pt idx="5">
                  <c:v>14.3</c:v>
                </c:pt>
                <c:pt idx="6">
                  <c:v>11.4</c:v>
                </c:pt>
                <c:pt idx="7">
                  <c:v>9.9</c:v>
                </c:pt>
                <c:pt idx="8">
                  <c:v>9.7</c:v>
                </c:pt>
                <c:pt idx="9">
                  <c:v>7.8</c:v>
                </c:pt>
                <c:pt idx="10">
                  <c:v>6.5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Sheet1!$G$5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FFFF0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0.02139800285306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12700" cap="flat" cmpd="sng" algn="ctr">
                      <a:solidFill>
                        <a:srgbClr val="FFFF00"/>
                      </a:solidFill>
                      <a:prstDash val="solid"/>
                      <a:round/>
                      <a:headEnd type="oval" w="sm" len="sm"/>
                      <a:tailEnd type="oval" w="sm" len="sm"/>
                    </a:ln>
                    <a:effectLst/>
                  </c:spPr>
                </c15:leaderLines>
              </c:ext>
            </c:extLst>
          </c:dLbls>
          <c:cat>
            <c:strRef>
              <c:f>Sheet1!$C$6:$C$16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Sheet1!$G$6:$G$16</c:f>
              <c:numCache>
                <c:formatCode>General</c:formatCode>
                <c:ptCount val="11"/>
                <c:pt idx="0">
                  <c:v>-4.3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863722318"/>
        <c:axId val="349440787"/>
      </c:lineChart>
      <c:catAx>
        <c:axId val="22112936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3446261"/>
        <c:crosses val="autoZero"/>
        <c:auto val="1"/>
        <c:lblAlgn val="ctr"/>
        <c:lblOffset val="100"/>
        <c:noMultiLvlLbl val="0"/>
      </c:catAx>
      <c:valAx>
        <c:axId val="273446261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1129363"/>
        <c:crosses val="autoZero"/>
        <c:crossBetween val="between"/>
      </c:valAx>
      <c:catAx>
        <c:axId val="863722318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9440787"/>
        <c:crosses val="autoZero"/>
        <c:auto val="1"/>
        <c:lblAlgn val="ctr"/>
        <c:lblOffset val="100"/>
        <c:noMultiLvlLbl val="0"/>
      </c:catAx>
      <c:valAx>
        <c:axId val="349440787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63722318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全区居民人均可支配收入及增速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Sheet1!$D$18</c:f>
              <c:strCache>
                <c:ptCount val="1"/>
                <c:pt idx="0">
                  <c:v>2022年（元）</c:v>
                </c:pt>
              </c:strCache>
            </c:strRef>
          </c:tx>
          <c:spPr>
            <a:gradFill>
              <a:gsLst>
                <a:gs pos="40000">
                  <a:srgbClr val="C59DE4"/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2"/>
              <c:layout>
                <c:manualLayout>
                  <c:x val="-0.0186915887850467"/>
                  <c:y val="0.007093875620714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Sheet1!$E$18:$H$18</c:f>
              <c:numCache>
                <c:formatCode>0_ </c:formatCode>
                <c:ptCount val="4"/>
                <c:pt idx="0">
                  <c:v>14178</c:v>
                </c:pt>
                <c:pt idx="1">
                  <c:v>26858</c:v>
                </c:pt>
                <c:pt idx="2" c:formatCode="General">
                  <c:v>39778</c:v>
                </c:pt>
                <c:pt idx="3" c:formatCode="General">
                  <c:v>51618</c:v>
                </c:pt>
              </c:numCache>
            </c:numRef>
          </c:val>
        </c:ser>
        <c:ser>
          <c:idx val="1"/>
          <c:order val="1"/>
          <c:tx>
            <c:strRef>
              <c:f>Sheet1!$D$19</c:f>
              <c:strCache>
                <c:ptCount val="1"/>
                <c:pt idx="0">
                  <c:v>2021年（元）</c:v>
                </c:pt>
              </c:strCache>
            </c:strRef>
          </c:tx>
          <c:spPr>
            <a:gradFill>
              <a:gsLst>
                <a:gs pos="49000">
                  <a:srgbClr val="00B050"/>
                </a:gs>
                <a:gs pos="100000">
                  <a:srgbClr val="52762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Sheet1!$E$19:$H$19</c:f>
              <c:numCache>
                <c:formatCode>0_ </c:formatCode>
                <c:ptCount val="4"/>
                <c:pt idx="0">
                  <c:v>13291</c:v>
                </c:pt>
                <c:pt idx="1">
                  <c:v>25780</c:v>
                </c:pt>
                <c:pt idx="2">
                  <c:v>38186</c:v>
                </c:pt>
                <c:pt idx="3">
                  <c:v>49695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6"/>
        <c:overlap val="-100"/>
        <c:axId val="452651223"/>
        <c:axId val="516392893"/>
      </c:barChart>
      <c:lineChart>
        <c:grouping val="standard"/>
        <c:varyColors val="0"/>
        <c:ser>
          <c:idx val="2"/>
          <c:order val="2"/>
          <c:tx>
            <c:strRef>
              <c:f>Sheet1!$D$20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>
              <a:solidFill>
                <a:srgbClr val="FFFF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375"/>
                  <c:y val="-0.055555555555555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94581695676586"/>
                  <c:y val="-0.03911861005492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4392523364486"/>
                  <c:y val="-0.03546937810357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397196261682243"/>
                  <c:y val="-0.04611019153464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Sheet1!$E$20:$H$20</c:f>
              <c:numCache>
                <c:formatCode>General</c:formatCode>
                <c:ptCount val="4"/>
                <c:pt idx="0">
                  <c:v>6.7</c:v>
                </c:pt>
                <c:pt idx="1">
                  <c:v>4.2</c:v>
                </c:pt>
                <c:pt idx="2">
                  <c:v>4.2</c:v>
                </c:pt>
                <c:pt idx="3">
                  <c:v>3.9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Sheet1!$D$21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none"/>
              <a:tailEnd type="triangl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412036458983643"/>
                  <c:y val="-0.03922301083302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524410038706455"/>
                  <c:y val="-0.03642136720209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613045720760406"/>
                  <c:y val="-0.06124993187459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24410038706455"/>
                  <c:y val="-0.04762794172581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Sheet1!$E$21:$H$21</c:f>
              <c:numCache>
                <c:formatCode>General</c:formatCode>
                <c:ptCount val="4"/>
                <c:pt idx="0">
                  <c:v>10.4</c:v>
                </c:pt>
                <c:pt idx="1">
                  <c:v>11.2</c:v>
                </c:pt>
                <c:pt idx="2">
                  <c:v>9.4</c:v>
                </c:pt>
                <c:pt idx="3">
                  <c:v>8.4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4341086"/>
        <c:axId val="755928342"/>
      </c:lineChart>
      <c:catAx>
        <c:axId val="4526512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6392893"/>
        <c:crosses val="autoZero"/>
        <c:auto val="1"/>
        <c:lblAlgn val="ctr"/>
        <c:lblOffset val="100"/>
        <c:noMultiLvlLbl val="0"/>
      </c:catAx>
      <c:valAx>
        <c:axId val="51639289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651223"/>
        <c:crosses val="autoZero"/>
        <c:crossBetween val="between"/>
      </c:valAx>
      <c:catAx>
        <c:axId val="48434108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5928342"/>
        <c:crosses val="autoZero"/>
        <c:auto val="1"/>
        <c:lblAlgn val="ctr"/>
        <c:lblOffset val="100"/>
        <c:noMultiLvlLbl val="0"/>
      </c:catAx>
      <c:valAx>
        <c:axId val="75592834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4108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一般公共预算收入（累计）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2023年（亿元）</c:v>
                </c:pt>
              </c:strCache>
            </c:strRef>
          </c:tx>
          <c:spPr>
            <a:gradFill>
              <a:gsLst>
                <a:gs pos="43000">
                  <a:srgbClr val="007BD3"/>
                </a:gs>
                <a:gs pos="85000">
                  <a:srgbClr val="034373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.00405295865982167"/>
                  <c:y val="0.02269861286254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810591731964334"/>
                  <c:y val="0.02269861286254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60794379897325"/>
                  <c:y val="0.025725094577553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4816670015265"/>
                  <c:y val="0.017187202095669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48608484193461"/>
                  <c:y val="0.01715006305170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202647932991084"/>
                  <c:y val="0.045397225725094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202647932991084"/>
                  <c:y val="0.007566204287515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202647932991084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60794379897325"/>
                  <c:y val="0.02648171500630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Sheet1!$D$6:$D$17</c:f>
              <c:numCache>
                <c:formatCode>General</c:formatCode>
                <c:ptCount val="12"/>
                <c:pt idx="0">
                  <c:v>11.1</c:v>
                </c:pt>
                <c:pt idx="1" c:formatCode="0.0_ ">
                  <c:v>19.6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3"/>
        <c:overlap val="-27"/>
        <c:axId val="662104926"/>
        <c:axId val="857388034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9525" cap="rnd">
              <a:solidFill>
                <a:srgbClr val="FFC000"/>
              </a:solidFill>
              <a:round/>
              <a:headEnd type="none" w="sm" len="med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Sheet1!$E$6:$E$17</c:f>
              <c:numCache>
                <c:formatCode>General</c:formatCode>
                <c:ptCount val="12"/>
                <c:pt idx="0">
                  <c:v>6.5</c:v>
                </c:pt>
                <c:pt idx="1">
                  <c:v>9.1</c:v>
                </c:pt>
                <c:pt idx="2" c:formatCode="0.0_ ">
                  <c:v>7.9</c:v>
                </c:pt>
                <c:pt idx="3" c:formatCode="0.0_ ">
                  <c:v>3</c:v>
                </c:pt>
                <c:pt idx="4" c:formatCode="0.0_ ">
                  <c:v>4</c:v>
                </c:pt>
                <c:pt idx="5" c:formatCode="0.0_ ">
                  <c:v>0.5</c:v>
                </c:pt>
                <c:pt idx="6">
                  <c:v>-2.9</c:v>
                </c:pt>
                <c:pt idx="7">
                  <c:v>-5.7</c:v>
                </c:pt>
                <c:pt idx="8">
                  <c:v>-3.9</c:v>
                </c:pt>
                <c:pt idx="9">
                  <c:v>-4.8</c:v>
                </c:pt>
                <c:pt idx="10">
                  <c:v>-4.8</c:v>
                </c:pt>
                <c:pt idx="11">
                  <c:v>-3.2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9525" cap="rnd">
              <a:solidFill>
                <a:srgbClr val="B5098E"/>
              </a:solidFill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Sheet1!$F$6:$F$17</c:f>
              <c:numCache>
                <c:formatCode>General</c:formatCode>
                <c:ptCount val="12"/>
                <c:pt idx="0">
                  <c:v>0.8</c:v>
                </c:pt>
                <c:pt idx="1">
                  <c:v>0.4</c:v>
                </c:pt>
                <c:pt idx="2" c:formatCode="0.0_ ">
                  <c:v>8</c:v>
                </c:pt>
                <c:pt idx="3">
                  <c:v>18.9</c:v>
                </c:pt>
                <c:pt idx="4">
                  <c:v>22.3</c:v>
                </c:pt>
                <c:pt idx="5" c:formatCode="0.0_ ">
                  <c:v>19.5</c:v>
                </c:pt>
                <c:pt idx="6">
                  <c:v>20.4</c:v>
                </c:pt>
                <c:pt idx="7">
                  <c:v>21.4</c:v>
                </c:pt>
                <c:pt idx="8" c:formatCode="0.0_ ">
                  <c:v>22</c:v>
                </c:pt>
                <c:pt idx="9">
                  <c:v>21.6</c:v>
                </c:pt>
                <c:pt idx="10">
                  <c:v>21.5</c:v>
                </c:pt>
                <c:pt idx="11">
                  <c:v>20.5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Sheet1!$G$5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0202647932991084"/>
                  <c:y val="-0.018915510718789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405295865982167"/>
                  <c:y val="-0.018915510718789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Sheet1!$G$6:$G$17</c:f>
              <c:numCache>
                <c:formatCode>General</c:formatCode>
                <c:ptCount val="12"/>
                <c:pt idx="0">
                  <c:v>3.2</c:v>
                </c:pt>
                <c:pt idx="1">
                  <c:v>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800189"/>
        <c:axId val="162702792"/>
      </c:lineChart>
      <c:catAx>
        <c:axId val="6621049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7388034"/>
        <c:crosses val="autoZero"/>
        <c:auto val="1"/>
        <c:lblAlgn val="ctr"/>
        <c:lblOffset val="100"/>
        <c:noMultiLvlLbl val="0"/>
      </c:catAx>
      <c:valAx>
        <c:axId val="85738803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2104926"/>
        <c:crosses val="autoZero"/>
        <c:crossBetween val="between"/>
      </c:valAx>
      <c:catAx>
        <c:axId val="44680018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702792"/>
        <c:crosses val="autoZero"/>
        <c:auto val="1"/>
        <c:lblAlgn val="ctr"/>
        <c:lblOffset val="100"/>
        <c:noMultiLvlLbl val="0"/>
      </c:catAx>
      <c:valAx>
        <c:axId val="16270279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800189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20</TotalTime>
  <ScaleCrop>false</ScaleCrop>
  <LinksUpToDate>false</LinksUpToDate>
  <CharactersWithSpaces>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张广翅</cp:lastModifiedBy>
  <dcterms:modified xsi:type="dcterms:W3CDTF">2023-03-21T07:14:21Z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340DE74A5E2844C68B32F4F652F12C9C</vt:lpwstr>
  </property>
</Properties>
</file>