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spacing w:line="660" w:lineRule="exact"/>
        <w:jc w:val="both"/>
        <w:rPr>
          <w:rFonts w:hint="eastAsia"/>
        </w:rPr>
      </w:pPr>
      <w:bookmarkStart w:id="0" w:name="_Toc5248"/>
    </w:p>
    <w:p>
      <w:pPr>
        <w:pStyle w:val="25"/>
        <w:spacing w:line="660" w:lineRule="exact"/>
        <w:jc w:val="both"/>
      </w:pPr>
    </w:p>
    <w:p>
      <w:pPr>
        <w:pStyle w:val="25"/>
        <w:spacing w:before="312" w:beforeLines="100" w:line="1000" w:lineRule="exact"/>
        <w:rPr>
          <w:rFonts w:ascii="方正小标宋简体" w:hAnsi="小标宋" w:eastAsia="方正小标宋简体"/>
          <w:color w:val="FF0000"/>
          <w:w w:val="65"/>
          <w:sz w:val="90"/>
          <w:szCs w:val="90"/>
        </w:rPr>
      </w:pPr>
      <w:r>
        <w:rPr>
          <w:rFonts w:hint="eastAsia" w:ascii="方正小标宋简体" w:hAnsi="小标宋" w:eastAsia="方正小标宋简体" w:cs="方正小标宋简体"/>
          <w:color w:val="FF0000"/>
          <w:w w:val="65"/>
          <w:sz w:val="90"/>
          <w:szCs w:val="90"/>
        </w:rPr>
        <w:t>北京市通州区人民政府办公室文件</w:t>
      </w:r>
    </w:p>
    <w:p>
      <w:pPr>
        <w:pStyle w:val="25"/>
        <w:spacing w:line="440" w:lineRule="exact"/>
      </w:pPr>
    </w:p>
    <w:p>
      <w:pPr>
        <w:pStyle w:val="25"/>
        <w:tabs>
          <w:tab w:val="left" w:pos="8280"/>
        </w:tabs>
        <w:spacing w:line="440" w:lineRule="exact"/>
      </w:pPr>
    </w:p>
    <w:p>
      <w:pPr>
        <w:spacing w:line="600" w:lineRule="exact"/>
        <w:jc w:val="center"/>
        <w:outlineLvl w:val="0"/>
        <w:rPr>
          <w:rFonts w:hint="eastAsia" w:ascii="仿宋_GB2312" w:hAnsi="方正小标宋简体" w:eastAsia="仿宋_GB2312"/>
          <w:color w:val="000000"/>
          <w:sz w:val="32"/>
          <w:szCs w:val="32"/>
        </w:rPr>
      </w:pPr>
      <w:r>
        <w:rPr>
          <w:rFonts w:hint="eastAsia" w:ascii="仿宋_GB2312" w:hAnsi="方正小标宋简体" w:eastAsia="仿宋_GB2312" w:cs="仿宋_GB2312"/>
          <w:color w:val="000000"/>
          <w:sz w:val="32"/>
          <w:szCs w:val="32"/>
        </w:rPr>
        <w:t>通政办发〔2022〕23号</w:t>
      </w:r>
    </w:p>
    <w:p>
      <w:pPr>
        <w:pStyle w:val="25"/>
        <w:spacing w:line="520" w:lineRule="exact"/>
        <w:jc w:val="both"/>
      </w:pP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33020</wp:posOffset>
                </wp:positionV>
                <wp:extent cx="5600700" cy="635"/>
                <wp:effectExtent l="0" t="17145" r="0" b="20320"/>
                <wp:wrapNone/>
                <wp:docPr id="4" name="直线 8"/>
                <wp:cNvGraphicFramePr/>
                <a:graphic xmlns:a="http://schemas.openxmlformats.org/drawingml/2006/main">
                  <a:graphicData uri="http://schemas.microsoft.com/office/word/2010/wordprocessingShape">
                    <wps:wsp>
                      <wps:cNvCnPr/>
                      <wps:spPr>
                        <a:xfrm flipV="1">
                          <a:off x="0" y="0"/>
                          <a:ext cx="5600700" cy="635"/>
                        </a:xfrm>
                        <a:prstGeom prst="line">
                          <a:avLst/>
                        </a:prstGeom>
                        <a:ln w="34925" cap="flat" cmpd="sng">
                          <a:solidFill>
                            <a:srgbClr val="FF0000"/>
                          </a:solidFill>
                          <a:prstDash val="solid"/>
                          <a:headEnd type="none" w="med" len="med"/>
                          <a:tailEnd type="none" w="med" len="med"/>
                        </a:ln>
                      </wps:spPr>
                      <wps:bodyPr upright="1"/>
                    </wps:wsp>
                  </a:graphicData>
                </a:graphic>
              </wp:anchor>
            </w:drawing>
          </mc:Choice>
          <mc:Fallback>
            <w:pict>
              <v:line id="直线 8" o:spid="_x0000_s1026" o:spt="20" style="position:absolute;left:0pt;flip:y;margin-left:0pt;margin-top:2.6pt;height:0.05pt;width:441pt;z-index:251662336;mso-width-relative:page;mso-height-relative:page;" filled="f" stroked="t" coordsize="21600,21600" o:gfxdata="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1vU5fSAAAABAEAAA8AAAAAAAAAAQAgAAAAIgAAAGRycy9kb3ducmV2LnhtbFBLAQIUABQAAAAI&#10;AIdO4kAt9H1C8wEAAOgDAAAOAAAAAAAAAAEAIAAAACEBAABkcnMvZTJvRG9jLnhtbFBLBQYAAAAA&#10;BgAGAFkBAACGBQAAAAA=&#10;">
                <v:fill on="f" focussize="0,0"/>
                <v:stroke weight="2.75pt" color="#FF0000" joinstyle="round"/>
                <v:imagedata o:title=""/>
                <o:lock v:ext="edit" aspectratio="f"/>
              </v:line>
            </w:pict>
          </mc:Fallback>
        </mc:AlternateContent>
      </w:r>
    </w:p>
    <w:p>
      <w:pPr>
        <w:pStyle w:val="2"/>
        <w:ind w:firstLine="420"/>
        <w:rPr>
          <w:rFonts w:hint="eastAsia"/>
          <w:lang w:bidi="ar"/>
        </w:rPr>
      </w:pPr>
    </w:p>
    <w:p>
      <w:pPr>
        <w:spacing w:line="740" w:lineRule="exact"/>
        <w:jc w:val="center"/>
        <w:outlineLvl w:val="0"/>
        <w:rPr>
          <w:rFonts w:hint="eastAsia" w:ascii="方正小标宋简体" w:hAnsi="方正小标宋简体" w:eastAsia="方正小标宋简体" w:cs="方正小标宋简体"/>
          <w:color w:val="000000"/>
          <w:sz w:val="44"/>
          <w:szCs w:val="44"/>
          <w:lang w:bidi="ar"/>
        </w:rPr>
      </w:pPr>
      <w:r>
        <w:rPr>
          <w:rFonts w:hint="eastAsia" w:ascii="方正小标宋简体" w:hAnsi="方正小标宋简体" w:eastAsia="方正小标宋简体" w:cs="方正小标宋简体"/>
          <w:color w:val="000000"/>
          <w:sz w:val="44"/>
          <w:szCs w:val="44"/>
          <w:lang w:bidi="ar"/>
        </w:rPr>
        <w:t>北京市通州区人民政府办公室</w:t>
      </w:r>
    </w:p>
    <w:p>
      <w:pPr>
        <w:spacing w:line="740" w:lineRule="exact"/>
        <w:jc w:val="center"/>
        <w:outlineLvl w:val="0"/>
        <w:rPr>
          <w:rFonts w:hint="eastAsia" w:ascii="方正小标宋简体" w:hAnsi="方正小标宋简体" w:eastAsia="方正小标宋简体" w:cs="方正小标宋简体"/>
          <w:color w:val="000000"/>
          <w:spacing w:val="6"/>
          <w:sz w:val="44"/>
          <w:szCs w:val="44"/>
          <w:lang w:bidi="ar"/>
        </w:rPr>
      </w:pPr>
      <w:r>
        <w:rPr>
          <w:rFonts w:hint="eastAsia" w:ascii="方正小标宋简体" w:hAnsi="方正小标宋简体" w:eastAsia="方正小标宋简体" w:cs="方正小标宋简体"/>
          <w:color w:val="000000"/>
          <w:spacing w:val="6"/>
          <w:sz w:val="44"/>
          <w:szCs w:val="44"/>
          <w:lang w:bidi="ar"/>
        </w:rPr>
        <w:t>关于印发城市副中心先进制造业</w:t>
      </w:r>
    </w:p>
    <w:p>
      <w:pPr>
        <w:spacing w:line="740" w:lineRule="exact"/>
        <w:jc w:val="center"/>
        <w:outlineLvl w:val="0"/>
        <w:rPr>
          <w:rFonts w:ascii="方正小标宋简体" w:hAnsi="方正小标宋简体" w:eastAsia="方正小标宋简体" w:cs="方正小标宋简体"/>
          <w:color w:val="000000"/>
          <w:sz w:val="44"/>
          <w:szCs w:val="44"/>
          <w:lang w:bidi="ar"/>
        </w:rPr>
      </w:pPr>
      <w:r>
        <w:rPr>
          <w:rFonts w:hint="eastAsia" w:ascii="方正小标宋简体" w:hAnsi="方正小标宋简体" w:eastAsia="方正小标宋简体" w:cs="方正小标宋简体"/>
          <w:color w:val="000000"/>
          <w:sz w:val="44"/>
          <w:szCs w:val="44"/>
          <w:lang w:bidi="ar"/>
        </w:rPr>
        <w:t>三年行动计划（2022-2024年）的通知</w:t>
      </w:r>
    </w:p>
    <w:p>
      <w:pPr>
        <w:pStyle w:val="2"/>
        <w:widowControl w:val="0"/>
        <w:spacing w:line="560" w:lineRule="exact"/>
        <w:ind w:firstLine="0" w:firstLineChars="0"/>
        <w:rPr>
          <w:rFonts w:hint="eastAsia" w:ascii="方正小标宋简体" w:hAnsi="方正小标宋简体" w:eastAsia="方正小标宋简体" w:cs="方正小标宋简体"/>
          <w:sz w:val="44"/>
          <w:szCs w:val="44"/>
          <w:lang w:bidi="ar"/>
        </w:rPr>
      </w:pPr>
    </w:p>
    <w:p>
      <w:pPr>
        <w:spacing w:line="560" w:lineRule="exact"/>
        <w:rPr>
          <w:rFonts w:hint="eastAsia" w:ascii="仿宋_GB2312" w:eastAsia="仿宋_GB2312"/>
          <w:sz w:val="32"/>
          <w:szCs w:val="32"/>
          <w:lang w:bidi="ar"/>
        </w:rPr>
      </w:pPr>
      <w:r>
        <w:rPr>
          <w:rFonts w:hint="eastAsia" w:ascii="仿宋_GB2312" w:eastAsia="仿宋_GB2312"/>
          <w:sz w:val="32"/>
          <w:szCs w:val="32"/>
          <w:lang w:bidi="ar"/>
        </w:rPr>
        <w:t>各街道办事处，各乡、镇人民政府，区政府各委、办、局，各区属机构：</w:t>
      </w:r>
    </w:p>
    <w:p>
      <w:pPr>
        <w:spacing w:line="560" w:lineRule="exact"/>
        <w:ind w:firstLine="640" w:firstLineChars="200"/>
        <w:rPr>
          <w:rFonts w:hint="eastAsia" w:ascii="仿宋_GB2312" w:eastAsia="仿宋_GB2312"/>
          <w:sz w:val="32"/>
          <w:szCs w:val="32"/>
          <w:lang w:bidi="ar"/>
        </w:rPr>
      </w:pPr>
      <w:r>
        <w:rPr>
          <w:rFonts w:hint="eastAsia" w:ascii="仿宋_GB2312" w:eastAsia="仿宋_GB2312"/>
          <w:sz w:val="32"/>
          <w:szCs w:val="32"/>
          <w:lang w:bidi="ar"/>
        </w:rPr>
        <w:t>经区政府同意，现将《城市副中心先进制造业三年行动计划（2022-2024年）》印发给你们，请认真遵照执行。</w:t>
      </w:r>
    </w:p>
    <w:p>
      <w:pPr>
        <w:spacing w:line="460" w:lineRule="exact"/>
        <w:rPr>
          <w:rFonts w:hint="eastAsia" w:ascii="仿宋_GB2312" w:eastAsia="仿宋_GB2312"/>
          <w:sz w:val="32"/>
          <w:szCs w:val="32"/>
          <w:lang w:bidi="ar"/>
        </w:rPr>
      </w:pPr>
    </w:p>
    <w:p>
      <w:pPr>
        <w:spacing w:line="460" w:lineRule="exact"/>
        <w:rPr>
          <w:rFonts w:hint="eastAsia" w:ascii="仿宋_GB2312" w:eastAsia="仿宋_GB2312"/>
          <w:sz w:val="32"/>
          <w:szCs w:val="32"/>
          <w:lang w:bidi="ar"/>
        </w:rPr>
      </w:pPr>
    </w:p>
    <w:p>
      <w:pPr>
        <w:spacing w:line="460" w:lineRule="exact"/>
        <w:rPr>
          <w:rFonts w:hint="eastAsia" w:ascii="仿宋_GB2312" w:eastAsia="仿宋_GB2312"/>
          <w:sz w:val="32"/>
          <w:szCs w:val="32"/>
          <w:lang w:bidi="ar"/>
        </w:rPr>
      </w:pPr>
    </w:p>
    <w:p>
      <w:pPr>
        <w:spacing w:line="560" w:lineRule="exact"/>
        <w:ind w:firstLine="4000" w:firstLineChars="1250"/>
        <w:rPr>
          <w:rFonts w:hint="eastAsia" w:ascii="仿宋_GB2312" w:eastAsia="仿宋_GB2312"/>
          <w:sz w:val="32"/>
          <w:szCs w:val="32"/>
          <w:lang w:bidi="ar"/>
        </w:rPr>
      </w:pPr>
      <w:r>
        <w:rPr>
          <w:rFonts w:hint="eastAsia" w:ascii="仿宋_GB2312" w:eastAsia="仿宋_GB2312"/>
          <w:sz w:val="32"/>
          <w:szCs w:val="32"/>
          <w:lang w:bidi="ar"/>
        </w:rPr>
        <w:t xml:space="preserve">北京市通州区人民政府办公室    </w:t>
      </w:r>
    </w:p>
    <w:p>
      <w:pPr>
        <w:spacing w:line="560" w:lineRule="exact"/>
        <w:ind w:firstLine="4857" w:firstLineChars="1518"/>
        <w:rPr>
          <w:rFonts w:hint="eastAsia" w:ascii="仿宋_GB2312" w:eastAsia="仿宋_GB2312"/>
          <w:sz w:val="32"/>
          <w:szCs w:val="32"/>
          <w:lang w:bidi="ar"/>
        </w:rPr>
      </w:pPr>
      <w:r>
        <w:rPr>
          <w:rFonts w:hint="eastAsia" w:ascii="仿宋_GB2312" w:eastAsia="仿宋_GB2312"/>
          <w:sz w:val="32"/>
          <w:szCs w:val="32"/>
          <w:lang w:bidi="ar"/>
        </w:rPr>
        <w:t>2022年10月28日</w:t>
      </w:r>
    </w:p>
    <w:p>
      <w:pPr>
        <w:spacing w:line="560" w:lineRule="exact"/>
        <w:rPr>
          <w:rFonts w:hint="eastAsia" w:ascii="仿宋_GB2312" w:eastAsia="仿宋_GB2312"/>
          <w:sz w:val="32"/>
          <w:szCs w:val="32"/>
          <w:lang w:bidi="ar"/>
        </w:rPr>
      </w:pPr>
      <w:r>
        <w:rPr>
          <w:rFonts w:hint="eastAsia" w:ascii="仿宋_GB2312" w:eastAsia="仿宋_GB2312"/>
          <w:sz w:val="32"/>
          <w:szCs w:val="32"/>
          <w:lang w:bidi="ar"/>
        </w:rPr>
        <w:t xml:space="preserve">    （此件公开发布）</w:t>
      </w:r>
    </w:p>
    <w:p>
      <w:pPr>
        <w:spacing w:line="660" w:lineRule="exact"/>
        <w:jc w:val="center"/>
        <w:rPr>
          <w:rFonts w:hint="eastAsia"/>
          <w:lang w:bidi="ar"/>
        </w:rPr>
      </w:pPr>
      <w:r>
        <w:rPr>
          <w:rFonts w:hint="eastAsia" w:ascii="方正小标宋简体" w:hAnsi="方正小标宋简体" w:eastAsia="方正小标宋简体" w:cs="方正小标宋简体"/>
          <w:color w:val="000000"/>
          <w:sz w:val="44"/>
          <w:szCs w:val="44"/>
          <w:lang w:bidi="ar"/>
        </w:rPr>
        <w:t>城市副中心先进制造业三年行动计划（2022-2024年）</w:t>
      </w:r>
    </w:p>
    <w:p>
      <w:pPr>
        <w:pStyle w:val="2"/>
        <w:ind w:firstLine="420"/>
        <w:rPr>
          <w:rFonts w:hint="eastAsia"/>
          <w:lang w:bidi="ar"/>
        </w:rPr>
      </w:pPr>
    </w:p>
    <w:p>
      <w:pPr>
        <w:spacing w:line="580" w:lineRule="exact"/>
        <w:ind w:firstLine="640" w:firstLineChars="200"/>
        <w:rPr>
          <w:rFonts w:ascii="仿宋_GB2312" w:hAnsi="宋体" w:eastAsia="仿宋_GB2312" w:cs="仿宋_GB2312"/>
          <w:color w:val="000000"/>
          <w:kern w:val="0"/>
          <w:sz w:val="31"/>
          <w:szCs w:val="31"/>
        </w:rPr>
      </w:pPr>
      <w:r>
        <w:rPr>
          <w:rFonts w:hint="eastAsia" w:ascii="仿宋_GB2312" w:eastAsia="仿宋_GB2312"/>
          <w:sz w:val="32"/>
          <w:szCs w:val="32"/>
          <w:lang w:bidi="ar"/>
        </w:rPr>
        <w:t>为深入贯彻党中央、国务院和市委、市政府关于支持北京城市</w:t>
      </w:r>
      <w:r>
        <w:rPr>
          <w:rFonts w:hint="eastAsia" w:ascii="仿宋_GB2312" w:hAnsi="宋体" w:eastAsia="仿宋_GB2312" w:cs="仿宋_GB2312"/>
          <w:color w:val="000000"/>
          <w:kern w:val="0"/>
          <w:sz w:val="31"/>
          <w:szCs w:val="31"/>
          <w:lang w:bidi="ar"/>
        </w:rPr>
        <w:t>副中心发展的决策部署，</w:t>
      </w:r>
      <w:r>
        <w:rPr>
          <w:rFonts w:ascii="仿宋_GB2312" w:hAnsi="宋体" w:eastAsia="仿宋_GB2312" w:cs="仿宋_GB2312"/>
          <w:color w:val="000000"/>
          <w:kern w:val="0"/>
          <w:sz w:val="31"/>
          <w:szCs w:val="31"/>
          <w:lang w:bidi="ar"/>
        </w:rPr>
        <w:t>提升科技创新功能，</w:t>
      </w:r>
      <w:r>
        <w:rPr>
          <w:rFonts w:hint="eastAsia" w:ascii="仿宋_GB2312" w:eastAsia="仿宋_GB2312" w:cs="仿宋_GB2312"/>
          <w:color w:val="000000"/>
          <w:sz w:val="32"/>
          <w:szCs w:val="32"/>
          <w:lang w:bidi="ar"/>
        </w:rPr>
        <w:t>抓住制造业数字化、智能化、服务化、绿色化、融合化发展机遇，深入推进产业“腾笼换鸟”，培育发展新一代先进制造业，着力构建高精尖经济结构，特制定本行动计划。</w:t>
      </w:r>
    </w:p>
    <w:p>
      <w:pPr>
        <w:spacing w:line="580" w:lineRule="exact"/>
        <w:ind w:left="630"/>
        <w:outlineLvl w:val="0"/>
        <w:rPr>
          <w:rFonts w:ascii="黑体" w:hAnsi="宋体" w:eastAsia="黑体" w:cs="黑体"/>
          <w:color w:val="000000"/>
          <w:sz w:val="32"/>
          <w:szCs w:val="32"/>
        </w:rPr>
      </w:pPr>
      <w:r>
        <w:rPr>
          <w:rFonts w:hint="eastAsia" w:ascii="黑体" w:hAnsi="宋体" w:eastAsia="黑体" w:cs="黑体"/>
          <w:color w:val="000000"/>
          <w:sz w:val="32"/>
          <w:szCs w:val="32"/>
          <w:lang w:bidi="ar"/>
        </w:rPr>
        <w:t>一、总体要求</w:t>
      </w:r>
    </w:p>
    <w:p>
      <w:pPr>
        <w:spacing w:line="580" w:lineRule="exact"/>
        <w:ind w:firstLine="640" w:firstLineChars="200"/>
        <w:outlineLvl w:val="1"/>
        <w:rPr>
          <w:rFonts w:ascii="楷体_GB2312" w:eastAsia="楷体_GB2312" w:cs="楷体_GB2312"/>
          <w:color w:val="000000"/>
          <w:sz w:val="32"/>
          <w:szCs w:val="32"/>
        </w:rPr>
      </w:pPr>
      <w:r>
        <w:rPr>
          <w:rFonts w:hint="eastAsia" w:ascii="楷体_GB2312" w:eastAsia="楷体_GB2312" w:cs="楷体_GB2312"/>
          <w:bCs/>
          <w:color w:val="000000"/>
          <w:sz w:val="32"/>
          <w:szCs w:val="32"/>
          <w:lang w:bidi="ar"/>
        </w:rPr>
        <w:t>（一）指导思想</w:t>
      </w:r>
    </w:p>
    <w:p>
      <w:pPr>
        <w:spacing w:line="560" w:lineRule="exact"/>
        <w:ind w:firstLine="640" w:firstLineChars="200"/>
        <w:rPr>
          <w:rFonts w:ascii="仿宋_GB2312" w:hAnsi="宋体" w:eastAsia="仿宋_GB2312" w:cs="仿宋_GB2312"/>
          <w:color w:val="000000"/>
          <w:kern w:val="0"/>
          <w:sz w:val="31"/>
          <w:szCs w:val="31"/>
        </w:rPr>
      </w:pPr>
      <w:r>
        <w:rPr>
          <w:rFonts w:hint="eastAsia" w:ascii="仿宋_GB2312" w:eastAsia="仿宋_GB2312" w:cs="仿宋_GB2312"/>
          <w:color w:val="000000"/>
          <w:sz w:val="32"/>
          <w:szCs w:val="32"/>
          <w:lang w:bidi="ar"/>
        </w:rPr>
        <w:t>以习近平新时代中国特色社会主义思想为指导，全面贯彻党的二十大精神</w:t>
      </w:r>
      <w:bookmarkStart w:id="44" w:name="_GoBack"/>
      <w:bookmarkEnd w:id="44"/>
      <w:r>
        <w:rPr>
          <w:rFonts w:hint="eastAsia" w:ascii="仿宋_GB2312" w:eastAsia="仿宋_GB2312" w:cs="仿宋_GB2312"/>
          <w:color w:val="000000"/>
          <w:sz w:val="32"/>
          <w:szCs w:val="32"/>
          <w:lang w:bidi="ar"/>
        </w:rPr>
        <w:t>，深入学习贯彻习近平总书记对北京重要讲话精神和对北京城市副中心重要指示精神，以首都发展为统领，以推动高质量发展为主题，面向数字经济、绿色经济、生物经济和材料科技等主要方向，以北京城市副中心总体规划为遵循，按照全市高精尖产业发展规划和全区深化产业组织推动产业高质量发展实施方案部署，以强化城市副中心科技创新功能为引领，坚持优存量、扩增量并重，优化产业结构与布局，实施“蝶变、登峰、筑巢、引凤”四大工程，巩固壮大实体经济根基，切实支撑城市副中心打造高精尖产业新高地。</w:t>
      </w:r>
    </w:p>
    <w:p>
      <w:pPr>
        <w:spacing w:line="560" w:lineRule="exact"/>
        <w:ind w:firstLine="640" w:firstLineChars="200"/>
        <w:outlineLvl w:val="1"/>
        <w:rPr>
          <w:rFonts w:ascii="楷体_GB2312" w:eastAsia="楷体_GB2312" w:cs="楷体_GB2312"/>
          <w:color w:val="000000"/>
          <w:sz w:val="32"/>
          <w:szCs w:val="32"/>
        </w:rPr>
      </w:pPr>
      <w:r>
        <w:rPr>
          <w:rFonts w:hint="eastAsia" w:ascii="楷体_GB2312" w:eastAsia="楷体_GB2312" w:cs="楷体_GB2312"/>
          <w:bCs/>
          <w:color w:val="000000"/>
          <w:sz w:val="32"/>
          <w:szCs w:val="32"/>
          <w:lang w:bidi="ar"/>
        </w:rPr>
        <w:t>（二）发展原则</w:t>
      </w:r>
    </w:p>
    <w:p>
      <w:pPr>
        <w:spacing w:line="560" w:lineRule="exact"/>
        <w:ind w:firstLine="640" w:firstLineChars="200"/>
        <w:rPr>
          <w:rFonts w:ascii="仿宋_GB2312" w:eastAsia="仿宋_GB2312" w:cs="仿宋_GB2312"/>
          <w:color w:val="000000"/>
          <w:sz w:val="32"/>
          <w:szCs w:val="32"/>
          <w:lang w:bidi="ar"/>
        </w:rPr>
      </w:pPr>
      <w:r>
        <w:rPr>
          <w:rFonts w:hint="eastAsia" w:ascii="仿宋_GB2312" w:eastAsia="仿宋_GB2312" w:cs="仿宋_GB2312"/>
          <w:color w:val="000000"/>
          <w:sz w:val="32"/>
          <w:szCs w:val="32"/>
          <w:lang w:bidi="ar"/>
        </w:rPr>
        <w:t>坚持优存量为基石。保持疏解一般制造业和发展先进制造业的双重定力，全面盘活利用存量空间资源，加快推动企业绿色低碳和数智化改造，以更高标准、更优服务推动制造业企业优化布局、升级扩产，实现技改升级、提质增效，巩固存量优势产业。</w:t>
      </w:r>
    </w:p>
    <w:p>
      <w:pPr>
        <w:spacing w:line="560" w:lineRule="exact"/>
        <w:ind w:firstLine="640" w:firstLineChars="200"/>
        <w:rPr>
          <w:rFonts w:ascii="仿宋_GB2312" w:eastAsia="仿宋_GB2312" w:cs="仿宋_GB2312"/>
          <w:color w:val="000000"/>
          <w:sz w:val="32"/>
          <w:szCs w:val="32"/>
          <w:lang w:bidi="ar"/>
        </w:rPr>
      </w:pPr>
      <w:r>
        <w:rPr>
          <w:rFonts w:hint="eastAsia" w:ascii="仿宋_GB2312" w:eastAsia="仿宋_GB2312" w:cs="仿宋_GB2312"/>
          <w:color w:val="000000"/>
          <w:sz w:val="32"/>
          <w:szCs w:val="32"/>
          <w:lang w:bidi="ar"/>
        </w:rPr>
        <w:t>坚持扩增量为重点。瞄准数字化、低碳化以及信息、材料、生物等各领域融合变革机遇，把前沿新兴产业作为扩大经济增量的着力点，大力导入创新资源，引入创新型企业，通过创新突破、承接转化，抢占前沿产品智造发展先机，培育跨界融合、协同共生的产业新生态。</w:t>
      </w:r>
    </w:p>
    <w:p>
      <w:pPr>
        <w:spacing w:line="560" w:lineRule="exact"/>
        <w:ind w:firstLine="640" w:firstLineChars="200"/>
        <w:rPr>
          <w:rFonts w:ascii="仿宋_GB2312" w:hAnsi="宋体" w:eastAsia="仿宋_GB2312" w:cs="仿宋_GB2312"/>
          <w:color w:val="000000"/>
          <w:sz w:val="31"/>
          <w:szCs w:val="31"/>
          <w:lang w:bidi="ar"/>
        </w:rPr>
      </w:pPr>
      <w:r>
        <w:rPr>
          <w:rFonts w:hint="eastAsia" w:ascii="仿宋_GB2312" w:eastAsia="仿宋_GB2312" w:cs="仿宋_GB2312"/>
          <w:color w:val="000000"/>
          <w:sz w:val="32"/>
          <w:szCs w:val="32"/>
          <w:lang w:bidi="ar"/>
        </w:rPr>
        <w:t>坚持区域联动为依托。加强与中心城区的疏解对接，加强与亦庄新城的链条协作，推进与北三县一体化高质量发展，积极承接科技成果转化，形成错位互补、生态聚合的先进制造业新空间格局，共建京津塘发展轴的世界级创新型产业集群廊道。</w:t>
      </w:r>
    </w:p>
    <w:p>
      <w:pPr>
        <w:spacing w:line="560" w:lineRule="exact"/>
        <w:ind w:firstLine="640" w:firstLineChars="200"/>
        <w:outlineLvl w:val="1"/>
        <w:rPr>
          <w:rFonts w:ascii="楷体_GB2312" w:eastAsia="楷体_GB2312" w:cs="楷体_GB2312"/>
          <w:color w:val="000000"/>
          <w:sz w:val="32"/>
          <w:szCs w:val="32"/>
        </w:rPr>
      </w:pPr>
      <w:r>
        <w:rPr>
          <w:rFonts w:hint="eastAsia" w:ascii="楷体_GB2312" w:eastAsia="楷体_GB2312" w:cs="楷体_GB2312"/>
          <w:color w:val="000000"/>
          <w:sz w:val="32"/>
          <w:szCs w:val="32"/>
          <w:lang w:bidi="ar"/>
        </w:rPr>
        <w:t>（三）发展目标</w:t>
      </w:r>
    </w:p>
    <w:p>
      <w:pPr>
        <w:pStyle w:val="2"/>
        <w:widowControl w:val="0"/>
        <w:spacing w:line="560" w:lineRule="exact"/>
        <w:rPr>
          <w:color w:val="auto"/>
          <w:lang w:eastAsia="zh-Hans"/>
        </w:rPr>
      </w:pPr>
      <w:r>
        <w:rPr>
          <w:rFonts w:hint="eastAsia" w:hAnsi="Calibri" w:eastAsia="仿宋_GB2312"/>
          <w:color w:val="auto"/>
          <w:sz w:val="32"/>
          <w:lang w:bidi="ar"/>
        </w:rPr>
        <w:t>到2024年，先进制造业产业规模稳步提高，在全区经济中的支柱地位得以持续巩固；产业结构显著优化，医药健康产业跃升为第一大战略引擎产业，前沿新兴产业项目引进取得显著进展；产业创新能量集聚释放，专精特新和小巨人企业大幅增加，创新链带动产业链发展路径有效探索；产业质量持续提升，数智化、绿色化、高效化生产方式深入推广，地均产出实现较大提高，节能降耗指标达到市级要求。</w:t>
      </w:r>
    </w:p>
    <w:p>
      <w:pPr>
        <w:pStyle w:val="13"/>
        <w:autoSpaceDE w:val="0"/>
        <w:autoSpaceDN w:val="0"/>
        <w:adjustRightInd w:val="0"/>
        <w:spacing w:beforeAutospacing="0" w:afterAutospacing="0" w:line="600" w:lineRule="exact"/>
        <w:ind w:firstLine="640" w:firstLineChars="200"/>
        <w:jc w:val="center"/>
        <w:rPr>
          <w:rFonts w:ascii="楷体_GB2312" w:hAnsi="楷体_GB2312" w:eastAsia="楷体_GB2312" w:cs="楷体_GB2312"/>
          <w:color w:val="000000"/>
          <w:sz w:val="28"/>
          <w:szCs w:val="28"/>
          <w:lang w:bidi="ar"/>
        </w:rPr>
      </w:pPr>
      <w:r>
        <w:rPr>
          <w:rFonts w:hint="eastAsia" w:ascii="楷体_GB2312" w:hAnsi="楷体_GB2312" w:eastAsia="楷体_GB2312" w:cs="楷体_GB2312"/>
          <w:color w:val="000000"/>
          <w:sz w:val="32"/>
          <w:szCs w:val="32"/>
          <w:lang w:bidi="ar"/>
        </w:rPr>
        <w:t>城市副中心“十四五”先进制造业发展主要指标</w:t>
      </w:r>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7"/>
        <w:gridCol w:w="844"/>
        <w:gridCol w:w="2392"/>
        <w:gridCol w:w="1084"/>
        <w:gridCol w:w="1770"/>
        <w:gridCol w:w="1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pct"/>
            <w:noWrap w:val="0"/>
            <w:vAlign w:val="center"/>
          </w:tcPr>
          <w:p>
            <w:pPr>
              <w:spacing w:line="600" w:lineRule="exact"/>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类型</w:t>
            </w:r>
          </w:p>
        </w:tc>
        <w:tc>
          <w:tcPr>
            <w:tcW w:w="466" w:type="pct"/>
            <w:noWrap w:val="0"/>
            <w:vAlign w:val="center"/>
          </w:tcPr>
          <w:p>
            <w:pPr>
              <w:spacing w:line="600" w:lineRule="exact"/>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序号</w:t>
            </w:r>
          </w:p>
        </w:tc>
        <w:tc>
          <w:tcPr>
            <w:tcW w:w="1320" w:type="pct"/>
            <w:noWrap w:val="0"/>
            <w:vAlign w:val="center"/>
          </w:tcPr>
          <w:p>
            <w:pPr>
              <w:spacing w:line="600" w:lineRule="exact"/>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指标名称</w:t>
            </w:r>
          </w:p>
        </w:tc>
        <w:tc>
          <w:tcPr>
            <w:tcW w:w="598" w:type="pct"/>
            <w:noWrap w:val="0"/>
            <w:vAlign w:val="center"/>
          </w:tcPr>
          <w:p>
            <w:pPr>
              <w:spacing w:line="600" w:lineRule="exact"/>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单位</w:t>
            </w:r>
          </w:p>
        </w:tc>
        <w:tc>
          <w:tcPr>
            <w:tcW w:w="977" w:type="pct"/>
            <w:noWrap w:val="0"/>
            <w:vAlign w:val="center"/>
          </w:tcPr>
          <w:p>
            <w:pPr>
              <w:spacing w:line="600" w:lineRule="exact"/>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2024年目标</w:t>
            </w:r>
          </w:p>
        </w:tc>
        <w:tc>
          <w:tcPr>
            <w:tcW w:w="1059" w:type="pct"/>
            <w:noWrap w:val="0"/>
            <w:vAlign w:val="center"/>
          </w:tcPr>
          <w:p>
            <w:pPr>
              <w:spacing w:line="600" w:lineRule="exact"/>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2025年目标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78" w:type="pct"/>
            <w:vMerge w:val="restart"/>
            <w:noWrap w:val="0"/>
            <w:vAlign w:val="center"/>
          </w:tcPr>
          <w:p>
            <w:pPr>
              <w:spacing w:line="6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产业</w:t>
            </w:r>
          </w:p>
          <w:p>
            <w:pPr>
              <w:spacing w:line="600" w:lineRule="exact"/>
              <w:jc w:val="center"/>
              <w:rPr>
                <w:rFonts w:ascii="仿宋_GB2312" w:hAnsi="仿宋_GB2312" w:eastAsia="仿宋_GB2312" w:cs="仿宋_GB2312"/>
                <w:color w:val="000000"/>
                <w:sz w:val="24"/>
                <w:lang w:bidi="ar"/>
              </w:rPr>
            </w:pPr>
            <w:r>
              <w:rPr>
                <w:rFonts w:hint="eastAsia" w:ascii="仿宋_GB2312" w:hAnsi="仿宋_GB2312" w:eastAsia="仿宋_GB2312" w:cs="仿宋_GB2312"/>
                <w:color w:val="000000"/>
                <w:sz w:val="24"/>
              </w:rPr>
              <w:t>总量</w:t>
            </w:r>
          </w:p>
        </w:tc>
        <w:tc>
          <w:tcPr>
            <w:tcW w:w="466" w:type="pct"/>
            <w:noWrap w:val="0"/>
            <w:vAlign w:val="center"/>
          </w:tcPr>
          <w:p>
            <w:pPr>
              <w:spacing w:line="600" w:lineRule="exact"/>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w:t>
            </w:r>
          </w:p>
        </w:tc>
        <w:tc>
          <w:tcPr>
            <w:tcW w:w="1320" w:type="pct"/>
            <w:noWrap w:val="0"/>
            <w:vAlign w:val="center"/>
          </w:tcPr>
          <w:p>
            <w:pPr>
              <w:spacing w:line="600" w:lineRule="exact"/>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sz w:val="24"/>
              </w:rPr>
              <w:t>全区规模以上先进制造业总产值</w:t>
            </w:r>
          </w:p>
        </w:tc>
        <w:tc>
          <w:tcPr>
            <w:tcW w:w="598" w:type="pct"/>
            <w:noWrap w:val="0"/>
            <w:vAlign w:val="center"/>
          </w:tcPr>
          <w:p>
            <w:pPr>
              <w:spacing w:line="600" w:lineRule="exact"/>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亿元</w:t>
            </w:r>
          </w:p>
        </w:tc>
        <w:tc>
          <w:tcPr>
            <w:tcW w:w="977" w:type="pct"/>
            <w:noWrap w:val="0"/>
            <w:vAlign w:val="center"/>
          </w:tcPr>
          <w:p>
            <w:pPr>
              <w:spacing w:line="600" w:lineRule="exact"/>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650</w:t>
            </w:r>
          </w:p>
        </w:tc>
        <w:tc>
          <w:tcPr>
            <w:tcW w:w="1059" w:type="pct"/>
            <w:noWrap w:val="0"/>
            <w:vAlign w:val="center"/>
          </w:tcPr>
          <w:p>
            <w:pPr>
              <w:spacing w:line="600" w:lineRule="exact"/>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578" w:type="pct"/>
            <w:vMerge w:val="continue"/>
            <w:noWrap w:val="0"/>
            <w:vAlign w:val="center"/>
          </w:tcPr>
          <w:p>
            <w:pPr>
              <w:spacing w:line="600" w:lineRule="exact"/>
              <w:jc w:val="center"/>
              <w:rPr>
                <w:rFonts w:ascii="仿宋_GB2312" w:hAnsi="仿宋_GB2312" w:eastAsia="仿宋_GB2312" w:cs="仿宋_GB2312"/>
                <w:color w:val="000000"/>
                <w:sz w:val="24"/>
                <w:lang w:bidi="ar"/>
              </w:rPr>
            </w:pPr>
          </w:p>
        </w:tc>
        <w:tc>
          <w:tcPr>
            <w:tcW w:w="466" w:type="pct"/>
            <w:noWrap w:val="0"/>
            <w:vAlign w:val="center"/>
          </w:tcPr>
          <w:p>
            <w:pPr>
              <w:spacing w:line="600" w:lineRule="exact"/>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w:t>
            </w:r>
          </w:p>
        </w:tc>
        <w:tc>
          <w:tcPr>
            <w:tcW w:w="1320" w:type="pct"/>
            <w:noWrap w:val="0"/>
            <w:vAlign w:val="center"/>
          </w:tcPr>
          <w:p>
            <w:pPr>
              <w:spacing w:line="600" w:lineRule="exact"/>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sz w:val="24"/>
              </w:rPr>
              <w:t>工业增加值</w:t>
            </w:r>
          </w:p>
        </w:tc>
        <w:tc>
          <w:tcPr>
            <w:tcW w:w="598" w:type="pct"/>
            <w:noWrap w:val="0"/>
            <w:vAlign w:val="center"/>
          </w:tcPr>
          <w:p>
            <w:pPr>
              <w:spacing w:line="600" w:lineRule="exact"/>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亿元</w:t>
            </w:r>
          </w:p>
        </w:tc>
        <w:tc>
          <w:tcPr>
            <w:tcW w:w="977" w:type="pct"/>
            <w:noWrap w:val="0"/>
            <w:vAlign w:val="center"/>
          </w:tcPr>
          <w:p>
            <w:pPr>
              <w:spacing w:line="600" w:lineRule="exact"/>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250</w:t>
            </w:r>
          </w:p>
        </w:tc>
        <w:tc>
          <w:tcPr>
            <w:tcW w:w="1059" w:type="pct"/>
            <w:noWrap w:val="0"/>
            <w:vAlign w:val="center"/>
          </w:tcPr>
          <w:p>
            <w:pPr>
              <w:spacing w:line="600" w:lineRule="exact"/>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pct"/>
            <w:vMerge w:val="restart"/>
            <w:noWrap w:val="0"/>
            <w:vAlign w:val="center"/>
          </w:tcPr>
          <w:p>
            <w:pPr>
              <w:spacing w:line="600" w:lineRule="exact"/>
              <w:jc w:val="center"/>
              <w:rPr>
                <w:rFonts w:ascii="仿宋_GB2312" w:hAnsi="仿宋_GB2312" w:eastAsia="仿宋_GB2312" w:cs="仿宋_GB2312"/>
                <w:color w:val="000000"/>
                <w:sz w:val="24"/>
                <w:lang w:bidi="ar"/>
              </w:rPr>
            </w:pPr>
            <w:r>
              <w:rPr>
                <w:rFonts w:hint="eastAsia" w:ascii="仿宋_GB2312" w:hAnsi="仿宋_GB2312" w:eastAsia="仿宋_GB2312" w:cs="仿宋_GB2312"/>
                <w:color w:val="000000"/>
                <w:sz w:val="24"/>
                <w:lang w:bidi="ar"/>
              </w:rPr>
              <w:t>产业</w:t>
            </w:r>
          </w:p>
          <w:p>
            <w:pPr>
              <w:spacing w:line="600" w:lineRule="exact"/>
              <w:jc w:val="center"/>
              <w:rPr>
                <w:rFonts w:ascii="仿宋_GB2312" w:hAnsi="仿宋_GB2312" w:eastAsia="仿宋_GB2312" w:cs="仿宋_GB2312"/>
                <w:color w:val="000000"/>
                <w:sz w:val="24"/>
                <w:lang w:bidi="ar"/>
              </w:rPr>
            </w:pPr>
            <w:r>
              <w:rPr>
                <w:rFonts w:hint="eastAsia" w:ascii="仿宋_GB2312" w:hAnsi="仿宋_GB2312" w:eastAsia="仿宋_GB2312" w:cs="仿宋_GB2312"/>
                <w:color w:val="000000"/>
                <w:sz w:val="24"/>
                <w:lang w:bidi="ar"/>
              </w:rPr>
              <w:t>结构</w:t>
            </w:r>
          </w:p>
        </w:tc>
        <w:tc>
          <w:tcPr>
            <w:tcW w:w="466" w:type="pct"/>
            <w:noWrap w:val="0"/>
            <w:vAlign w:val="center"/>
          </w:tcPr>
          <w:p>
            <w:pPr>
              <w:spacing w:line="600" w:lineRule="exact"/>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w:t>
            </w:r>
          </w:p>
        </w:tc>
        <w:tc>
          <w:tcPr>
            <w:tcW w:w="1320" w:type="pct"/>
            <w:noWrap w:val="0"/>
            <w:vAlign w:val="center"/>
          </w:tcPr>
          <w:p>
            <w:pPr>
              <w:spacing w:line="6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高技术制造总产值占规上工业总产值的比重</w:t>
            </w:r>
          </w:p>
        </w:tc>
        <w:tc>
          <w:tcPr>
            <w:tcW w:w="598" w:type="pct"/>
            <w:noWrap w:val="0"/>
            <w:vAlign w:val="center"/>
          </w:tcPr>
          <w:p>
            <w:pPr>
              <w:spacing w:line="600" w:lineRule="exact"/>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w:t>
            </w:r>
          </w:p>
        </w:tc>
        <w:tc>
          <w:tcPr>
            <w:tcW w:w="977" w:type="pct"/>
            <w:noWrap w:val="0"/>
            <w:vAlign w:val="center"/>
          </w:tcPr>
          <w:p>
            <w:pPr>
              <w:spacing w:line="600" w:lineRule="exact"/>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27.3%</w:t>
            </w:r>
          </w:p>
        </w:tc>
        <w:tc>
          <w:tcPr>
            <w:tcW w:w="1059" w:type="pct"/>
            <w:noWrap w:val="0"/>
            <w:vAlign w:val="center"/>
          </w:tcPr>
          <w:p>
            <w:pPr>
              <w:spacing w:line="600" w:lineRule="exact"/>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pct"/>
            <w:vMerge w:val="continue"/>
            <w:noWrap w:val="0"/>
            <w:vAlign w:val="center"/>
          </w:tcPr>
          <w:p>
            <w:pPr>
              <w:spacing w:line="600" w:lineRule="exact"/>
              <w:jc w:val="center"/>
              <w:rPr>
                <w:rFonts w:ascii="仿宋_GB2312" w:hAnsi="仿宋_GB2312" w:eastAsia="仿宋_GB2312" w:cs="仿宋_GB2312"/>
                <w:color w:val="000000"/>
                <w:sz w:val="24"/>
                <w:lang w:bidi="ar"/>
              </w:rPr>
            </w:pPr>
          </w:p>
        </w:tc>
        <w:tc>
          <w:tcPr>
            <w:tcW w:w="466" w:type="pct"/>
            <w:noWrap w:val="0"/>
            <w:vAlign w:val="center"/>
          </w:tcPr>
          <w:p>
            <w:pPr>
              <w:spacing w:line="600" w:lineRule="exact"/>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4</w:t>
            </w:r>
          </w:p>
        </w:tc>
        <w:tc>
          <w:tcPr>
            <w:tcW w:w="1320" w:type="pct"/>
            <w:noWrap w:val="0"/>
            <w:vAlign w:val="center"/>
          </w:tcPr>
          <w:p>
            <w:pPr>
              <w:spacing w:line="6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工业战略性新兴产业总产值占规上工业总产值比重</w:t>
            </w:r>
          </w:p>
        </w:tc>
        <w:tc>
          <w:tcPr>
            <w:tcW w:w="598" w:type="pct"/>
            <w:noWrap w:val="0"/>
            <w:vAlign w:val="center"/>
          </w:tcPr>
          <w:p>
            <w:pPr>
              <w:spacing w:line="600" w:lineRule="exact"/>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w:t>
            </w:r>
          </w:p>
        </w:tc>
        <w:tc>
          <w:tcPr>
            <w:tcW w:w="977" w:type="pct"/>
            <w:noWrap w:val="0"/>
            <w:vAlign w:val="center"/>
          </w:tcPr>
          <w:p>
            <w:pPr>
              <w:spacing w:line="600" w:lineRule="exact"/>
              <w:jc w:val="center"/>
              <w:rPr>
                <w:rFonts w:ascii="仿宋_GB2312" w:hAnsi="仿宋_GB2312" w:eastAsia="仿宋_GB2312" w:cs="仿宋_GB2312"/>
                <w:color w:val="000000"/>
                <w:kern w:val="0"/>
                <w:sz w:val="24"/>
                <w:lang w:bidi="ar"/>
              </w:rPr>
            </w:pPr>
            <w:r>
              <w:rPr>
                <w:rFonts w:hint="eastAsia" w:ascii="宋体" w:hAnsi="宋体" w:cs="宋体"/>
                <w:color w:val="000000"/>
                <w:sz w:val="24"/>
              </w:rPr>
              <w:t>21.3%</w:t>
            </w:r>
          </w:p>
        </w:tc>
        <w:tc>
          <w:tcPr>
            <w:tcW w:w="1059" w:type="pct"/>
            <w:noWrap w:val="0"/>
            <w:vAlign w:val="center"/>
          </w:tcPr>
          <w:p>
            <w:pPr>
              <w:spacing w:line="600" w:lineRule="exact"/>
              <w:jc w:val="center"/>
              <w:rPr>
                <w:rFonts w:ascii="仿宋_GB2312" w:hAnsi="仿宋_GB2312" w:eastAsia="仿宋_GB2312" w:cs="仿宋_GB2312"/>
                <w:color w:val="000000"/>
                <w:kern w:val="0"/>
                <w:sz w:val="24"/>
                <w:lang w:bidi="ar"/>
              </w:rPr>
            </w:pPr>
            <w:r>
              <w:rPr>
                <w:rFonts w:hint="eastAsia" w:ascii="宋体" w:hAnsi="宋体" w:cs="宋体"/>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9" w:hRule="atLeast"/>
        </w:trPr>
        <w:tc>
          <w:tcPr>
            <w:tcW w:w="578" w:type="pct"/>
            <w:vMerge w:val="restart"/>
            <w:noWrap w:val="0"/>
            <w:vAlign w:val="center"/>
          </w:tcPr>
          <w:p>
            <w:pPr>
              <w:spacing w:line="6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产业</w:t>
            </w:r>
          </w:p>
          <w:p>
            <w:pPr>
              <w:spacing w:line="600" w:lineRule="exact"/>
              <w:jc w:val="center"/>
              <w:rPr>
                <w:rFonts w:ascii="仿宋_GB2312" w:hAnsi="仿宋_GB2312" w:eastAsia="仿宋_GB2312" w:cs="仿宋_GB2312"/>
                <w:color w:val="000000"/>
                <w:sz w:val="24"/>
                <w:lang w:bidi="ar"/>
              </w:rPr>
            </w:pPr>
            <w:r>
              <w:rPr>
                <w:rFonts w:hint="eastAsia" w:ascii="仿宋_GB2312" w:hAnsi="仿宋_GB2312" w:eastAsia="仿宋_GB2312" w:cs="仿宋_GB2312"/>
                <w:color w:val="000000"/>
                <w:sz w:val="24"/>
              </w:rPr>
              <w:t>创新</w:t>
            </w:r>
          </w:p>
        </w:tc>
        <w:tc>
          <w:tcPr>
            <w:tcW w:w="466" w:type="pct"/>
            <w:noWrap w:val="0"/>
            <w:vAlign w:val="center"/>
          </w:tcPr>
          <w:p>
            <w:pPr>
              <w:spacing w:line="600" w:lineRule="exact"/>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5</w:t>
            </w:r>
          </w:p>
        </w:tc>
        <w:tc>
          <w:tcPr>
            <w:tcW w:w="1320" w:type="pct"/>
            <w:noWrap w:val="0"/>
            <w:vAlign w:val="center"/>
          </w:tcPr>
          <w:p>
            <w:pPr>
              <w:spacing w:line="600" w:lineRule="exact"/>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sz w:val="24"/>
              </w:rPr>
              <w:t>全区规模以上先进制造业企业研发经费投入占收入比重</w:t>
            </w:r>
          </w:p>
        </w:tc>
        <w:tc>
          <w:tcPr>
            <w:tcW w:w="598" w:type="pct"/>
            <w:noWrap w:val="0"/>
            <w:vAlign w:val="center"/>
          </w:tcPr>
          <w:p>
            <w:pPr>
              <w:spacing w:line="600" w:lineRule="exact"/>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w:t>
            </w:r>
          </w:p>
        </w:tc>
        <w:tc>
          <w:tcPr>
            <w:tcW w:w="977" w:type="pct"/>
            <w:noWrap w:val="0"/>
            <w:vAlign w:val="center"/>
          </w:tcPr>
          <w:p>
            <w:pPr>
              <w:spacing w:line="600" w:lineRule="exact"/>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w:t>
            </w:r>
          </w:p>
        </w:tc>
        <w:tc>
          <w:tcPr>
            <w:tcW w:w="1059" w:type="pct"/>
            <w:noWrap w:val="0"/>
            <w:vAlign w:val="center"/>
          </w:tcPr>
          <w:p>
            <w:pPr>
              <w:spacing w:line="600" w:lineRule="exact"/>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突破3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578" w:type="pct"/>
            <w:vMerge w:val="continue"/>
            <w:noWrap w:val="0"/>
            <w:vAlign w:val="center"/>
          </w:tcPr>
          <w:p>
            <w:pPr>
              <w:spacing w:line="600" w:lineRule="exact"/>
              <w:jc w:val="center"/>
              <w:rPr>
                <w:rFonts w:ascii="仿宋_GB2312" w:hAnsi="仿宋_GB2312" w:eastAsia="仿宋_GB2312" w:cs="仿宋_GB2312"/>
                <w:color w:val="000000"/>
                <w:sz w:val="24"/>
              </w:rPr>
            </w:pPr>
          </w:p>
        </w:tc>
        <w:tc>
          <w:tcPr>
            <w:tcW w:w="466" w:type="pct"/>
            <w:noWrap w:val="0"/>
            <w:vAlign w:val="center"/>
          </w:tcPr>
          <w:p>
            <w:pPr>
              <w:spacing w:line="600" w:lineRule="exact"/>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6</w:t>
            </w:r>
          </w:p>
        </w:tc>
        <w:tc>
          <w:tcPr>
            <w:tcW w:w="1320" w:type="pct"/>
            <w:noWrap w:val="0"/>
            <w:vAlign w:val="center"/>
          </w:tcPr>
          <w:p>
            <w:pPr>
              <w:spacing w:line="6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规模以上工业企业中有研发活动企业占比</w:t>
            </w:r>
          </w:p>
        </w:tc>
        <w:tc>
          <w:tcPr>
            <w:tcW w:w="598" w:type="pct"/>
            <w:noWrap w:val="0"/>
            <w:vAlign w:val="center"/>
          </w:tcPr>
          <w:p>
            <w:pPr>
              <w:spacing w:line="600" w:lineRule="exact"/>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w:t>
            </w:r>
          </w:p>
        </w:tc>
        <w:tc>
          <w:tcPr>
            <w:tcW w:w="977" w:type="pct"/>
            <w:noWrap w:val="0"/>
            <w:vAlign w:val="center"/>
          </w:tcPr>
          <w:p>
            <w:pPr>
              <w:spacing w:line="600" w:lineRule="exact"/>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50</w:t>
            </w:r>
          </w:p>
        </w:tc>
        <w:tc>
          <w:tcPr>
            <w:tcW w:w="1059" w:type="pct"/>
            <w:noWrap w:val="0"/>
            <w:vAlign w:val="center"/>
          </w:tcPr>
          <w:p>
            <w:pPr>
              <w:spacing w:line="600" w:lineRule="exact"/>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pct"/>
            <w:vMerge w:val="continue"/>
            <w:noWrap w:val="0"/>
            <w:vAlign w:val="center"/>
          </w:tcPr>
          <w:p>
            <w:pPr>
              <w:spacing w:line="600" w:lineRule="exact"/>
              <w:jc w:val="center"/>
              <w:rPr>
                <w:rFonts w:ascii="仿宋_GB2312" w:hAnsi="仿宋_GB2312" w:eastAsia="仿宋_GB2312" w:cs="仿宋_GB2312"/>
                <w:color w:val="000000"/>
                <w:sz w:val="24"/>
                <w:lang w:bidi="ar"/>
              </w:rPr>
            </w:pPr>
          </w:p>
        </w:tc>
        <w:tc>
          <w:tcPr>
            <w:tcW w:w="466" w:type="pct"/>
            <w:noWrap w:val="0"/>
            <w:vAlign w:val="center"/>
          </w:tcPr>
          <w:p>
            <w:pPr>
              <w:spacing w:line="600" w:lineRule="exact"/>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7</w:t>
            </w:r>
          </w:p>
        </w:tc>
        <w:tc>
          <w:tcPr>
            <w:tcW w:w="1320" w:type="pct"/>
            <w:noWrap w:val="0"/>
            <w:vAlign w:val="center"/>
          </w:tcPr>
          <w:p>
            <w:pPr>
              <w:spacing w:line="600" w:lineRule="exact"/>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sz w:val="24"/>
              </w:rPr>
              <w:t>国家和市级企业技术中心</w:t>
            </w:r>
          </w:p>
        </w:tc>
        <w:tc>
          <w:tcPr>
            <w:tcW w:w="598" w:type="pct"/>
            <w:noWrap w:val="0"/>
            <w:vAlign w:val="center"/>
          </w:tcPr>
          <w:p>
            <w:pPr>
              <w:spacing w:line="600" w:lineRule="exact"/>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个</w:t>
            </w:r>
          </w:p>
        </w:tc>
        <w:tc>
          <w:tcPr>
            <w:tcW w:w="977" w:type="pct"/>
            <w:noWrap w:val="0"/>
            <w:vAlign w:val="center"/>
          </w:tcPr>
          <w:p>
            <w:pPr>
              <w:spacing w:line="600" w:lineRule="exact"/>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48</w:t>
            </w:r>
          </w:p>
        </w:tc>
        <w:tc>
          <w:tcPr>
            <w:tcW w:w="1059" w:type="pct"/>
            <w:noWrap w:val="0"/>
            <w:vAlign w:val="center"/>
          </w:tcPr>
          <w:p>
            <w:pPr>
              <w:spacing w:line="600" w:lineRule="exact"/>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578" w:type="pct"/>
            <w:vMerge w:val="continue"/>
            <w:noWrap w:val="0"/>
            <w:vAlign w:val="center"/>
          </w:tcPr>
          <w:p>
            <w:pPr>
              <w:spacing w:line="600" w:lineRule="exact"/>
              <w:jc w:val="center"/>
              <w:rPr>
                <w:rFonts w:ascii="仿宋_GB2312" w:hAnsi="仿宋_GB2312" w:eastAsia="仿宋_GB2312" w:cs="仿宋_GB2312"/>
                <w:color w:val="000000"/>
                <w:sz w:val="24"/>
                <w:lang w:bidi="ar"/>
              </w:rPr>
            </w:pPr>
          </w:p>
        </w:tc>
        <w:tc>
          <w:tcPr>
            <w:tcW w:w="466" w:type="pct"/>
            <w:noWrap w:val="0"/>
            <w:vAlign w:val="center"/>
          </w:tcPr>
          <w:p>
            <w:pPr>
              <w:spacing w:line="600" w:lineRule="exact"/>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8</w:t>
            </w:r>
          </w:p>
        </w:tc>
        <w:tc>
          <w:tcPr>
            <w:tcW w:w="1320" w:type="pct"/>
            <w:noWrap w:val="0"/>
            <w:vAlign w:val="center"/>
          </w:tcPr>
          <w:p>
            <w:pPr>
              <w:spacing w:line="6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专精特新和小巨人新增企业（家）</w:t>
            </w:r>
          </w:p>
        </w:tc>
        <w:tc>
          <w:tcPr>
            <w:tcW w:w="598" w:type="pct"/>
            <w:noWrap w:val="0"/>
            <w:vAlign w:val="center"/>
          </w:tcPr>
          <w:p>
            <w:pPr>
              <w:spacing w:line="600" w:lineRule="exact"/>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家</w:t>
            </w:r>
          </w:p>
        </w:tc>
        <w:tc>
          <w:tcPr>
            <w:tcW w:w="977" w:type="pct"/>
            <w:noWrap w:val="0"/>
            <w:vAlign w:val="center"/>
          </w:tcPr>
          <w:p>
            <w:pPr>
              <w:spacing w:line="600" w:lineRule="exact"/>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150</w:t>
            </w:r>
          </w:p>
        </w:tc>
        <w:tc>
          <w:tcPr>
            <w:tcW w:w="1059" w:type="pct"/>
            <w:noWrap w:val="0"/>
            <w:vAlign w:val="center"/>
          </w:tcPr>
          <w:p>
            <w:pPr>
              <w:spacing w:line="600" w:lineRule="exact"/>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pct"/>
            <w:vMerge w:val="restart"/>
            <w:noWrap w:val="0"/>
            <w:vAlign w:val="center"/>
          </w:tcPr>
          <w:p>
            <w:pPr>
              <w:spacing w:line="6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产业</w:t>
            </w:r>
          </w:p>
          <w:p>
            <w:pPr>
              <w:spacing w:line="600" w:lineRule="exact"/>
              <w:jc w:val="center"/>
              <w:rPr>
                <w:rFonts w:ascii="仿宋_GB2312" w:hAnsi="仿宋_GB2312" w:eastAsia="仿宋_GB2312" w:cs="仿宋_GB2312"/>
                <w:color w:val="000000"/>
                <w:sz w:val="24"/>
                <w:lang w:bidi="ar"/>
              </w:rPr>
            </w:pPr>
            <w:r>
              <w:rPr>
                <w:rFonts w:hint="eastAsia" w:ascii="仿宋_GB2312" w:hAnsi="仿宋_GB2312" w:eastAsia="仿宋_GB2312" w:cs="仿宋_GB2312"/>
                <w:color w:val="000000"/>
                <w:sz w:val="24"/>
              </w:rPr>
              <w:t>质量</w:t>
            </w:r>
          </w:p>
        </w:tc>
        <w:tc>
          <w:tcPr>
            <w:tcW w:w="466" w:type="pct"/>
            <w:noWrap w:val="0"/>
            <w:vAlign w:val="center"/>
          </w:tcPr>
          <w:p>
            <w:pPr>
              <w:spacing w:line="600" w:lineRule="exact"/>
              <w:jc w:val="center"/>
              <w:rPr>
                <w:rFonts w:ascii="仿宋_GB2312" w:hAnsi="仿宋_GB2312" w:eastAsia="仿宋_GB2312" w:cs="仿宋_GB2312"/>
                <w:color w:val="000000"/>
                <w:sz w:val="24"/>
                <w:lang w:bidi="ar"/>
              </w:rPr>
            </w:pPr>
            <w:r>
              <w:rPr>
                <w:rFonts w:hint="eastAsia" w:ascii="仿宋_GB2312" w:hAnsi="仿宋_GB2312" w:eastAsia="仿宋_GB2312" w:cs="仿宋_GB2312"/>
                <w:color w:val="000000"/>
                <w:sz w:val="24"/>
                <w:lang w:bidi="ar"/>
              </w:rPr>
              <w:t>9</w:t>
            </w:r>
          </w:p>
        </w:tc>
        <w:tc>
          <w:tcPr>
            <w:tcW w:w="1320" w:type="pct"/>
            <w:noWrap w:val="0"/>
            <w:vAlign w:val="center"/>
          </w:tcPr>
          <w:p>
            <w:pPr>
              <w:spacing w:line="6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地均工业增加值</w:t>
            </w:r>
          </w:p>
        </w:tc>
        <w:tc>
          <w:tcPr>
            <w:tcW w:w="598" w:type="pct"/>
            <w:noWrap w:val="0"/>
            <w:vAlign w:val="center"/>
          </w:tcPr>
          <w:p>
            <w:pPr>
              <w:spacing w:line="600" w:lineRule="exact"/>
              <w:jc w:val="center"/>
              <w:rPr>
                <w:rFonts w:ascii="仿宋_GB2312" w:hAnsi="仿宋_GB2312" w:eastAsia="仿宋_GB2312" w:cs="仿宋_GB2312"/>
                <w:color w:val="000000"/>
                <w:sz w:val="24"/>
                <w:lang w:bidi="ar"/>
              </w:rPr>
            </w:pPr>
            <w:r>
              <w:rPr>
                <w:rFonts w:hint="eastAsia" w:ascii="仿宋_GB2312" w:hAnsi="仿宋_GB2312" w:eastAsia="仿宋_GB2312" w:cs="仿宋_GB2312"/>
                <w:color w:val="000000"/>
                <w:sz w:val="24"/>
                <w:lang w:bidi="ar"/>
              </w:rPr>
              <w:t>亿元/平方公里</w:t>
            </w:r>
          </w:p>
        </w:tc>
        <w:tc>
          <w:tcPr>
            <w:tcW w:w="977" w:type="pct"/>
            <w:noWrap w:val="0"/>
            <w:vAlign w:val="center"/>
          </w:tcPr>
          <w:p>
            <w:pPr>
              <w:spacing w:line="6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c>
          <w:tcPr>
            <w:tcW w:w="1059" w:type="pct"/>
            <w:noWrap w:val="0"/>
            <w:vAlign w:val="center"/>
          </w:tcPr>
          <w:p>
            <w:pPr>
              <w:spacing w:line="6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pct"/>
            <w:vMerge w:val="continue"/>
            <w:noWrap w:val="0"/>
            <w:vAlign w:val="center"/>
          </w:tcPr>
          <w:p>
            <w:pPr>
              <w:spacing w:line="600" w:lineRule="exact"/>
              <w:jc w:val="center"/>
              <w:rPr>
                <w:rFonts w:ascii="仿宋_GB2312" w:hAnsi="仿宋_GB2312" w:eastAsia="仿宋_GB2312" w:cs="仿宋_GB2312"/>
                <w:color w:val="000000"/>
                <w:kern w:val="0"/>
                <w:sz w:val="24"/>
                <w:lang w:bidi="ar"/>
              </w:rPr>
            </w:pPr>
          </w:p>
        </w:tc>
        <w:tc>
          <w:tcPr>
            <w:tcW w:w="466" w:type="pct"/>
            <w:noWrap w:val="0"/>
            <w:vAlign w:val="center"/>
          </w:tcPr>
          <w:p>
            <w:pPr>
              <w:spacing w:line="600" w:lineRule="exact"/>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10</w:t>
            </w:r>
          </w:p>
        </w:tc>
        <w:tc>
          <w:tcPr>
            <w:tcW w:w="1320" w:type="pct"/>
            <w:noWrap w:val="0"/>
            <w:vAlign w:val="center"/>
          </w:tcPr>
          <w:p>
            <w:pPr>
              <w:spacing w:line="6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智能工厂</w:t>
            </w:r>
          </w:p>
        </w:tc>
        <w:tc>
          <w:tcPr>
            <w:tcW w:w="598" w:type="pct"/>
            <w:noWrap w:val="0"/>
            <w:vAlign w:val="center"/>
          </w:tcPr>
          <w:p>
            <w:pPr>
              <w:spacing w:line="600" w:lineRule="exact"/>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家</w:t>
            </w:r>
          </w:p>
        </w:tc>
        <w:tc>
          <w:tcPr>
            <w:tcW w:w="977" w:type="pct"/>
            <w:noWrap w:val="0"/>
            <w:vAlign w:val="center"/>
          </w:tcPr>
          <w:p>
            <w:pPr>
              <w:spacing w:line="600" w:lineRule="exact"/>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w:t>
            </w:r>
          </w:p>
        </w:tc>
        <w:tc>
          <w:tcPr>
            <w:tcW w:w="1059" w:type="pct"/>
            <w:noWrap w:val="0"/>
            <w:vAlign w:val="center"/>
          </w:tcPr>
          <w:p>
            <w:pPr>
              <w:spacing w:line="600" w:lineRule="exact"/>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pct"/>
            <w:vMerge w:val="continue"/>
            <w:noWrap w:val="0"/>
            <w:vAlign w:val="center"/>
          </w:tcPr>
          <w:p>
            <w:pPr>
              <w:spacing w:line="600" w:lineRule="exact"/>
              <w:jc w:val="center"/>
              <w:rPr>
                <w:rFonts w:ascii="仿宋_GB2312" w:hAnsi="仿宋_GB2312" w:eastAsia="仿宋_GB2312" w:cs="仿宋_GB2312"/>
                <w:color w:val="000000"/>
                <w:kern w:val="0"/>
                <w:sz w:val="24"/>
                <w:lang w:bidi="ar"/>
              </w:rPr>
            </w:pPr>
          </w:p>
        </w:tc>
        <w:tc>
          <w:tcPr>
            <w:tcW w:w="466" w:type="pct"/>
            <w:noWrap w:val="0"/>
            <w:vAlign w:val="center"/>
          </w:tcPr>
          <w:p>
            <w:pPr>
              <w:spacing w:line="600" w:lineRule="exact"/>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11</w:t>
            </w:r>
          </w:p>
        </w:tc>
        <w:tc>
          <w:tcPr>
            <w:tcW w:w="1320" w:type="pct"/>
            <w:noWrap w:val="0"/>
            <w:vAlign w:val="center"/>
          </w:tcPr>
          <w:p>
            <w:pPr>
              <w:spacing w:line="6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绿色工厂</w:t>
            </w:r>
          </w:p>
        </w:tc>
        <w:tc>
          <w:tcPr>
            <w:tcW w:w="598" w:type="pct"/>
            <w:noWrap w:val="0"/>
            <w:vAlign w:val="center"/>
          </w:tcPr>
          <w:p>
            <w:pPr>
              <w:spacing w:line="600" w:lineRule="exact"/>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家</w:t>
            </w:r>
          </w:p>
        </w:tc>
        <w:tc>
          <w:tcPr>
            <w:tcW w:w="977" w:type="pct"/>
            <w:noWrap w:val="0"/>
            <w:vAlign w:val="center"/>
          </w:tcPr>
          <w:p>
            <w:pPr>
              <w:spacing w:line="600" w:lineRule="exact"/>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8</w:t>
            </w:r>
          </w:p>
        </w:tc>
        <w:tc>
          <w:tcPr>
            <w:tcW w:w="1059" w:type="pct"/>
            <w:noWrap w:val="0"/>
            <w:vAlign w:val="center"/>
          </w:tcPr>
          <w:p>
            <w:pPr>
              <w:spacing w:line="600" w:lineRule="exact"/>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pct"/>
            <w:vMerge w:val="continue"/>
            <w:noWrap w:val="0"/>
            <w:vAlign w:val="center"/>
          </w:tcPr>
          <w:p>
            <w:pPr>
              <w:spacing w:line="600" w:lineRule="exact"/>
              <w:jc w:val="center"/>
              <w:rPr>
                <w:rFonts w:ascii="仿宋_GB2312" w:hAnsi="仿宋_GB2312" w:eastAsia="仿宋_GB2312" w:cs="仿宋_GB2312"/>
                <w:color w:val="000000"/>
                <w:kern w:val="0"/>
                <w:sz w:val="24"/>
                <w:lang w:bidi="ar"/>
              </w:rPr>
            </w:pPr>
          </w:p>
        </w:tc>
        <w:tc>
          <w:tcPr>
            <w:tcW w:w="466" w:type="pct"/>
            <w:noWrap w:val="0"/>
            <w:vAlign w:val="center"/>
          </w:tcPr>
          <w:p>
            <w:pPr>
              <w:spacing w:line="600" w:lineRule="exact"/>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12</w:t>
            </w:r>
          </w:p>
        </w:tc>
        <w:tc>
          <w:tcPr>
            <w:tcW w:w="1320" w:type="pct"/>
            <w:noWrap w:val="0"/>
            <w:vAlign w:val="center"/>
          </w:tcPr>
          <w:p>
            <w:pPr>
              <w:spacing w:line="6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碳中和企业</w:t>
            </w:r>
          </w:p>
        </w:tc>
        <w:tc>
          <w:tcPr>
            <w:tcW w:w="598" w:type="pct"/>
            <w:noWrap w:val="0"/>
            <w:vAlign w:val="center"/>
          </w:tcPr>
          <w:p>
            <w:pPr>
              <w:spacing w:line="600" w:lineRule="exact"/>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家</w:t>
            </w:r>
          </w:p>
        </w:tc>
        <w:tc>
          <w:tcPr>
            <w:tcW w:w="977" w:type="pct"/>
            <w:noWrap w:val="0"/>
            <w:vAlign w:val="center"/>
          </w:tcPr>
          <w:p>
            <w:pPr>
              <w:spacing w:line="600" w:lineRule="exact"/>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w:t>
            </w:r>
          </w:p>
        </w:tc>
        <w:tc>
          <w:tcPr>
            <w:tcW w:w="1059" w:type="pct"/>
            <w:noWrap w:val="0"/>
            <w:vAlign w:val="center"/>
          </w:tcPr>
          <w:p>
            <w:pPr>
              <w:spacing w:line="600" w:lineRule="exact"/>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4</w:t>
            </w:r>
          </w:p>
        </w:tc>
      </w:tr>
    </w:tbl>
    <w:p>
      <w:pPr>
        <w:numPr>
          <w:ilvl w:val="0"/>
          <w:numId w:val="0"/>
        </w:numPr>
        <w:spacing w:line="600" w:lineRule="exact"/>
        <w:ind w:firstLine="640" w:firstLineChars="200"/>
        <w:outlineLvl w:val="0"/>
        <w:rPr>
          <w:rFonts w:ascii="黑体" w:hAnsi="黑体" w:eastAsia="黑体" w:cs="黑体"/>
          <w:color w:val="000000"/>
          <w:sz w:val="32"/>
          <w:szCs w:val="40"/>
        </w:rPr>
      </w:pPr>
      <w:r>
        <w:rPr>
          <w:rFonts w:hint="eastAsia" w:ascii="黑体" w:hAnsi="黑体" w:eastAsia="黑体" w:cs="黑体"/>
          <w:color w:val="000000"/>
          <w:sz w:val="32"/>
          <w:szCs w:val="40"/>
        </w:rPr>
        <w:t>二、</w:t>
      </w:r>
      <w:bookmarkEnd w:id="0"/>
      <w:r>
        <w:rPr>
          <w:rFonts w:hint="eastAsia" w:ascii="黑体" w:hAnsi="黑体" w:eastAsia="黑体" w:cs="黑体"/>
          <w:color w:val="000000"/>
          <w:sz w:val="32"/>
          <w:szCs w:val="40"/>
        </w:rPr>
        <w:t>构建</w:t>
      </w:r>
      <w:r>
        <w:rPr>
          <w:rFonts w:hint="eastAsia" w:ascii="黑体" w:hAnsi="黑体" w:eastAsia="黑体" w:cs="仿宋_GB2312"/>
          <w:bCs/>
          <w:color w:val="000000"/>
          <w:sz w:val="32"/>
          <w:szCs w:val="32"/>
          <w:lang w:bidi="ar"/>
        </w:rPr>
        <w:t>“</w:t>
      </w:r>
      <w:r>
        <w:rPr>
          <w:rFonts w:ascii="黑体" w:hAnsi="黑体" w:eastAsia="黑体" w:cs="仿宋_GB2312"/>
          <w:bCs/>
          <w:color w:val="000000"/>
          <w:sz w:val="32"/>
          <w:szCs w:val="32"/>
          <w:lang w:bidi="ar"/>
        </w:rPr>
        <w:t>14</w:t>
      </w:r>
      <w:r>
        <w:rPr>
          <w:rFonts w:hint="eastAsia" w:ascii="黑体" w:hAnsi="黑体" w:eastAsia="黑体" w:cs="仿宋_GB2312"/>
          <w:bCs/>
          <w:color w:val="000000"/>
          <w:sz w:val="32"/>
          <w:szCs w:val="32"/>
          <w:lang w:bidi="ar"/>
        </w:rPr>
        <w:t>3”先进制造</w:t>
      </w:r>
      <w:r>
        <w:rPr>
          <w:rFonts w:hint="eastAsia" w:ascii="黑体" w:hAnsi="黑体" w:eastAsia="黑体" w:cs="黑体"/>
          <w:color w:val="000000"/>
          <w:sz w:val="32"/>
          <w:szCs w:val="40"/>
        </w:rPr>
        <w:t>产业体系</w:t>
      </w:r>
    </w:p>
    <w:p>
      <w:pPr>
        <w:pStyle w:val="2"/>
        <w:widowControl w:val="0"/>
        <w:spacing w:line="600" w:lineRule="exact"/>
        <w:rPr>
          <w:b/>
          <w:bCs/>
          <w:color w:val="auto"/>
        </w:rPr>
      </w:pPr>
      <w:r>
        <w:rPr>
          <w:rFonts w:hint="eastAsia" w:hAnsi="Calibri" w:eastAsia="仿宋_GB2312"/>
          <w:color w:val="auto"/>
          <w:sz w:val="32"/>
          <w:lang w:bidi="ar"/>
        </w:rPr>
        <w:t>巩固现有产业基础，抢抓产业变革赛道，统筹研发、设计、制造、服务等产业链各环节，着力打造以医药健康为战略引擎，智能装备、电子信息、新能源智能汽车、绿色都市为支柱，面向绿色低碳、数字科技和交叉融合领域的前沿新兴产业为增量突破的“1+4+</w:t>
      </w:r>
      <w:r>
        <w:rPr>
          <w:rFonts w:hAnsi="Calibri" w:eastAsia="仿宋_GB2312"/>
          <w:color w:val="auto"/>
          <w:sz w:val="32"/>
          <w:lang w:bidi="ar"/>
        </w:rPr>
        <w:t>3</w:t>
      </w:r>
      <w:r>
        <w:rPr>
          <w:rFonts w:hint="eastAsia" w:hAnsi="Calibri" w:eastAsia="仿宋_GB2312"/>
          <w:color w:val="auto"/>
          <w:sz w:val="32"/>
          <w:lang w:bidi="ar"/>
        </w:rPr>
        <w:t>”先进制造业新体系。</w:t>
      </w:r>
    </w:p>
    <w:p>
      <w:pPr>
        <w:spacing w:line="560" w:lineRule="exact"/>
        <w:ind w:firstLine="640" w:firstLineChars="200"/>
        <w:outlineLvl w:val="1"/>
        <w:rPr>
          <w:rFonts w:ascii="楷体_GB2312" w:eastAsia="楷体_GB2312" w:cs="楷体_GB2312"/>
          <w:color w:val="000000"/>
          <w:sz w:val="32"/>
          <w:szCs w:val="32"/>
        </w:rPr>
      </w:pPr>
      <w:r>
        <w:rPr>
          <w:rFonts w:hint="eastAsia" w:ascii="楷体_GB2312" w:eastAsia="楷体_GB2312" w:cs="楷体_GB2312"/>
          <w:bCs/>
          <w:color w:val="000000"/>
          <w:sz w:val="32"/>
          <w:szCs w:val="32"/>
          <w:lang w:bidi="ar"/>
        </w:rPr>
        <w:t>（一）打造医药健康战略引擎</w:t>
      </w:r>
    </w:p>
    <w:p>
      <w:pPr>
        <w:pStyle w:val="13"/>
        <w:autoSpaceDE w:val="0"/>
        <w:autoSpaceDN w:val="0"/>
        <w:adjustRightInd w:val="0"/>
        <w:spacing w:beforeAutospacing="0" w:afterAutospacing="0" w:line="560" w:lineRule="exact"/>
        <w:ind w:firstLine="640" w:firstLineChars="200"/>
        <w:jc w:val="both"/>
        <w:rPr>
          <w:rFonts w:ascii="仿宋_GB2312" w:hAnsi="Times New Roman" w:eastAsia="仿宋_GB2312" w:cs="仿宋_GB2312"/>
          <w:color w:val="000000"/>
          <w:sz w:val="32"/>
          <w:szCs w:val="32"/>
          <w:lang w:bidi="ar"/>
        </w:rPr>
      </w:pPr>
      <w:r>
        <w:rPr>
          <w:rFonts w:hint="eastAsia" w:ascii="仿宋_GB2312" w:hAnsi="Times New Roman" w:eastAsia="仿宋_GB2312" w:cs="仿宋_GB2312"/>
          <w:color w:val="000000"/>
          <w:sz w:val="32"/>
          <w:szCs w:val="32"/>
          <w:lang w:bidi="ar"/>
        </w:rPr>
        <w:t>瞄准新器械、新药物、新服务三大方向，以高端提升、集群壮大为重点，支持医药企业和医疗机构打造产学研创新共同体，抓住药品、医疗器械上市许可持有人制度实施契机</w:t>
      </w:r>
      <w:r>
        <w:rPr>
          <w:rFonts w:hint="eastAsia" w:ascii="仿宋_GB2312" w:eastAsia="仿宋_GB2312"/>
          <w:color w:val="000000"/>
          <w:sz w:val="32"/>
          <w:szCs w:val="32"/>
        </w:rPr>
        <w:t>，</w:t>
      </w:r>
      <w:r>
        <w:rPr>
          <w:rFonts w:hint="eastAsia" w:ascii="仿宋_GB2312" w:hAnsi="Times New Roman" w:eastAsia="仿宋_GB2312" w:cs="仿宋_GB2312"/>
          <w:color w:val="000000"/>
          <w:sz w:val="32"/>
          <w:szCs w:val="32"/>
          <w:lang w:bidi="ar"/>
        </w:rPr>
        <w:t>分类推动细分行业高质量发展。</w:t>
      </w:r>
    </w:p>
    <w:p>
      <w:pPr>
        <w:pStyle w:val="2"/>
        <w:widowControl w:val="0"/>
        <w:autoSpaceDE w:val="0"/>
        <w:autoSpaceDN w:val="0"/>
        <w:adjustRightInd w:val="0"/>
        <w:rPr>
          <w:rFonts w:hint="eastAsia" w:ascii="楷体_GB2312" w:hAnsi="Calibri" w:eastAsia="楷体_GB2312" w:cs="楷体_GB2312"/>
          <w:b/>
          <w:bCs/>
          <w:color w:val="auto"/>
          <w:sz w:val="32"/>
          <w:lang w:bidi="ar"/>
        </w:rPr>
      </w:pPr>
      <w:r>
        <w:rPr>
          <w:rFonts w:hint="eastAsia" w:hAnsi="Times New Roman" w:eastAsia="仿宋_GB2312"/>
          <w:color w:val="auto"/>
          <w:sz w:val="32"/>
          <w:lang w:bidi="ar"/>
        </w:rPr>
        <w:t>高端医疗器械领域，大力发展进口替代高值耗材、高性能诊疗设备、分子诊断仪器及试剂、组织再生医用材料等Ⅲ类注册证产品，承接数字化医疗设备等成果落地转化。生物创新药领域，重点面向</w:t>
      </w:r>
      <w:r>
        <w:rPr>
          <w:rFonts w:hAnsi="Times New Roman" w:eastAsia="仿宋_GB2312"/>
          <w:color w:val="auto"/>
          <w:sz w:val="32"/>
          <w:lang w:bidi="ar"/>
        </w:rPr>
        <w:t>肿瘤、</w:t>
      </w:r>
      <w:r>
        <w:rPr>
          <w:rFonts w:hAnsi="Times New Roman" w:eastAsia="仿宋_GB2312"/>
          <w:color w:val="auto"/>
          <w:sz w:val="32"/>
          <w:u w:val="none"/>
          <w:lang w:bidi="ar"/>
        </w:rPr>
        <w:t>心血管疾病</w:t>
      </w:r>
      <w:r>
        <w:rPr>
          <w:rFonts w:hAnsi="Times New Roman" w:eastAsia="仿宋_GB2312"/>
          <w:color w:val="auto"/>
          <w:sz w:val="32"/>
          <w:lang w:bidi="ar"/>
        </w:rPr>
        <w:t>、传染病、</w:t>
      </w:r>
      <w:r>
        <w:rPr>
          <w:rFonts w:hint="eastAsia" w:hAnsi="Times New Roman" w:eastAsia="仿宋_GB2312"/>
          <w:color w:val="auto"/>
          <w:sz w:val="32"/>
          <w:lang w:bidi="ar"/>
        </w:rPr>
        <w:t>眼病、</w:t>
      </w:r>
      <w:r>
        <w:rPr>
          <w:rFonts w:hAnsi="Times New Roman" w:eastAsia="仿宋_GB2312"/>
          <w:color w:val="auto"/>
          <w:sz w:val="32"/>
          <w:u w:val="none"/>
          <w:lang w:bidi="ar"/>
        </w:rPr>
        <w:t>哮喘</w:t>
      </w:r>
      <w:r>
        <w:rPr>
          <w:rFonts w:hAnsi="Times New Roman" w:eastAsia="仿宋_GB2312"/>
          <w:color w:val="auto"/>
          <w:sz w:val="32"/>
          <w:lang w:bidi="ar"/>
        </w:rPr>
        <w:t>、</w:t>
      </w:r>
      <w:r>
        <w:rPr>
          <w:rFonts w:hAnsi="Times New Roman" w:eastAsia="仿宋_GB2312"/>
          <w:color w:val="auto"/>
          <w:sz w:val="32"/>
          <w:u w:val="none"/>
          <w:lang w:bidi="ar"/>
        </w:rPr>
        <w:t>糖尿病</w:t>
      </w:r>
      <w:r>
        <w:rPr>
          <w:rFonts w:hAnsi="Times New Roman" w:eastAsia="仿宋_GB2312"/>
          <w:color w:val="auto"/>
          <w:sz w:val="32"/>
          <w:lang w:bidi="ar"/>
        </w:rPr>
        <w:t>、遗传病、类风湿性关节炎等</w:t>
      </w:r>
      <w:r>
        <w:rPr>
          <w:rFonts w:hint="eastAsia" w:hAnsi="Times New Roman" w:eastAsia="仿宋_GB2312"/>
          <w:color w:val="auto"/>
          <w:sz w:val="32"/>
          <w:lang w:bidi="ar"/>
        </w:rPr>
        <w:t>疾病领域，引入发展</w:t>
      </w:r>
      <w:r>
        <w:rPr>
          <w:rFonts w:hAnsi="Times New Roman" w:eastAsia="仿宋_GB2312"/>
          <w:color w:val="auto"/>
          <w:sz w:val="32"/>
          <w:lang w:bidi="ar"/>
        </w:rPr>
        <w:t>生物标志物和靶向药物</w:t>
      </w:r>
      <w:r>
        <w:rPr>
          <w:rFonts w:hint="eastAsia" w:hAnsi="Times New Roman" w:eastAsia="仿宋_GB2312"/>
          <w:color w:val="auto"/>
          <w:sz w:val="32"/>
          <w:lang w:bidi="ar"/>
        </w:rPr>
        <w:t>，支持创新药研发和首仿药、高端仿制药生产。健康服务领域，围绕新一代基因测序、基因编辑、干细胞治疗、免疫细胞治疗、AI+医疗健康、新型疫苗等前沿诊疗技术，引入一批创新机构与服务型企业，</w:t>
      </w:r>
      <w:r>
        <w:rPr>
          <w:rFonts w:hint="eastAsia" w:hAnsi="宋体" w:eastAsia="仿宋_GB2312"/>
          <w:color w:val="auto"/>
          <w:sz w:val="32"/>
          <w:lang w:bidi="ar"/>
        </w:rPr>
        <w:t>支持</w:t>
      </w:r>
      <w:r>
        <w:rPr>
          <w:rFonts w:hint="eastAsia" w:hAnsi="宋体" w:eastAsia="仿宋_GB2312"/>
          <w:color w:val="auto"/>
          <w:sz w:val="32"/>
        </w:rPr>
        <w:t>外包服务（CXO）等平台型专业第三方机构入驻发展</w:t>
      </w:r>
      <w:r>
        <w:rPr>
          <w:rFonts w:hint="eastAsia" w:hAnsi="宋体" w:eastAsia="仿宋_GB2312"/>
          <w:color w:val="auto"/>
          <w:sz w:val="32"/>
          <w:lang w:bidi="ar"/>
        </w:rPr>
        <w:t>。</w:t>
      </w:r>
    </w:p>
    <w:p>
      <w:pPr>
        <w:spacing w:line="580" w:lineRule="exact"/>
        <w:ind w:firstLine="640" w:firstLineChars="200"/>
        <w:outlineLvl w:val="1"/>
        <w:rPr>
          <w:rFonts w:hint="eastAsia" w:ascii="楷体_GB2312" w:eastAsia="楷体_GB2312" w:cs="楷体_GB2312"/>
          <w:bCs/>
          <w:color w:val="000000"/>
          <w:sz w:val="32"/>
          <w:szCs w:val="32"/>
          <w:lang w:bidi="ar"/>
        </w:rPr>
      </w:pPr>
      <w:r>
        <w:rPr>
          <w:rFonts w:hint="eastAsia" w:ascii="楷体_GB2312" w:eastAsia="楷体_GB2312" w:cs="楷体_GB2312"/>
          <w:bCs/>
          <w:color w:val="000000"/>
          <w:sz w:val="32"/>
          <w:szCs w:val="32"/>
          <w:lang w:bidi="ar"/>
        </w:rPr>
        <w:t>（二）做优做稳四个支柱产业</w:t>
      </w:r>
    </w:p>
    <w:p>
      <w:pPr>
        <w:spacing w:line="580" w:lineRule="exact"/>
        <w:ind w:firstLine="640" w:firstLineChars="200"/>
        <w:rPr>
          <w:rFonts w:ascii="仿宋_GB2312" w:eastAsia="仿宋_GB2312" w:cs="仿宋_GB2312"/>
          <w:color w:val="000000"/>
          <w:sz w:val="32"/>
          <w:szCs w:val="32"/>
          <w:lang w:bidi="ar"/>
        </w:rPr>
      </w:pPr>
      <w:r>
        <w:rPr>
          <w:rFonts w:hint="eastAsia" w:ascii="仿宋_GB2312" w:eastAsia="仿宋_GB2312" w:cs="仿宋_GB2312"/>
          <w:color w:val="000000"/>
          <w:sz w:val="32"/>
          <w:szCs w:val="32"/>
          <w:lang w:bidi="ar"/>
        </w:rPr>
        <w:t>针对装备、电子、汽车、都市等规模以上企业，以稳定存量、延伸链条为重点，支持企业向产业价值链中高端环节迈进，向定制化、智能化、服务化方向转型，发展工业设计、总集成总承包服务、先进制造业平台经济等服务型制造。</w:t>
      </w:r>
    </w:p>
    <w:p>
      <w:pPr>
        <w:spacing w:line="600" w:lineRule="exact"/>
        <w:ind w:firstLine="640" w:firstLineChars="200"/>
        <w:jc w:val="left"/>
        <w:rPr>
          <w:rFonts w:ascii="仿宋_GB2312" w:eastAsia="仿宋_GB2312" w:cs="仿宋_GB2312"/>
          <w:sz w:val="32"/>
          <w:szCs w:val="32"/>
          <w:lang w:bidi="ar"/>
        </w:rPr>
      </w:pPr>
      <w:r>
        <w:rPr>
          <w:rFonts w:hint="eastAsia" w:ascii="仿宋_GB2312" w:eastAsia="仿宋_GB2312" w:cs="仿宋_GB2312"/>
          <w:color w:val="000000"/>
          <w:sz w:val="32"/>
          <w:szCs w:val="32"/>
          <w:lang w:bidi="ar"/>
        </w:rPr>
        <w:t>智能装备领域，巩固保持高空作业、特种导电等专用装备优势，向智能制造服务衍生，培育形成一批特色行业领域整体解决方案提供商。电子信息领域，大力发展磷化铟等高端衬底材料，推动</w:t>
      </w:r>
      <w:r>
        <w:rPr>
          <w:rFonts w:ascii="仿宋_GB2312" w:eastAsia="仿宋_GB2312" w:cs="仿宋_GB2312"/>
          <w:color w:val="000000"/>
          <w:sz w:val="32"/>
          <w:szCs w:val="32"/>
          <w:lang w:bidi="ar"/>
        </w:rPr>
        <w:t>石英舟、</w:t>
      </w:r>
      <w:r>
        <w:rPr>
          <w:rFonts w:hint="eastAsia" w:ascii="仿宋_GB2312" w:eastAsia="仿宋_GB2312" w:cs="仿宋_GB2312"/>
          <w:color w:val="000000"/>
          <w:sz w:val="32"/>
          <w:szCs w:val="32"/>
          <w:lang w:bidi="ar"/>
        </w:rPr>
        <w:t>石英管道</w:t>
      </w:r>
      <w:r>
        <w:rPr>
          <w:rFonts w:ascii="仿宋_GB2312" w:eastAsia="仿宋_GB2312" w:cs="仿宋_GB2312"/>
          <w:color w:val="000000"/>
          <w:sz w:val="32"/>
          <w:szCs w:val="32"/>
          <w:lang w:bidi="ar"/>
        </w:rPr>
        <w:t>、</w:t>
      </w:r>
      <w:r>
        <w:rPr>
          <w:rFonts w:hint="eastAsia" w:ascii="仿宋_GB2312" w:eastAsia="仿宋_GB2312" w:cs="仿宋_GB2312"/>
          <w:color w:val="000000"/>
          <w:sz w:val="32"/>
          <w:szCs w:val="32"/>
          <w:lang w:bidi="ar"/>
        </w:rPr>
        <w:t>石英仪器等石英制品向</w:t>
      </w:r>
      <w:r>
        <w:rPr>
          <w:rFonts w:ascii="仿宋_GB2312" w:eastAsia="仿宋_GB2312" w:cs="仿宋_GB2312"/>
          <w:color w:val="000000"/>
          <w:sz w:val="32"/>
          <w:szCs w:val="32"/>
          <w:lang w:bidi="ar"/>
        </w:rPr>
        <w:t>8英寸、12英寸</w:t>
      </w:r>
      <w:r>
        <w:rPr>
          <w:rFonts w:hint="eastAsia" w:ascii="仿宋_GB2312" w:eastAsia="仿宋_GB2312" w:cs="仿宋_GB2312"/>
          <w:color w:val="000000"/>
          <w:sz w:val="32"/>
          <w:szCs w:val="32"/>
          <w:lang w:bidi="ar"/>
        </w:rPr>
        <w:t>高端发展，重点引入大尺寸硅片、高性能光刻胶、靶材、电子封装等关键材料研发、产业化项目，延伸发展集成电路设计产业。新能源智能汽车领域，推动汽车传统零部件企业强化研发创新，大力发展新一代分动器、</w:t>
      </w:r>
      <w:r>
        <w:rPr>
          <w:rFonts w:ascii="仿宋_GB2312" w:eastAsia="仿宋_GB2312" w:cs="仿宋_GB2312"/>
          <w:color w:val="000000"/>
          <w:sz w:val="32"/>
          <w:szCs w:val="32"/>
          <w:lang w:bidi="ar"/>
        </w:rPr>
        <w:t>电磁式</w:t>
      </w:r>
      <w:r>
        <w:rPr>
          <w:rFonts w:hint="eastAsia" w:ascii="仿宋_GB2312" w:eastAsia="仿宋_GB2312" w:cs="仿宋_GB2312"/>
          <w:color w:val="000000"/>
          <w:sz w:val="32"/>
          <w:szCs w:val="32"/>
          <w:lang w:bidi="ar"/>
        </w:rPr>
        <w:t>智能扭矩管理器等控制器系统，不断引进和开发新产品新技术，布局发展面向新能源智能汽车的新器件、新部件。绿色都市领域，支持食品、家居等行业企业提升城市基础保障能力，提升品牌认知度、品种丰富度，通过品牌授权、委托生产等方式扩大规模，重点布局投资、研发、展示、</w:t>
      </w:r>
      <w:r>
        <w:rPr>
          <w:rFonts w:hint="eastAsia" w:ascii="仿宋_GB2312" w:eastAsia="仿宋_GB2312"/>
          <w:sz w:val="32"/>
          <w:szCs w:val="32"/>
          <w:lang w:bidi="ar"/>
        </w:rPr>
        <w:t>营销、结算</w:t>
      </w:r>
      <w:r>
        <w:rPr>
          <w:rFonts w:hint="eastAsia" w:ascii="仿宋_GB2312" w:eastAsia="仿宋_GB2312" w:cs="仿宋_GB2312"/>
          <w:sz w:val="32"/>
          <w:szCs w:val="32"/>
          <w:lang w:bidi="ar"/>
        </w:rPr>
        <w:t>等功能</w:t>
      </w:r>
      <w:r>
        <w:rPr>
          <w:rFonts w:hint="eastAsia" w:ascii="仿宋_GB2312" w:eastAsia="仿宋_GB2312"/>
          <w:sz w:val="32"/>
          <w:szCs w:val="32"/>
          <w:lang w:bidi="ar"/>
        </w:rPr>
        <w:t>中心</w:t>
      </w:r>
      <w:r>
        <w:rPr>
          <w:rFonts w:hint="eastAsia" w:ascii="仿宋_GB2312" w:eastAsia="仿宋_GB2312" w:cs="仿宋_GB2312"/>
          <w:sz w:val="32"/>
          <w:szCs w:val="32"/>
          <w:lang w:bidi="ar"/>
        </w:rPr>
        <w:t>。</w:t>
      </w:r>
    </w:p>
    <w:p>
      <w:pPr>
        <w:spacing w:line="600" w:lineRule="exact"/>
        <w:ind w:firstLine="640" w:firstLineChars="200"/>
        <w:outlineLvl w:val="1"/>
        <w:rPr>
          <w:rFonts w:ascii="楷体_GB2312" w:eastAsia="楷体_GB2312" w:cs="楷体_GB2312"/>
          <w:bCs/>
          <w:color w:val="000000"/>
          <w:sz w:val="32"/>
          <w:szCs w:val="32"/>
        </w:rPr>
      </w:pPr>
      <w:r>
        <w:rPr>
          <w:rFonts w:hint="eastAsia" w:ascii="楷体_GB2312" w:eastAsia="楷体_GB2312" w:cs="楷体_GB2312"/>
          <w:bCs/>
          <w:color w:val="000000"/>
          <w:sz w:val="32"/>
          <w:szCs w:val="32"/>
          <w:lang w:bidi="ar"/>
        </w:rPr>
        <w:t>（三）培育布局前沿新兴产业</w:t>
      </w:r>
    </w:p>
    <w:p>
      <w:pPr>
        <w:spacing w:line="600" w:lineRule="exact"/>
        <w:ind w:firstLine="640" w:firstLineChars="200"/>
        <w:rPr>
          <w:rFonts w:hint="eastAsia" w:ascii="仿宋_GB2312" w:eastAsia="仿宋_GB2312" w:cs="仿宋_GB2312"/>
          <w:color w:val="000000"/>
          <w:sz w:val="32"/>
          <w:szCs w:val="32"/>
          <w:lang w:bidi="ar"/>
        </w:rPr>
      </w:pPr>
      <w:r>
        <w:rPr>
          <w:rFonts w:hint="eastAsia" w:ascii="仿宋_GB2312" w:eastAsia="仿宋_GB2312" w:cs="仿宋_GB2312"/>
          <w:color w:val="000000"/>
          <w:sz w:val="32"/>
          <w:szCs w:val="32"/>
          <w:lang w:bidi="ar"/>
        </w:rPr>
        <w:t>强化科技创新引领，围绕交叉学科重点突破的新领域，以绿色低碳科技、新一代数字科技和融合新业态为方向，承接创新成果落地转化，培育新兴产业。绿色低碳方向，聚焦低碳零碳能源开发、输送与消费全链</w:t>
      </w:r>
      <w:r>
        <w:rPr>
          <w:rFonts w:hint="eastAsia" w:ascii="仿宋_GB2312" w:eastAsia="仿宋_GB2312" w:cs="仿宋_GB2312"/>
          <w:sz w:val="32"/>
          <w:szCs w:val="32"/>
          <w:lang w:bidi="ar"/>
        </w:rPr>
        <w:t>条和生态环境改善要求，重点布局储能产业，面向电化学储能、空气储能、飞轮储能等技术领域，布局发展储能电池、储能变流器、能源路由器、能量控制系统等关键核心设备，培育发展储能系统集成、运维服务和</w:t>
      </w:r>
      <w:r>
        <w:rPr>
          <w:rFonts w:hint="eastAsia" w:ascii="仿宋_GB2312" w:eastAsia="仿宋_GB2312" w:cs="仿宋_GB2312"/>
          <w:color w:val="000000"/>
          <w:sz w:val="32"/>
          <w:szCs w:val="32"/>
          <w:lang w:bidi="ar"/>
        </w:rPr>
        <w:t>能源互联网等产业</w:t>
      </w:r>
      <w:r>
        <w:rPr>
          <w:rFonts w:hint="eastAsia" w:ascii="仿宋_GB2312" w:eastAsia="仿宋_GB2312" w:cs="仿宋_GB2312"/>
          <w:sz w:val="32"/>
          <w:szCs w:val="32"/>
          <w:lang w:bidi="ar"/>
        </w:rPr>
        <w:t>。新一代数字科技方向，主攻特色智能装备，围绕城市建设、公共服务、交通物流等领域引入</w:t>
      </w:r>
      <w:r>
        <w:rPr>
          <w:rFonts w:hint="eastAsia" w:ascii="仿宋_GB2312" w:eastAsia="仿宋_GB2312" w:cs="仿宋_GB2312"/>
          <w:color w:val="auto"/>
          <w:sz w:val="32"/>
          <w:szCs w:val="32"/>
          <w:u w:val="none"/>
          <w:lang w:bidi="ar"/>
        </w:rPr>
        <w:t>智能建筑机器人</w:t>
      </w:r>
      <w:r>
        <w:rPr>
          <w:rFonts w:hint="eastAsia" w:ascii="仿宋_GB2312" w:eastAsia="仿宋_GB2312" w:cs="仿宋_GB2312"/>
          <w:sz w:val="32"/>
          <w:szCs w:val="32"/>
          <w:lang w:bidi="ar"/>
        </w:rPr>
        <w:t>、医疗健康机器人、智能物流机器人、水下机器人等企业落地研制，发展元宇宙场景的AR、VR、XR等新型可穿戴人机交互产品和面向物联网、智慧城市、数字社会等各领域的新型智能终端产品。交叉融合方向，积极引入基因编辑、菌株改造等底层技术研究机构，面向固废资源化利用、医美、医药、特医食品、材料等领域，发展合成生物</w:t>
      </w:r>
      <w:r>
        <w:rPr>
          <w:rFonts w:hint="eastAsia" w:ascii="仿宋_GB2312" w:eastAsia="仿宋_GB2312" w:cs="仿宋_GB2312"/>
          <w:color w:val="000000"/>
          <w:sz w:val="32"/>
          <w:szCs w:val="32"/>
          <w:lang w:bidi="ar"/>
        </w:rPr>
        <w:t>产品。</w:t>
      </w:r>
    </w:p>
    <w:p>
      <w:pPr>
        <w:numPr>
          <w:ilvl w:val="0"/>
          <w:numId w:val="0"/>
        </w:numPr>
        <w:spacing w:line="600" w:lineRule="exact"/>
        <w:ind w:firstLine="640" w:firstLineChars="200"/>
        <w:outlineLvl w:val="0"/>
        <w:rPr>
          <w:rFonts w:ascii="黑体" w:hAnsi="黑体" w:eastAsia="黑体" w:cs="黑体"/>
          <w:sz w:val="32"/>
          <w:szCs w:val="40"/>
        </w:rPr>
      </w:pPr>
      <w:bookmarkStart w:id="1" w:name="_Toc7207"/>
      <w:r>
        <w:rPr>
          <w:rFonts w:hint="eastAsia" w:ascii="黑体" w:hAnsi="黑体" w:eastAsia="黑体" w:cs="黑体"/>
          <w:sz w:val="32"/>
          <w:szCs w:val="40"/>
        </w:rPr>
        <w:t>三、打造“</w:t>
      </w:r>
      <w:r>
        <w:rPr>
          <w:rFonts w:hint="eastAsia" w:ascii="黑体" w:hAnsi="黑体" w:eastAsia="黑体" w:cs="仿宋_GB2312"/>
          <w:bCs/>
          <w:sz w:val="32"/>
          <w:szCs w:val="32"/>
        </w:rPr>
        <w:t>一极两地五镇”</w:t>
      </w:r>
      <w:r>
        <w:rPr>
          <w:rFonts w:hint="eastAsia" w:ascii="黑体" w:hAnsi="黑体" w:eastAsia="黑体" w:cs="仿宋_GB2312"/>
          <w:sz w:val="32"/>
          <w:szCs w:val="32"/>
        </w:rPr>
        <w:t>产业</w:t>
      </w:r>
      <w:r>
        <w:rPr>
          <w:rFonts w:hint="eastAsia" w:ascii="黑体" w:hAnsi="黑体" w:eastAsia="黑体" w:cs="黑体"/>
          <w:sz w:val="32"/>
          <w:szCs w:val="40"/>
        </w:rPr>
        <w:t>布局</w:t>
      </w:r>
      <w:bookmarkEnd w:id="1"/>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以</w:t>
      </w:r>
      <w:r>
        <w:rPr>
          <w:rFonts w:hint="eastAsia" w:ascii="仿宋_GB2312" w:eastAsia="仿宋_GB2312"/>
          <w:sz w:val="32"/>
          <w:szCs w:val="32"/>
        </w:rPr>
        <w:t>中关村通州园</w:t>
      </w:r>
      <w:r>
        <w:rPr>
          <w:rFonts w:ascii="仿宋_GB2312" w:hAnsi="仿宋_GB2312" w:eastAsia="仿宋_GB2312" w:cs="仿宋_GB2312"/>
          <w:sz w:val="32"/>
          <w:szCs w:val="32"/>
        </w:rPr>
        <w:t>为</w:t>
      </w:r>
      <w:r>
        <w:rPr>
          <w:rFonts w:hint="eastAsia" w:ascii="仿宋_GB2312" w:hAnsi="仿宋_GB2312" w:eastAsia="仿宋_GB2312" w:cs="仿宋_GB2312"/>
          <w:sz w:val="32"/>
          <w:szCs w:val="32"/>
        </w:rPr>
        <w:t>主要承载地，强化全区一盘棋统筹，</w:t>
      </w:r>
      <w:r>
        <w:rPr>
          <w:rFonts w:hint="eastAsia" w:ascii="仿宋_GB2312" w:hAnsi="仿宋_GB2312" w:eastAsia="仿宋_GB2312" w:cs="仿宋_GB2312"/>
          <w:sz w:val="32"/>
          <w:szCs w:val="32"/>
          <w:lang w:bidi="ar"/>
        </w:rPr>
        <w:t>加强与北三县一体化联动，</w:t>
      </w:r>
      <w:r>
        <w:rPr>
          <w:rFonts w:hint="eastAsia" w:ascii="仿宋_GB2312" w:hAnsi="仿宋_GB2312" w:eastAsia="仿宋_GB2312" w:cs="仿宋_GB2312"/>
          <w:sz w:val="32"/>
          <w:szCs w:val="32"/>
        </w:rPr>
        <w:t>突出台马地区战略带动，挖掘整合闲置低效产业空间，遵循</w:t>
      </w:r>
      <w:r>
        <w:rPr>
          <w:rFonts w:ascii="仿宋_GB2312" w:hAnsi="仿宋_GB2312" w:eastAsia="仿宋_GB2312" w:cs="仿宋_GB2312"/>
          <w:sz w:val="32"/>
          <w:szCs w:val="32"/>
        </w:rPr>
        <w:t>特色集聚</w:t>
      </w:r>
      <w:r>
        <w:rPr>
          <w:rFonts w:hint="eastAsia" w:ascii="仿宋_GB2312" w:hAnsi="仿宋_GB2312" w:eastAsia="仿宋_GB2312" w:cs="仿宋_GB2312"/>
          <w:sz w:val="32"/>
          <w:szCs w:val="32"/>
        </w:rPr>
        <w:t>、同业集群</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打造“一极两地五镇”的先进制造业空间布局。</w:t>
      </w:r>
    </w:p>
    <w:p>
      <w:pPr>
        <w:numPr>
          <w:ilvl w:val="0"/>
          <w:numId w:val="0"/>
        </w:numPr>
        <w:spacing w:line="600" w:lineRule="exact"/>
        <w:ind w:firstLine="640" w:firstLineChars="200"/>
        <w:outlineLvl w:val="1"/>
        <w:rPr>
          <w:rFonts w:ascii="楷体_GB2312" w:eastAsia="楷体_GB2312" w:cs="楷体_GB2312"/>
          <w:color w:val="000000"/>
          <w:sz w:val="32"/>
          <w:szCs w:val="32"/>
          <w:lang w:bidi="ar"/>
        </w:rPr>
      </w:pPr>
      <w:r>
        <w:rPr>
          <w:rFonts w:hint="eastAsia" w:ascii="楷体_GB2312" w:eastAsia="楷体_GB2312" w:cs="楷体_GB2312"/>
          <w:bCs/>
          <w:color w:val="000000"/>
          <w:sz w:val="32"/>
          <w:szCs w:val="32"/>
          <w:lang w:bidi="ar"/>
        </w:rPr>
        <w:t>（一）联动打造台马战略增长极</w:t>
      </w:r>
    </w:p>
    <w:p>
      <w:pPr>
        <w:numPr>
          <w:ilvl w:val="0"/>
          <w:numId w:val="0"/>
        </w:num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把台马板块作为发展先进制造业的重点区域，主动对接融入北京经济技术开发区，加快推动园区转型升级与资源整合，重点布局集成电路产业集群，打造数字经济增长引擎。通过创新资源外溢、链条协同布局，带动其他地区发展数字经济相关的核心器件、智能装备等产业。</w:t>
      </w:r>
    </w:p>
    <w:p>
      <w:pPr>
        <w:numPr>
          <w:ilvl w:val="0"/>
          <w:numId w:val="0"/>
        </w:numPr>
        <w:spacing w:line="600" w:lineRule="exact"/>
        <w:ind w:firstLine="640" w:firstLineChars="200"/>
        <w:outlineLvl w:val="1"/>
        <w:rPr>
          <w:rFonts w:hint="eastAsia" w:ascii="楷体_GB2312" w:eastAsia="楷体_GB2312" w:cs="楷体_GB2312"/>
          <w:bCs/>
          <w:sz w:val="32"/>
          <w:szCs w:val="32"/>
          <w:lang w:bidi="ar"/>
        </w:rPr>
      </w:pPr>
      <w:r>
        <w:rPr>
          <w:rFonts w:hint="eastAsia" w:ascii="楷体_GB2312" w:eastAsia="楷体_GB2312" w:cs="楷体_GB2312"/>
          <w:bCs/>
          <w:sz w:val="32"/>
          <w:szCs w:val="32"/>
          <w:lang w:bidi="ar"/>
        </w:rPr>
        <w:t>（二）着力建设两个服务型智造基地</w:t>
      </w:r>
    </w:p>
    <w:p>
      <w:pPr>
        <w:spacing w:line="600" w:lineRule="exact"/>
        <w:ind w:firstLine="640" w:firstLineChars="200"/>
        <w:rPr>
          <w:rFonts w:hint="eastAsia"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rPr>
        <w:t>以张家湾设计小镇、运河商务区为龙头，加快服务业态导入培育，深入推动现代服务业和先进制造业深度融合，促进相互转化、衍生、赋能，培育新模式新业态。运河商务区，主要承接中心城区制造企业总部、生产性服务功能转移，打造先进制造业企业总部基地。张家湾设计小镇，发展设计牵引的服务型制造，面向新能源装备设计、元宇宙硬件设计等工业设计</w:t>
      </w:r>
      <w:r>
        <w:rPr>
          <w:rFonts w:hint="eastAsia" w:ascii="仿宋_GB2312" w:hAnsi="仿宋_GB2312" w:eastAsia="仿宋_GB2312" w:cs="仿宋_GB2312"/>
          <w:color w:val="000000"/>
          <w:sz w:val="32"/>
          <w:szCs w:val="32"/>
          <w:lang w:bidi="ar"/>
        </w:rPr>
        <w:t>领域，承接落地一批国内外领军企业、品牌机构与创业团队，支持存量制造业企业向工业设计升级，成为新智造产品研制与设计基地。</w:t>
      </w:r>
    </w:p>
    <w:p>
      <w:pPr>
        <w:numPr>
          <w:ilvl w:val="0"/>
          <w:numId w:val="0"/>
        </w:numPr>
        <w:spacing w:line="600" w:lineRule="exact"/>
        <w:ind w:firstLine="640" w:firstLineChars="200"/>
        <w:outlineLvl w:val="1"/>
        <w:rPr>
          <w:rFonts w:ascii="楷体_GB2312" w:eastAsia="楷体_GB2312" w:cs="楷体_GB2312"/>
          <w:bCs/>
          <w:color w:val="000000"/>
          <w:sz w:val="32"/>
          <w:szCs w:val="32"/>
          <w:lang w:bidi="ar"/>
        </w:rPr>
      </w:pPr>
      <w:r>
        <w:rPr>
          <w:rFonts w:hint="eastAsia" w:ascii="楷体_GB2312" w:eastAsia="楷体_GB2312" w:cs="楷体_GB2312"/>
          <w:bCs/>
          <w:sz w:val="32"/>
          <w:szCs w:val="32"/>
          <w:lang w:bidi="ar"/>
        </w:rPr>
        <w:t>（三）</w:t>
      </w:r>
      <w:r>
        <w:rPr>
          <w:rFonts w:hint="eastAsia" w:ascii="楷体_GB2312" w:eastAsia="楷体_GB2312" w:cs="楷体_GB2312"/>
          <w:bCs/>
          <w:color w:val="000000"/>
          <w:sz w:val="32"/>
          <w:szCs w:val="32"/>
          <w:lang w:bidi="ar"/>
        </w:rPr>
        <w:t>集群化提升五个产业城镇</w:t>
      </w:r>
    </w:p>
    <w:p>
      <w:pPr>
        <w:numPr>
          <w:ilvl w:val="0"/>
          <w:numId w:val="0"/>
        </w:numPr>
        <w:spacing w:line="600" w:lineRule="exact"/>
        <w:ind w:firstLine="640" w:firstLineChars="200"/>
        <w:rPr>
          <w:rFonts w:eastAsia="仿宋_GB2312" w:cs="仿宋_GB2312"/>
          <w:color w:val="000000"/>
          <w:sz w:val="32"/>
          <w:shd w:val="clear" w:color="auto" w:fill="FFFFFF"/>
        </w:rPr>
      </w:pPr>
      <w:r>
        <w:rPr>
          <w:rFonts w:hint="eastAsia" w:ascii="仿宋_GB2312" w:hAnsi="仿宋_GB2312" w:eastAsia="仿宋_GB2312" w:cs="仿宋_GB2312"/>
          <w:color w:val="000000"/>
          <w:sz w:val="32"/>
          <w:szCs w:val="32"/>
        </w:rPr>
        <w:t>突出产城融合、园镇联动，推动产业园区与各镇融合发展，打造多个特色产业集群。西集依托国家网络安全产业园，重点布局网络安全装备、元宇宙硬件等高端装备，依托存量基础发展新能源智能汽车、医药健康等产业。</w:t>
      </w:r>
      <w:r>
        <w:rPr>
          <w:rFonts w:hint="eastAsia" w:ascii="宋体" w:hAnsi="宋体" w:cs="仿宋_GB2312"/>
          <w:color w:val="000000"/>
          <w:sz w:val="32"/>
          <w:szCs w:val="32"/>
        </w:rPr>
        <w:t>漷</w:t>
      </w:r>
      <w:r>
        <w:rPr>
          <w:rFonts w:hint="eastAsia" w:ascii="仿宋_GB2312" w:hAnsi="仿宋_GB2312" w:eastAsia="仿宋_GB2312" w:cs="仿宋_GB2312"/>
          <w:color w:val="000000"/>
          <w:sz w:val="32"/>
          <w:szCs w:val="32"/>
        </w:rPr>
        <w:t>县重点打造医药健康产业集聚区，聚焦发展高端医疗器械、创新药物研制等特色产业。永乐店依托永乐开发区，重点发展新材料、机器人等特色智能装备。于家务依托聚富苑产业园、国际种业园区，重点承接发展绿色低碳产业、储能产品、智慧农业装备等。潞城重点发展现代休闲食品等绿色都市产业、新能源智能汽车产业，打造绿</w:t>
      </w:r>
      <w:r>
        <w:rPr>
          <w:rFonts w:hint="eastAsia" w:ascii="仿宋_GB2312" w:hAnsi="仿宋_GB2312" w:eastAsia="仿宋_GB2312" w:cs="仿宋_GB2312"/>
          <w:color w:val="000000"/>
          <w:sz w:val="32"/>
          <w:szCs w:val="32"/>
          <w:lang w:bidi="ar"/>
        </w:rPr>
        <w:t>色产业发展集聚区。</w:t>
      </w:r>
    </w:p>
    <w:p>
      <w:pPr>
        <w:numPr>
          <w:ilvl w:val="0"/>
          <w:numId w:val="0"/>
        </w:numPr>
        <w:spacing w:line="600" w:lineRule="exact"/>
        <w:ind w:firstLine="640" w:firstLineChars="200"/>
        <w:outlineLvl w:val="1"/>
        <w:rPr>
          <w:rFonts w:ascii="楷体_GB2312" w:eastAsia="楷体_GB2312" w:cs="楷体_GB2312"/>
          <w:bCs/>
          <w:sz w:val="32"/>
          <w:szCs w:val="32"/>
          <w:lang w:bidi="ar"/>
        </w:rPr>
      </w:pPr>
      <w:r>
        <w:rPr>
          <w:rFonts w:hint="eastAsia" w:ascii="楷体_GB2312" w:eastAsia="楷体_GB2312" w:cs="楷体_GB2312"/>
          <w:bCs/>
          <w:sz w:val="32"/>
          <w:szCs w:val="32"/>
          <w:lang w:bidi="ar"/>
        </w:rPr>
        <w:t>（四）强化与北三县的联动布局</w:t>
      </w:r>
    </w:p>
    <w:p>
      <w:pPr>
        <w:numPr>
          <w:ilvl w:val="0"/>
          <w:numId w:val="0"/>
        </w:numPr>
        <w:spacing w:line="600" w:lineRule="exact"/>
        <w:ind w:firstLine="640" w:firstLineChars="200"/>
        <w:rPr>
          <w:rFonts w:eastAsia="仿宋_GB2312" w:cs="仿宋_GB2312"/>
          <w:color w:val="000000"/>
          <w:sz w:val="32"/>
          <w:shd w:val="clear" w:color="auto" w:fill="FFFFFF"/>
        </w:rPr>
      </w:pPr>
      <w:r>
        <w:rPr>
          <w:rFonts w:hint="eastAsia" w:eastAsia="仿宋_GB2312"/>
          <w:color w:val="000000"/>
          <w:sz w:val="32"/>
          <w:szCs w:val="32"/>
        </w:rPr>
        <w:t>围绕先进制造产业生态，以共建、共享、共赢的思路推进副中心与北三县一体化布局。</w:t>
      </w:r>
      <w:r>
        <w:rPr>
          <w:rFonts w:hint="eastAsia" w:eastAsia="仿宋_GB2312" w:cs="仿宋_GB2312"/>
          <w:color w:val="000000"/>
          <w:sz w:val="32"/>
          <w:shd w:val="clear" w:color="auto" w:fill="FFFFFF"/>
        </w:rPr>
        <w:t>围绕先进制造领域共性需求，支持企业与北三县共建产业园区和共性技术平台。建立与北三县差异化产业禁限措施，联合北三县开展形式多样的项目推介，引导头部企业在三河经济开发区、香河机器人小镇、</w:t>
      </w:r>
      <w:r>
        <w:rPr>
          <w:rFonts w:hint="eastAsia" w:eastAsia="仿宋_GB2312" w:cs="仿宋_GB2312"/>
          <w:color w:val="000000"/>
          <w:sz w:val="32"/>
          <w:u w:val="none"/>
          <w:shd w:val="clear" w:color="auto" w:fill="FFFFFF"/>
        </w:rPr>
        <w:t>大厂工业园区</w:t>
      </w:r>
      <w:r>
        <w:rPr>
          <w:rFonts w:hint="eastAsia" w:eastAsia="仿宋_GB2312" w:cs="仿宋_GB2312"/>
          <w:color w:val="000000"/>
          <w:sz w:val="32"/>
          <w:shd w:val="clear" w:color="auto" w:fill="FFFFFF"/>
        </w:rPr>
        <w:t>等北三县特色产业园布局产业链上下游配套企业。</w:t>
      </w:r>
    </w:p>
    <w:p>
      <w:pPr>
        <w:numPr>
          <w:ilvl w:val="0"/>
          <w:numId w:val="0"/>
        </w:numPr>
        <w:spacing w:line="600" w:lineRule="exact"/>
        <w:ind w:firstLine="640" w:firstLineChars="200"/>
        <w:outlineLvl w:val="0"/>
        <w:rPr>
          <w:rFonts w:ascii="黑体" w:hAnsi="黑体" w:eastAsia="黑体" w:cs="黑体"/>
          <w:color w:val="000000"/>
          <w:sz w:val="32"/>
          <w:szCs w:val="40"/>
        </w:rPr>
      </w:pPr>
      <w:bookmarkStart w:id="2" w:name="_Toc16713"/>
      <w:bookmarkStart w:id="3" w:name="_Toc15084"/>
      <w:bookmarkStart w:id="4" w:name="_Toc13282"/>
      <w:bookmarkStart w:id="5" w:name="_Toc29572"/>
      <w:bookmarkStart w:id="6" w:name="_Toc15394"/>
      <w:bookmarkStart w:id="7" w:name="_Toc14818"/>
      <w:bookmarkStart w:id="8" w:name="_Toc26418"/>
      <w:bookmarkStart w:id="9" w:name="_Toc31131"/>
      <w:r>
        <w:rPr>
          <w:rFonts w:hint="eastAsia" w:ascii="黑体" w:hAnsi="黑体" w:eastAsia="黑体" w:cs="黑体"/>
          <w:color w:val="000000"/>
          <w:sz w:val="32"/>
          <w:szCs w:val="40"/>
        </w:rPr>
        <w:t>四、</w:t>
      </w:r>
      <w:bookmarkEnd w:id="2"/>
      <w:bookmarkEnd w:id="3"/>
      <w:bookmarkEnd w:id="4"/>
      <w:bookmarkEnd w:id="5"/>
      <w:bookmarkEnd w:id="6"/>
      <w:bookmarkEnd w:id="7"/>
      <w:bookmarkEnd w:id="8"/>
      <w:r>
        <w:rPr>
          <w:rFonts w:hint="eastAsia" w:ascii="黑体" w:hAnsi="黑体" w:eastAsia="黑体" w:cs="黑体"/>
          <w:color w:val="000000"/>
          <w:sz w:val="32"/>
          <w:szCs w:val="40"/>
        </w:rPr>
        <w:t>实施“蝶变登峰筑巢引凤”四大工程</w:t>
      </w:r>
      <w:bookmarkEnd w:id="9"/>
    </w:p>
    <w:p>
      <w:pPr>
        <w:pStyle w:val="2"/>
        <w:widowControl w:val="0"/>
        <w:spacing w:line="600" w:lineRule="exact"/>
        <w:outlineLvl w:val="1"/>
        <w:rPr>
          <w:color w:val="auto"/>
        </w:rPr>
      </w:pPr>
      <w:r>
        <w:rPr>
          <w:rFonts w:hint="eastAsia" w:ascii="楷体_GB2312" w:hAnsi="楷体_GB2312" w:eastAsia="楷体_GB2312" w:cs="楷体_GB2312"/>
          <w:bCs/>
          <w:color w:val="auto"/>
          <w:sz w:val="32"/>
          <w:szCs w:val="40"/>
        </w:rPr>
        <w:t>（一）提升存量企业能级，实施蝶变工程</w:t>
      </w:r>
    </w:p>
    <w:p>
      <w:pPr>
        <w:pStyle w:val="24"/>
        <w:spacing w:line="600" w:lineRule="exact"/>
        <w:ind w:firstLine="640" w:firstLineChars="200"/>
        <w:outlineLvl w:val="2"/>
        <w:rPr>
          <w:rFonts w:eastAsia="仿宋_GB2312"/>
          <w:sz w:val="32"/>
          <w:lang w:bidi="ar"/>
        </w:rPr>
      </w:pPr>
      <w:r>
        <w:rPr>
          <w:rFonts w:hint="eastAsia" w:eastAsia="仿宋_GB2312" w:cs="仿宋_GB2312"/>
          <w:sz w:val="32"/>
          <w:szCs w:val="32"/>
        </w:rPr>
        <w:t>1.优先支持企业扩产上新。聚焦已形成市场优势、产品优势的企业扩产需求，</w:t>
      </w:r>
      <w:r>
        <w:rPr>
          <w:rFonts w:hint="eastAsia" w:eastAsia="仿宋_GB2312" w:cs="仿宋_GB2312"/>
          <w:kern w:val="2"/>
          <w:sz w:val="32"/>
          <w:szCs w:val="32"/>
        </w:rPr>
        <w:t>有序推进甘李药业、天海</w:t>
      </w:r>
      <w:r>
        <w:rPr>
          <w:rFonts w:hint="eastAsia" w:eastAsia="仿宋_GB2312" w:cs="仿宋_GB2312"/>
          <w:sz w:val="32"/>
          <w:szCs w:val="32"/>
        </w:rPr>
        <w:t>氢能等重点扩产项目落地，增强胰岛素、人工关节、高空作业设备、储氢瓶等一批</w:t>
      </w:r>
      <w:r>
        <w:rPr>
          <w:rFonts w:hint="eastAsia" w:eastAsia="仿宋_GB2312" w:cs="仿宋_GB2312"/>
          <w:sz w:val="32"/>
          <w:szCs w:val="32"/>
          <w:lang w:bidi="ar"/>
        </w:rPr>
        <w:t>高技术、高价值产品供给能力。</w:t>
      </w:r>
      <w:r>
        <w:rPr>
          <w:rFonts w:hint="eastAsia" w:eastAsia="仿宋_GB2312" w:cs="仿宋_GB2312"/>
          <w:sz w:val="32"/>
          <w:szCs w:val="32"/>
        </w:rPr>
        <w:t>综合企业产品类型、扩产规模、项目周期、用地需求等多种因素，优先支</w:t>
      </w:r>
      <w:r>
        <w:rPr>
          <w:rFonts w:ascii="微软雅黑" w:hAnsi="微软雅黑" w:eastAsia="仿宋_GB2312" w:cs="仿宋_GB2312"/>
          <w:spacing w:val="10"/>
          <w:sz w:val="32"/>
          <w:szCs w:val="32"/>
          <w:shd w:val="clear" w:color="auto" w:fill="FFFFFF"/>
        </w:rPr>
        <w:t>持企业原地增资、零地增容。建立扩产</w:t>
      </w:r>
      <w:r>
        <w:rPr>
          <w:rFonts w:hint="eastAsia" w:eastAsia="仿宋_GB2312" w:cs="仿宋_GB2312"/>
          <w:sz w:val="32"/>
          <w:szCs w:val="32"/>
        </w:rPr>
        <w:t>上新</w:t>
      </w:r>
      <w:r>
        <w:rPr>
          <w:rFonts w:ascii="微软雅黑" w:hAnsi="微软雅黑" w:eastAsia="仿宋_GB2312" w:cs="仿宋_GB2312"/>
          <w:spacing w:val="10"/>
          <w:sz w:val="32"/>
          <w:szCs w:val="32"/>
          <w:shd w:val="clear" w:color="auto" w:fill="FFFFFF"/>
          <w:lang w:bidi="ar"/>
        </w:rPr>
        <w:t>直通车</w:t>
      </w:r>
      <w:r>
        <w:rPr>
          <w:rFonts w:ascii="微软雅黑" w:hAnsi="微软雅黑" w:eastAsia="仿宋_GB2312" w:cs="仿宋_GB2312"/>
          <w:spacing w:val="10"/>
          <w:sz w:val="32"/>
          <w:szCs w:val="32"/>
          <w:shd w:val="clear" w:color="auto" w:fill="FFFFFF"/>
        </w:rPr>
        <w:t>服务机制，为企业提供领导挂点、联合会诊、审批代办等服务</w:t>
      </w:r>
      <w:r>
        <w:rPr>
          <w:rFonts w:hint="eastAsia" w:eastAsia="仿宋_GB2312" w:cs="仿宋_GB2312"/>
          <w:sz w:val="32"/>
          <w:szCs w:val="32"/>
        </w:rPr>
        <w:t>，加快扩产项目实施进度</w:t>
      </w:r>
      <w:r>
        <w:rPr>
          <w:rFonts w:ascii="微软雅黑" w:hAnsi="微软雅黑" w:eastAsia="仿宋_GB2312" w:cs="仿宋_GB2312"/>
          <w:spacing w:val="10"/>
          <w:sz w:val="32"/>
          <w:szCs w:val="32"/>
          <w:shd w:val="clear" w:color="auto" w:fill="FFFFFF"/>
        </w:rPr>
        <w:t>。</w:t>
      </w:r>
    </w:p>
    <w:p>
      <w:pPr>
        <w:pStyle w:val="24"/>
        <w:spacing w:line="600" w:lineRule="exact"/>
        <w:ind w:firstLine="640" w:firstLineChars="200"/>
        <w:jc w:val="both"/>
        <w:outlineLvl w:val="2"/>
        <w:rPr>
          <w:rFonts w:eastAsia="仿宋_GB2312"/>
          <w:sz w:val="32"/>
          <w:shd w:val="clear" w:color="auto" w:fill="FFFFFF"/>
          <w:lang w:bidi="ar"/>
        </w:rPr>
      </w:pPr>
      <w:r>
        <w:rPr>
          <w:rFonts w:hint="eastAsia" w:ascii="仿宋_GB2312" w:eastAsia="仿宋_GB2312"/>
          <w:sz w:val="32"/>
          <w:shd w:val="clear" w:color="auto" w:fill="FFFFFF"/>
          <w:lang w:bidi="ar"/>
        </w:rPr>
        <w:t>2.</w:t>
      </w:r>
      <w:r>
        <w:rPr>
          <w:rFonts w:hint="eastAsia" w:eastAsia="仿宋_GB2312"/>
          <w:sz w:val="32"/>
          <w:shd w:val="clear" w:color="auto" w:fill="FFFFFF"/>
          <w:lang w:bidi="ar"/>
        </w:rPr>
        <w:t>引导企业加强技改创新。出台了年度《通州区高精尖产业发展资金管理办法（试行）实施细则》，支持企业采用新技术、新设备、新工艺、新材料实施重大技术改造。</w:t>
      </w:r>
      <w:r>
        <w:rPr>
          <w:rFonts w:hint="eastAsia" w:eastAsia="仿宋_GB2312"/>
          <w:sz w:val="32"/>
        </w:rPr>
        <w:t>深入落实相关优惠政策和奖励政策，引导规模以上</w:t>
      </w:r>
      <w:r>
        <w:rPr>
          <w:rFonts w:hint="eastAsia" w:ascii="仿宋_GB2312" w:hAnsi="仿宋_GB2312" w:eastAsia="仿宋_GB2312" w:cs="仿宋_GB2312"/>
          <w:sz w:val="32"/>
          <w:szCs w:val="32"/>
          <w:lang w:bidi="ar"/>
        </w:rPr>
        <w:t>制造业</w:t>
      </w:r>
      <w:r>
        <w:rPr>
          <w:rFonts w:hint="eastAsia" w:eastAsia="仿宋_GB2312"/>
          <w:sz w:val="32"/>
        </w:rPr>
        <w:t>企业加大研发投入，加快推动甘李生物研发中心、福元</w:t>
      </w:r>
      <w:r>
        <w:rPr>
          <w:rFonts w:hint="eastAsia" w:ascii="仿宋_GB2312" w:hAnsi="仿宋_GB2312" w:eastAsia="仿宋_GB2312" w:cs="仿宋_GB2312"/>
          <w:sz w:val="32"/>
          <w:szCs w:val="32"/>
          <w:lang w:bidi="ar"/>
        </w:rPr>
        <w:t>药业</w:t>
      </w:r>
      <w:r>
        <w:rPr>
          <w:rFonts w:hint="eastAsia" w:eastAsia="仿宋_GB2312"/>
          <w:sz w:val="32"/>
        </w:rPr>
        <w:t>药品研发实验室等企业创新平台项目落地。支持符合条件的先进制造企业申报创建重点实验室、工程技术研究中心、企业技术中心等企业创新平台。</w:t>
      </w:r>
      <w:r>
        <w:rPr>
          <w:rFonts w:hint="eastAsia" w:eastAsia="仿宋_GB2312"/>
          <w:sz w:val="32"/>
          <w:lang w:bidi="ar"/>
        </w:rPr>
        <w:t>加快推进中关村产业协同创新平台、科技成果转化统筹协调与服务平台等市级平台建设，</w:t>
      </w:r>
      <w:r>
        <w:rPr>
          <w:rFonts w:hint="eastAsia" w:eastAsia="仿宋_GB2312"/>
          <w:sz w:val="32"/>
        </w:rPr>
        <w:t>谋划吸引一批国家级创新平台落地。围绕医药健康、数字经济、绿色经济等细分领域，支持龙头企业牵头对接产业链上下游和高校科研机构，组建一批产业创新中心。</w:t>
      </w:r>
    </w:p>
    <w:p>
      <w:pPr>
        <w:pStyle w:val="24"/>
        <w:spacing w:line="600" w:lineRule="exact"/>
        <w:ind w:firstLine="640" w:firstLineChars="200"/>
        <w:jc w:val="both"/>
        <w:outlineLvl w:val="2"/>
        <w:rPr>
          <w:rFonts w:eastAsia="仿宋_GB2312"/>
          <w:sz w:val="32"/>
        </w:rPr>
      </w:pPr>
      <w:r>
        <w:rPr>
          <w:rFonts w:hint="eastAsia" w:ascii="仿宋_GB2312" w:eastAsia="仿宋_GB2312"/>
          <w:sz w:val="32"/>
        </w:rPr>
        <w:t>3.创</w:t>
      </w:r>
      <w:r>
        <w:rPr>
          <w:rFonts w:hint="eastAsia" w:eastAsia="仿宋_GB2312"/>
          <w:sz w:val="32"/>
        </w:rPr>
        <w:t>建智能制造示范标杆。贯彻落实“新智造100”方案，</w:t>
      </w:r>
      <w:r>
        <w:rPr>
          <w:rFonts w:hint="eastAsia" w:eastAsia="仿宋_GB2312" w:cs="仿宋_GB2312"/>
          <w:kern w:val="2"/>
          <w:sz w:val="32"/>
          <w:szCs w:val="32"/>
        </w:rPr>
        <w:t>支持企业建设一批数字化车间、智能工厂项目，全面推广智能制造。支持企业建设数字赋能中心，加快</w:t>
      </w:r>
      <w:r>
        <w:rPr>
          <w:rFonts w:hint="eastAsia" w:eastAsia="仿宋_GB2312"/>
          <w:sz w:val="32"/>
          <w:shd w:val="clear" w:color="auto" w:fill="FFFFFF"/>
          <w:lang w:bidi="ar"/>
        </w:rPr>
        <w:t>产线智能化提升、</w:t>
      </w:r>
      <w:r>
        <w:rPr>
          <w:rFonts w:hint="eastAsia" w:eastAsia="仿宋_GB2312" w:cs="仿宋_GB2312"/>
          <w:kern w:val="2"/>
          <w:sz w:val="32"/>
          <w:szCs w:val="32"/>
        </w:rPr>
        <w:t>生产系统智能化和</w:t>
      </w:r>
      <w:r>
        <w:rPr>
          <w:rFonts w:hint="eastAsia" w:eastAsia="仿宋_GB2312"/>
          <w:sz w:val="32"/>
          <w:shd w:val="clear" w:color="auto" w:fill="FFFFFF"/>
          <w:lang w:bidi="ar"/>
        </w:rPr>
        <w:t>仓储物流数字化改造</w:t>
      </w:r>
      <w:r>
        <w:rPr>
          <w:rFonts w:hint="eastAsia" w:eastAsia="仿宋_GB2312" w:cs="仿宋_GB2312"/>
          <w:kern w:val="2"/>
          <w:sz w:val="32"/>
          <w:szCs w:val="32"/>
        </w:rPr>
        <w:t>，加快人机智能交互、增材制造等技术和装备的规模化应用，推动生产方式向柔性化、智能化、精细化转变。依托信通院等国家平台机构，为规模以上先进制造企业提供智能化诊断评估、数字化转型等服务。</w:t>
      </w:r>
      <w:r>
        <w:rPr>
          <w:rFonts w:hint="eastAsia" w:ascii="仿宋_GB2312" w:hAnsi="仿宋" w:eastAsia="仿宋_GB2312" w:cs="仿宋"/>
          <w:sz w:val="32"/>
          <w:szCs w:val="32"/>
        </w:rPr>
        <w:t>深入实施“灯塔计划”，</w:t>
      </w:r>
      <w:r>
        <w:rPr>
          <w:rFonts w:hint="eastAsia" w:eastAsia="仿宋_GB2312" w:cs="仿宋_GB2312"/>
          <w:kern w:val="2"/>
          <w:sz w:val="32"/>
          <w:szCs w:val="32"/>
        </w:rPr>
        <w:t>支持甘李药业、春立正达等企业打造智能工厂</w:t>
      </w:r>
      <w:r>
        <w:rPr>
          <w:rFonts w:hint="eastAsia" w:ascii="仿宋_GB2312" w:hAnsi="仿宋" w:eastAsia="仿宋_GB2312" w:cs="仿宋"/>
          <w:sz w:val="32"/>
          <w:szCs w:val="32"/>
        </w:rPr>
        <w:t>，</w:t>
      </w:r>
      <w:r>
        <w:rPr>
          <w:rFonts w:hint="eastAsia" w:eastAsia="仿宋_GB2312" w:cs="仿宋_GB2312"/>
          <w:kern w:val="2"/>
          <w:sz w:val="32"/>
          <w:szCs w:val="32"/>
        </w:rPr>
        <w:t>在细分行业形成标杆效应。</w:t>
      </w:r>
    </w:p>
    <w:p>
      <w:pPr>
        <w:pStyle w:val="24"/>
        <w:spacing w:line="600" w:lineRule="exact"/>
        <w:ind w:firstLine="640" w:firstLineChars="200"/>
        <w:jc w:val="both"/>
        <w:outlineLvl w:val="2"/>
        <w:rPr>
          <w:rFonts w:ascii="仿宋_GB2312" w:hAnsi="仿宋_GB2312" w:eastAsia="仿宋_GB2312" w:cs="仿宋_GB2312"/>
          <w:color w:val="auto"/>
          <w:sz w:val="32"/>
          <w:lang w:bidi="ar"/>
        </w:rPr>
      </w:pPr>
      <w:r>
        <w:rPr>
          <w:rFonts w:hint="eastAsia" w:ascii="仿宋_GB2312" w:eastAsia="仿宋_GB2312"/>
          <w:sz w:val="32"/>
          <w:lang w:bidi="ar"/>
        </w:rPr>
        <w:t>4.</w:t>
      </w:r>
      <w:r>
        <w:rPr>
          <w:rFonts w:hint="eastAsia" w:eastAsia="仿宋_GB2312"/>
          <w:sz w:val="32"/>
          <w:lang w:bidi="ar"/>
        </w:rPr>
        <w:t>打造一批绿色发展标杆</w:t>
      </w:r>
      <w:r>
        <w:rPr>
          <w:rFonts w:eastAsia="仿宋_GB2312"/>
          <w:sz w:val="32"/>
          <w:lang w:bidi="ar"/>
        </w:rPr>
        <w:t>。按照建设国家绿色发展示范区的标准要求，全面开展企业绿色化改造诊断评估，优化支持企业开展节能降碳减污增效的综合改造，形成项目清单。落实好《通州区绿色化改造提升项目补助资金管理办法（试行）》，建立</w:t>
      </w:r>
      <w:r>
        <w:rPr>
          <w:rFonts w:hint="eastAsia" w:eastAsia="仿宋_GB2312"/>
          <w:sz w:val="32"/>
          <w:lang w:bidi="ar"/>
        </w:rPr>
        <w:t>“</w:t>
      </w:r>
      <w:r>
        <w:rPr>
          <w:rFonts w:eastAsia="仿宋_GB2312"/>
          <w:sz w:val="32"/>
          <w:lang w:bidi="ar"/>
        </w:rPr>
        <w:t>企业绿色发展培育库</w:t>
      </w:r>
      <w:r>
        <w:rPr>
          <w:rFonts w:hint="eastAsia" w:eastAsia="仿宋_GB2312"/>
          <w:sz w:val="32"/>
          <w:lang w:bidi="ar"/>
        </w:rPr>
        <w:t>”</w:t>
      </w:r>
      <w:r>
        <w:rPr>
          <w:rFonts w:eastAsia="仿宋_GB2312"/>
          <w:sz w:val="32"/>
          <w:lang w:bidi="ar"/>
        </w:rPr>
        <w:t>，加大碳中和、可再生能源替代等企业绿色化技术改造项目支持力度，重点支持蒙牛等企业建成一批具有示范带动作用的绿色工厂。鼓励企业加强工业余热、余能</w:t>
      </w:r>
      <w:r>
        <w:rPr>
          <w:rFonts w:hint="eastAsia" w:eastAsia="仿宋_GB2312"/>
          <w:sz w:val="32"/>
          <w:lang w:bidi="ar"/>
        </w:rPr>
        <w:t>利</w:t>
      </w:r>
      <w:r>
        <w:rPr>
          <w:rFonts w:eastAsia="仿宋_GB2312"/>
          <w:sz w:val="32"/>
          <w:lang w:bidi="ar"/>
        </w:rPr>
        <w:t>用，推广</w:t>
      </w:r>
      <w:r>
        <w:rPr>
          <w:rFonts w:hint="eastAsia" w:eastAsia="仿宋_GB2312"/>
          <w:sz w:val="32"/>
          <w:lang w:bidi="ar"/>
        </w:rPr>
        <w:t>“</w:t>
      </w:r>
      <w:r>
        <w:rPr>
          <w:rFonts w:eastAsia="仿宋_GB2312"/>
          <w:sz w:val="32"/>
          <w:lang w:bidi="ar"/>
        </w:rPr>
        <w:t>光伏+工厂</w:t>
      </w:r>
      <w:r>
        <w:rPr>
          <w:rFonts w:hint="eastAsia" w:eastAsia="仿宋_GB2312"/>
          <w:sz w:val="32"/>
          <w:lang w:bidi="ar"/>
        </w:rPr>
        <w:t>”</w:t>
      </w:r>
      <w:r>
        <w:rPr>
          <w:rFonts w:eastAsia="仿宋_GB2312"/>
          <w:sz w:val="32"/>
          <w:lang w:bidi="ar"/>
        </w:rPr>
        <w:t>模式，建设一批屋顶分布式光伏发电、光伏智能微电网等项目，促进企业用能系统优化。</w:t>
      </w:r>
      <w:r>
        <w:rPr>
          <w:rFonts w:hint="eastAsia" w:ascii="仿宋_GB2312" w:hAnsi="仿宋_GB2312" w:eastAsia="仿宋_GB2312" w:cs="仿宋_GB2312"/>
          <w:sz w:val="32"/>
          <w:lang w:bidi="ar"/>
        </w:rPr>
        <w:t>支持企业制定“碳中和”实施方案，实施更加积极的低碳发展行动。到2024年，绿色工厂达到8家，“碳中和企业”认证企业达到3家。</w:t>
      </w:r>
    </w:p>
    <w:p>
      <w:pPr>
        <w:spacing w:line="600" w:lineRule="exact"/>
        <w:ind w:firstLine="640" w:firstLineChars="200"/>
        <w:outlineLvl w:val="1"/>
        <w:rPr>
          <w:rFonts w:ascii="楷体_GB2312" w:hAnsi="楷体_GB2312" w:eastAsia="楷体_GB2312" w:cs="楷体_GB2312"/>
          <w:color w:val="000000"/>
          <w:sz w:val="32"/>
          <w:szCs w:val="40"/>
        </w:rPr>
      </w:pPr>
      <w:r>
        <w:rPr>
          <w:rFonts w:hint="eastAsia" w:ascii="楷体_GB2312" w:hAnsi="楷体_GB2312" w:eastAsia="楷体_GB2312" w:cs="楷体_GB2312"/>
          <w:bCs/>
          <w:color w:val="000000"/>
          <w:sz w:val="32"/>
          <w:szCs w:val="40"/>
        </w:rPr>
        <w:t>（二）构建企业成长生态，实施登峰工程</w:t>
      </w:r>
    </w:p>
    <w:p>
      <w:pPr>
        <w:pStyle w:val="2"/>
        <w:widowControl w:val="0"/>
        <w:spacing w:line="600" w:lineRule="exact"/>
        <w:outlineLvl w:val="2"/>
        <w:rPr>
          <w:rFonts w:eastAsia="仿宋_GB2312"/>
          <w:color w:val="auto"/>
          <w:sz w:val="32"/>
        </w:rPr>
      </w:pPr>
      <w:r>
        <w:rPr>
          <w:rFonts w:hint="eastAsia" w:eastAsia="仿宋_GB2312"/>
          <w:color w:val="auto"/>
          <w:sz w:val="32"/>
        </w:rPr>
        <w:t>5.促进大中小企业融通创新。选择产值5亿元及以上、行业技术水平领先、经营能力强的优秀企业，量身定制“服务包”，支持企业产品创新、模式变革、兼并重组，培育形成一批具备产业链整合能力的行业龙头企业。面向中小微企业高质量发展需求，搭建公共服务平台，为中小微企业提供融资、政策咨询、工商财税、法律服务、数字化赋能等专业化服务。支持龙头企业、链主企业通过生态构建、基地培育、内部孵化、赋能带动、数据联通等方式开展大中小企业融通发展“携手”行动。</w:t>
      </w:r>
    </w:p>
    <w:p>
      <w:pPr>
        <w:pStyle w:val="2"/>
        <w:widowControl w:val="0"/>
        <w:spacing w:line="600" w:lineRule="exact"/>
        <w:outlineLvl w:val="2"/>
        <w:rPr>
          <w:rFonts w:eastAsia="仿宋_GB2312"/>
          <w:color w:val="auto"/>
          <w:sz w:val="32"/>
        </w:rPr>
      </w:pPr>
      <w:r>
        <w:rPr>
          <w:rFonts w:hint="eastAsia" w:eastAsia="仿宋_GB2312"/>
          <w:color w:val="auto"/>
          <w:sz w:val="32"/>
        </w:rPr>
        <w:t>6.育引并举扩大上市企业数量。动态筛选一批主营业绩优、发展前景好、竞争能力强、公司治理规范的先进制造企业，纳入全区上市挂牌企业后备库，推动符合上市条件的企业在境内主板上市。对纳入全市“专精特新”“小巨人”名单和各类“独角兽”榜单的企业，建立健全“培育、改制、辅导、申报、上市、做强”全周期服务机制，分层次、分梯队开展后备上市企业专业辅导，积极推动在北交所上市发展。围绕医药健康和前沿新兴产业布局，加强上市公司招商引资，支持外省区已上市企业的新业务单元、新功能中心迁入发展。</w:t>
      </w:r>
    </w:p>
    <w:p>
      <w:pPr>
        <w:pStyle w:val="2"/>
        <w:widowControl w:val="0"/>
        <w:spacing w:line="600" w:lineRule="exact"/>
        <w:outlineLvl w:val="2"/>
        <w:rPr>
          <w:rFonts w:ascii="宋体" w:hAnsi="Times New Roman" w:eastAsia="仿宋_GB2312"/>
          <w:b/>
          <w:bCs/>
          <w:color w:val="auto"/>
          <w:sz w:val="32"/>
        </w:rPr>
      </w:pPr>
      <w:r>
        <w:rPr>
          <w:rFonts w:hint="eastAsia" w:eastAsia="仿宋_GB2312"/>
          <w:color w:val="auto"/>
          <w:sz w:val="32"/>
        </w:rPr>
        <w:t>7.打造“专精特新”企业梯队。建立分级分类企业培育体系，畅通“创新型中小企业—专精特新中小企业—专精特新小巨人—制造业单项冠军”企业培育通道。按照国家“专精特新”企业培育标准，</w:t>
      </w:r>
      <w:r>
        <w:rPr>
          <w:rFonts w:hint="eastAsia" w:eastAsia="仿宋_GB2312"/>
          <w:color w:val="auto"/>
          <w:sz w:val="32"/>
          <w:lang w:bidi="ar"/>
        </w:rPr>
        <w:t>研究出台《关于进一步促进北京城市副中心“专精特新”企业高质量发展的若干措施》，推动创新型中小企业、“专精特新”和“小巨人”企业数量、质量双提升。到2024年每年累计新增50家“专精特新”和“小巨人”企业。</w:t>
      </w:r>
    </w:p>
    <w:p>
      <w:pPr>
        <w:pStyle w:val="2"/>
        <w:widowControl w:val="0"/>
        <w:shd w:val="clear" w:color="auto" w:fill="FFFFFF"/>
        <w:spacing w:line="600" w:lineRule="exact"/>
        <w:textAlignment w:val="auto"/>
        <w:outlineLvl w:val="2"/>
        <w:rPr>
          <w:rFonts w:ascii="宋体" w:hAnsi="Times New Roman" w:eastAsia="仿宋_GB2312"/>
          <w:color w:val="auto"/>
          <w:sz w:val="32"/>
        </w:rPr>
      </w:pPr>
      <w:r>
        <w:rPr>
          <w:rFonts w:hint="eastAsia" w:hAnsi="Times New Roman" w:eastAsia="仿宋_GB2312"/>
          <w:color w:val="auto"/>
          <w:sz w:val="32"/>
        </w:rPr>
        <w:t>8.</w:t>
      </w:r>
      <w:r>
        <w:rPr>
          <w:rFonts w:hint="eastAsia" w:ascii="宋体" w:hAnsi="Times New Roman" w:eastAsia="仿宋_GB2312"/>
          <w:color w:val="auto"/>
          <w:sz w:val="32"/>
        </w:rPr>
        <w:t>支持“小升规”企业发展。建立“小升规”制造业企业培育库</w:t>
      </w:r>
      <w:r>
        <w:rPr>
          <w:rFonts w:hint="eastAsia" w:ascii="宋体" w:hAnsi="Times New Roman" w:eastAsia="仿宋_GB2312"/>
          <w:color w:val="auto"/>
          <w:sz w:val="32"/>
          <w:lang w:bidi="ar"/>
        </w:rPr>
        <w:t>，做好投产升规服务。</w:t>
      </w:r>
      <w:r>
        <w:rPr>
          <w:rFonts w:hint="eastAsia" w:ascii="宋体" w:hAnsi="Times New Roman" w:eastAsia="仿宋_GB2312"/>
          <w:color w:val="auto"/>
          <w:sz w:val="32"/>
        </w:rPr>
        <w:t>完善先进制造业统计分析方法，</w:t>
      </w:r>
      <w:r>
        <w:rPr>
          <w:rFonts w:hint="eastAsia" w:eastAsia="仿宋_GB2312"/>
          <w:color w:val="auto"/>
          <w:sz w:val="32"/>
        </w:rPr>
        <w:t>按照应统尽统原则，</w:t>
      </w:r>
      <w:r>
        <w:rPr>
          <w:rFonts w:hint="eastAsia" w:ascii="宋体" w:hAnsi="Times New Roman" w:eastAsia="仿宋_GB2312"/>
          <w:color w:val="auto"/>
          <w:sz w:val="32"/>
        </w:rPr>
        <w:t>将经营地在通州且营业收入达到一定规模的企业纳入统计体系。搭建退规风险企业库，加强调研走访，积极实施“纾难解困”行动。</w:t>
      </w:r>
    </w:p>
    <w:p>
      <w:pPr>
        <w:spacing w:line="600" w:lineRule="exact"/>
        <w:ind w:firstLine="640" w:firstLineChars="200"/>
        <w:outlineLvl w:val="1"/>
        <w:rPr>
          <w:rFonts w:ascii="楷体_GB2312" w:hAnsi="楷体_GB2312" w:eastAsia="楷体_GB2312" w:cs="楷体_GB2312"/>
          <w:color w:val="000000"/>
          <w:sz w:val="32"/>
          <w:szCs w:val="40"/>
        </w:rPr>
      </w:pPr>
      <w:r>
        <w:rPr>
          <w:rFonts w:hint="eastAsia" w:ascii="楷体_GB2312" w:hAnsi="楷体_GB2312" w:eastAsia="楷体_GB2312" w:cs="楷体_GB2312"/>
          <w:bCs/>
          <w:color w:val="000000"/>
          <w:sz w:val="32"/>
          <w:szCs w:val="40"/>
        </w:rPr>
        <w:t>（三）激活产业空间资源，实施筑巢工程</w:t>
      </w:r>
    </w:p>
    <w:p>
      <w:pPr>
        <w:spacing w:line="600" w:lineRule="exact"/>
        <w:ind w:firstLine="640" w:firstLineChars="200"/>
        <w:outlineLvl w:val="2"/>
        <w:rPr>
          <w:rFonts w:hAnsi="仿宋" w:eastAsia="仿宋_GB2312"/>
          <w:sz w:val="32"/>
          <w:szCs w:val="32"/>
          <w:lang w:bidi="ar"/>
        </w:rPr>
      </w:pPr>
      <w:r>
        <w:rPr>
          <w:rFonts w:hint="eastAsia" w:ascii="仿宋_GB2312" w:hAnsi="仿宋_GB2312" w:eastAsia="仿宋_GB2312" w:cs="仿宋_GB2312"/>
          <w:bCs/>
          <w:sz w:val="32"/>
          <w:lang w:bidi="ar"/>
        </w:rPr>
        <w:t>9.</w:t>
      </w:r>
      <w:r>
        <w:rPr>
          <w:rFonts w:hint="eastAsia" w:hAnsi="仿宋" w:eastAsia="仿宋_GB2312"/>
          <w:bCs/>
          <w:sz w:val="32"/>
          <w:szCs w:val="32"/>
          <w:lang w:bidi="ar"/>
        </w:rPr>
        <w:t>抓好国有用地供应保障。</w:t>
      </w:r>
      <w:r>
        <w:rPr>
          <w:rFonts w:hAnsi="仿宋" w:eastAsia="仿宋_GB2312"/>
          <w:sz w:val="32"/>
          <w:szCs w:val="32"/>
          <w:lang w:bidi="ar"/>
        </w:rPr>
        <w:t>系统梳理全区产业空间资源，绘制全区产业空间地图，建立可供先进制造业发展的土地</w:t>
      </w:r>
      <w:r>
        <w:rPr>
          <w:rFonts w:hint="eastAsia" w:hAnsi="仿宋" w:eastAsia="仿宋_GB2312"/>
          <w:sz w:val="32"/>
          <w:szCs w:val="32"/>
          <w:lang w:bidi="ar"/>
        </w:rPr>
        <w:t>、</w:t>
      </w:r>
      <w:r>
        <w:rPr>
          <w:rFonts w:hAnsi="仿宋" w:eastAsia="仿宋_GB2312"/>
          <w:sz w:val="32"/>
          <w:szCs w:val="32"/>
          <w:lang w:bidi="ar"/>
        </w:rPr>
        <w:t>厂房等空间资源库。出台北京城市副中心新增工业用地高质量全生命周期管理实施方案，大力推进土地供应和审批服务供给侧结构性改革，引导土地要素优化配置。对已明确扩产需求的甘李药业等储备项目，优化供地审批、施工许可证办理、质量安全监管等服务，加强部门联动、区镇协同、提前预审、并联推进，提高供地效率、施工质量。制定差异化的土地供应方式和定价机制，积极探索规模化推介、产业准入、资格审核、先租后让等土地出让方式。</w:t>
      </w:r>
      <w:r>
        <w:rPr>
          <w:rFonts w:hint="eastAsia" w:hAnsi="仿宋" w:eastAsia="仿宋_GB2312"/>
          <w:sz w:val="32"/>
          <w:szCs w:val="32"/>
          <w:lang w:bidi="ar"/>
        </w:rPr>
        <w:t>做好大规模产业空间集中规划与储备。</w:t>
      </w:r>
    </w:p>
    <w:p>
      <w:pPr>
        <w:pStyle w:val="24"/>
        <w:spacing w:line="600" w:lineRule="exact"/>
        <w:ind w:firstLine="640" w:firstLineChars="200"/>
        <w:jc w:val="both"/>
        <w:outlineLvl w:val="2"/>
        <w:rPr>
          <w:rFonts w:hAnsi="仿宋" w:eastAsia="仿宋_GB2312"/>
          <w:sz w:val="32"/>
          <w:szCs w:val="32"/>
          <w:shd w:val="clear" w:color="auto" w:fill="FFFFFF"/>
        </w:rPr>
      </w:pPr>
      <w:r>
        <w:rPr>
          <w:rFonts w:hint="eastAsia" w:ascii="仿宋_GB2312" w:hAnsi="仿宋_GB2312" w:eastAsia="仿宋_GB2312" w:cs="仿宋_GB2312"/>
          <w:bCs/>
          <w:sz w:val="32"/>
          <w:lang w:bidi="ar"/>
        </w:rPr>
        <w:t>10.</w:t>
      </w:r>
      <w:r>
        <w:rPr>
          <w:rFonts w:hint="eastAsia" w:hAnsi="仿宋" w:eastAsia="仿宋_GB2312"/>
          <w:bCs/>
          <w:sz w:val="32"/>
          <w:szCs w:val="32"/>
          <w:lang w:bidi="ar"/>
        </w:rPr>
        <w:t>激活用好集体产业</w:t>
      </w:r>
      <w:r>
        <w:rPr>
          <w:rFonts w:hAnsi="仿宋" w:eastAsia="仿宋_GB2312"/>
          <w:bCs/>
          <w:sz w:val="32"/>
          <w:szCs w:val="32"/>
          <w:lang w:bidi="ar"/>
        </w:rPr>
        <w:t>土地</w:t>
      </w:r>
      <w:r>
        <w:rPr>
          <w:rFonts w:hint="eastAsia" w:hAnsi="仿宋" w:eastAsia="仿宋_GB2312"/>
          <w:bCs/>
          <w:sz w:val="32"/>
          <w:szCs w:val="32"/>
          <w:lang w:bidi="ar"/>
        </w:rPr>
        <w:t>。</w:t>
      </w:r>
      <w:r>
        <w:rPr>
          <w:rFonts w:hint="eastAsia" w:hAnsi="仿宋" w:eastAsia="仿宋_GB2312"/>
          <w:sz w:val="32"/>
          <w:szCs w:val="32"/>
          <w:shd w:val="clear" w:color="auto" w:fill="FFFFFF"/>
          <w:lang w:bidi="ar"/>
        </w:rPr>
        <w:t>加强</w:t>
      </w:r>
      <w:r>
        <w:rPr>
          <w:rFonts w:hAnsi="仿宋" w:eastAsia="仿宋_GB2312"/>
          <w:sz w:val="32"/>
          <w:szCs w:val="32"/>
          <w:lang w:bidi="ar"/>
        </w:rPr>
        <w:t>集体</w:t>
      </w:r>
      <w:r>
        <w:rPr>
          <w:rFonts w:hint="eastAsia" w:hAnsi="仿宋" w:eastAsia="仿宋_GB2312"/>
          <w:sz w:val="32"/>
          <w:szCs w:val="32"/>
          <w:shd w:val="clear" w:color="auto" w:fill="FFFFFF"/>
        </w:rPr>
        <w:t>闲置土地高效综合利用，推广利用集体经营性产业用地的“潞</w:t>
      </w:r>
      <w:r>
        <w:rPr>
          <w:rFonts w:hint="eastAsia" w:hAnsi="仿宋" w:eastAsia="仿宋_GB2312"/>
          <w:sz w:val="32"/>
          <w:szCs w:val="32"/>
          <w:shd w:val="clear" w:color="auto" w:fill="FFFFFF"/>
          <w:lang w:bidi="ar"/>
        </w:rPr>
        <w:t>城经验”，</w:t>
      </w:r>
      <w:r>
        <w:rPr>
          <w:rFonts w:hint="eastAsia" w:hAnsi="仿宋" w:eastAsia="仿宋_GB2312"/>
          <w:sz w:val="32"/>
          <w:szCs w:val="32"/>
          <w:lang w:bidi="ar"/>
        </w:rPr>
        <w:t>打造低成本、高质量产业空间。通过</w:t>
      </w:r>
      <w:r>
        <w:rPr>
          <w:rFonts w:hint="eastAsia" w:hAnsi="仿宋" w:eastAsia="仿宋_GB2312"/>
          <w:sz w:val="32"/>
          <w:szCs w:val="32"/>
          <w:shd w:val="clear" w:color="auto" w:fill="FFFFFF"/>
        </w:rPr>
        <w:t>“拆五还一”政策，支持属地政府以联营公司为主体，以代建模式与制造企业开展合作，为具备长期发展潜力和持续盈利能力的企业定制化建设生产办公场所，推进更多集体闲置土地承载产业项目。</w:t>
      </w:r>
    </w:p>
    <w:p>
      <w:pPr>
        <w:pStyle w:val="13"/>
        <w:spacing w:beforeAutospacing="0" w:afterAutospacing="0" w:line="600" w:lineRule="exact"/>
        <w:ind w:firstLine="640" w:firstLineChars="200"/>
        <w:jc w:val="both"/>
        <w:outlineLvl w:val="2"/>
        <w:rPr>
          <w:rFonts w:ascii="宋体" w:hAnsi="仿宋" w:eastAsia="仿宋_GB2312" w:cs="宋体"/>
          <w:color w:val="000000"/>
          <w:sz w:val="32"/>
          <w:szCs w:val="32"/>
          <w:shd w:val="clear" w:color="auto" w:fill="FFFFFF"/>
        </w:rPr>
      </w:pPr>
      <w:r>
        <w:rPr>
          <w:rFonts w:hint="eastAsia" w:ascii="仿宋_GB2312" w:hAnsi="仿宋_GB2312" w:eastAsia="仿宋_GB2312" w:cs="仿宋_GB2312"/>
          <w:bCs/>
          <w:color w:val="000000"/>
          <w:sz w:val="32"/>
          <w:lang w:bidi="ar"/>
        </w:rPr>
        <w:t>11.</w:t>
      </w:r>
      <w:r>
        <w:rPr>
          <w:rFonts w:hint="eastAsia" w:ascii="宋体" w:hAnsi="仿宋" w:eastAsia="仿宋_GB2312" w:cs="宋体"/>
          <w:bCs/>
          <w:color w:val="000000"/>
          <w:sz w:val="32"/>
          <w:szCs w:val="32"/>
        </w:rPr>
        <w:t>盘活</w:t>
      </w:r>
      <w:r>
        <w:rPr>
          <w:rFonts w:hint="eastAsia" w:ascii="宋体" w:hAnsi="仿宋" w:eastAsia="仿宋_GB2312" w:cs="宋体"/>
          <w:bCs/>
          <w:color w:val="000000"/>
          <w:sz w:val="32"/>
          <w:szCs w:val="32"/>
          <w:lang w:bidi="ar"/>
        </w:rPr>
        <w:t>低效闲置园区和厂房。</w:t>
      </w:r>
      <w:r>
        <w:rPr>
          <w:rFonts w:hint="eastAsia" w:ascii="宋体" w:hAnsi="仿宋" w:eastAsia="仿宋_GB2312" w:cs="宋体"/>
          <w:color w:val="000000"/>
          <w:sz w:val="32"/>
          <w:szCs w:val="32"/>
          <w:shd w:val="clear" w:color="auto" w:fill="FFFFFF"/>
        </w:rPr>
        <w:t>研究制定低效产业园区更新改造、老旧厂房更新改造用于发展先进制造业的支持措施，鼓励</w:t>
      </w:r>
      <w:r>
        <w:rPr>
          <w:rFonts w:hint="eastAsia" w:ascii="宋体" w:hAnsi="仿宋" w:eastAsia="仿宋_GB2312" w:cs="宋体"/>
          <w:color w:val="000000"/>
          <w:sz w:val="32"/>
          <w:szCs w:val="32"/>
          <w:lang w:bidi="ar"/>
        </w:rPr>
        <w:t>支持企业参与改造。</w:t>
      </w:r>
      <w:r>
        <w:rPr>
          <w:rFonts w:hint="eastAsia" w:ascii="宋体" w:hAnsi="仿宋" w:eastAsia="仿宋_GB2312" w:cs="宋体"/>
          <w:color w:val="000000"/>
          <w:sz w:val="32"/>
          <w:szCs w:val="32"/>
          <w:shd w:val="clear" w:color="auto" w:fill="FFFFFF"/>
        </w:rPr>
        <w:t>执行落实通州区研发、工业项目转让管理相关工作方案，规范研发、工业项目转让审核及管理。针对意向转为产业园区运营的企业，在改变土地用途、缴纳出让金、处理产权人与开发人利益关系等方面制定具体措施，形成标准化流程，加快存量土地更新利用。</w:t>
      </w:r>
    </w:p>
    <w:p>
      <w:pPr>
        <w:pStyle w:val="13"/>
        <w:spacing w:beforeAutospacing="0" w:afterAutospacing="0" w:line="600" w:lineRule="exact"/>
        <w:ind w:firstLine="640" w:firstLineChars="200"/>
        <w:jc w:val="both"/>
        <w:outlineLvl w:val="2"/>
        <w:rPr>
          <w:rFonts w:ascii="宋体" w:hAnsi="仿宋" w:eastAsia="仿宋_GB2312" w:cs="宋体"/>
          <w:color w:val="000000"/>
          <w:sz w:val="32"/>
          <w:szCs w:val="32"/>
          <w:shd w:val="clear" w:color="auto" w:fill="FFFFFF"/>
        </w:rPr>
      </w:pPr>
      <w:r>
        <w:rPr>
          <w:rFonts w:hint="eastAsia" w:ascii="仿宋_GB2312" w:hAnsi="仿宋_GB2312" w:eastAsia="仿宋_GB2312" w:cs="仿宋_GB2312"/>
          <w:bCs/>
          <w:color w:val="000000"/>
          <w:sz w:val="32"/>
          <w:lang w:bidi="ar"/>
        </w:rPr>
        <w:t>12.</w:t>
      </w:r>
      <w:r>
        <w:rPr>
          <w:rFonts w:hint="eastAsia" w:ascii="仿宋_GB2312" w:hAnsi="仿宋_GB2312" w:eastAsia="仿宋_GB2312" w:cs="仿宋_GB2312"/>
          <w:bCs/>
          <w:color w:val="000000"/>
          <w:sz w:val="32"/>
          <w:szCs w:val="32"/>
        </w:rPr>
        <w:t>提高自有用地利用效率。</w:t>
      </w:r>
      <w:r>
        <w:rPr>
          <w:rFonts w:hint="eastAsia" w:ascii="仿宋_GB2312" w:hAnsi="仿宋_GB2312" w:eastAsia="仿宋_GB2312" w:cs="仿宋_GB2312"/>
          <w:color w:val="000000"/>
          <w:sz w:val="32"/>
          <w:szCs w:val="32"/>
        </w:rPr>
        <w:t>在符合规划的前提下，支持现有工业用地通过厂房加层、厂区改造、内部用地整理等途径提高土地利用率和增加</w:t>
      </w:r>
      <w:r>
        <w:rPr>
          <w:rFonts w:hint="eastAsia" w:ascii="宋体" w:hAnsi="仿宋" w:eastAsia="仿宋_GB2312" w:cs="宋体"/>
          <w:color w:val="000000"/>
          <w:sz w:val="32"/>
          <w:szCs w:val="32"/>
          <w:shd w:val="clear" w:color="auto" w:fill="FFFFFF"/>
        </w:rPr>
        <w:t>容积率，进一步补充产业空间资源。</w:t>
      </w:r>
    </w:p>
    <w:p>
      <w:pPr>
        <w:spacing w:line="600" w:lineRule="exact"/>
        <w:ind w:firstLine="640" w:firstLineChars="200"/>
        <w:outlineLvl w:val="1"/>
        <w:rPr>
          <w:rFonts w:ascii="楷体_GB2312" w:hAnsi="楷体_GB2312" w:eastAsia="楷体_GB2312" w:cs="楷体_GB2312"/>
          <w:color w:val="000000"/>
          <w:sz w:val="32"/>
          <w:szCs w:val="40"/>
        </w:rPr>
      </w:pPr>
      <w:r>
        <w:rPr>
          <w:rFonts w:hint="eastAsia" w:ascii="楷体_GB2312" w:hAnsi="楷体_GB2312" w:eastAsia="楷体_GB2312" w:cs="楷体_GB2312"/>
          <w:bCs/>
          <w:color w:val="000000"/>
          <w:sz w:val="32"/>
          <w:szCs w:val="40"/>
        </w:rPr>
        <w:t>（四）融通创新链产业链，实施引凤工程</w:t>
      </w:r>
    </w:p>
    <w:p>
      <w:pPr>
        <w:spacing w:line="600" w:lineRule="exact"/>
        <w:ind w:firstLine="640" w:firstLineChars="200"/>
        <w:outlineLvl w:val="2"/>
        <w:rPr>
          <w:rFonts w:ascii="仿宋_GB2312" w:eastAsia="仿宋_GB2312" w:cs="仿宋_GB2312"/>
          <w:color w:val="000000"/>
          <w:sz w:val="32"/>
          <w:szCs w:val="32"/>
          <w:lang w:eastAsia="zh-Hans" w:bidi="ar"/>
        </w:rPr>
      </w:pPr>
      <w:r>
        <w:rPr>
          <w:rFonts w:hint="eastAsia" w:ascii="仿宋_GB2312" w:hAnsi="仿宋_GB2312" w:eastAsia="仿宋_GB2312" w:cs="仿宋_GB2312"/>
          <w:bCs/>
          <w:color w:val="000000"/>
          <w:kern w:val="0"/>
          <w:sz w:val="32"/>
          <w:lang w:bidi="ar"/>
        </w:rPr>
        <w:t>13.</w:t>
      </w:r>
      <w:r>
        <w:rPr>
          <w:rFonts w:hint="eastAsia" w:ascii="仿宋_GB2312" w:hAnsi="仿宋_GB2312" w:eastAsia="仿宋_GB2312" w:cs="仿宋_GB2312"/>
          <w:bCs/>
          <w:color w:val="000000"/>
          <w:sz w:val="32"/>
          <w:szCs w:val="32"/>
        </w:rPr>
        <w:t>强化产业精准补链招商。</w:t>
      </w:r>
      <w:r>
        <w:rPr>
          <w:rFonts w:hint="eastAsia" w:ascii="仿宋_GB2312" w:hAnsi="仿宋_GB2312" w:eastAsia="仿宋_GB2312" w:cs="仿宋_GB2312"/>
          <w:color w:val="000000"/>
          <w:sz w:val="32"/>
          <w:lang w:eastAsia="zh-Hans"/>
        </w:rPr>
        <w:t>建立先进制造业产业链研究机制，</w:t>
      </w:r>
      <w:r>
        <w:rPr>
          <w:rFonts w:hint="eastAsia" w:ascii="仿宋_GB2312" w:hAnsi="仿宋_GB2312" w:eastAsia="仿宋_GB2312" w:cs="仿宋_GB2312"/>
          <w:color w:val="000000"/>
          <w:sz w:val="32"/>
          <w:lang w:bidi="ar"/>
        </w:rPr>
        <w:t>围绕医药健康、</w:t>
      </w:r>
      <w:r>
        <w:rPr>
          <w:rFonts w:hint="eastAsia" w:ascii="仿宋_GB2312" w:hAnsi="仿宋_GB2312" w:eastAsia="仿宋_GB2312" w:cs="仿宋_GB2312"/>
          <w:color w:val="000000"/>
          <w:sz w:val="32"/>
          <w:lang w:eastAsia="zh-Hans" w:bidi="ar"/>
        </w:rPr>
        <w:t>智能装备、电子</w:t>
      </w:r>
      <w:r>
        <w:rPr>
          <w:rFonts w:hint="eastAsia" w:ascii="仿宋_GB2312" w:hAnsi="仿宋_GB2312" w:eastAsia="仿宋_GB2312" w:cs="仿宋"/>
          <w:color w:val="000000"/>
          <w:sz w:val="32"/>
          <w:lang w:eastAsia="zh-Hans" w:bidi="ar"/>
        </w:rPr>
        <w:t>信息</w:t>
      </w:r>
      <w:r>
        <w:rPr>
          <w:rFonts w:hint="eastAsia" w:ascii="仿宋_GB2312" w:hAnsi="仿宋_GB2312" w:eastAsia="仿宋_GB2312" w:cs="仿宋"/>
          <w:color w:val="000000"/>
          <w:sz w:val="32"/>
          <w:lang w:bidi="ar"/>
        </w:rPr>
        <w:t>、新能源智能汽车、前沿新兴等产业，绘制细分领域产业链条</w:t>
      </w:r>
      <w:r>
        <w:rPr>
          <w:rFonts w:hint="eastAsia" w:ascii="仿宋_GB2312" w:hAnsi="仿宋_GB2312" w:eastAsia="仿宋_GB2312" w:cs="仿宋"/>
          <w:color w:val="000000"/>
          <w:sz w:val="32"/>
          <w:lang w:eastAsia="zh-Hans"/>
        </w:rPr>
        <w:t>，</w:t>
      </w:r>
      <w:r>
        <w:rPr>
          <w:rFonts w:hint="eastAsia" w:ascii="仿宋_GB2312" w:hAnsi="仿宋_GB2312" w:eastAsia="仿宋_GB2312" w:cs="仿宋_GB2312"/>
          <w:color w:val="000000"/>
          <w:sz w:val="32"/>
          <w:lang w:eastAsia="zh-Hans"/>
        </w:rPr>
        <w:t>制定产业招商地图。建立《</w:t>
      </w:r>
      <w:r>
        <w:rPr>
          <w:rFonts w:hint="eastAsia" w:ascii="仿宋_GB2312" w:hAnsi="仿宋_GB2312" w:eastAsia="仿宋_GB2312" w:cs="仿宋_GB2312"/>
          <w:color w:val="000000"/>
          <w:sz w:val="32"/>
          <w:szCs w:val="32"/>
        </w:rPr>
        <w:t>产业链核心企业和重点项目名录》，</w:t>
      </w:r>
      <w:r>
        <w:rPr>
          <w:rFonts w:hint="eastAsia" w:ascii="仿宋_GB2312" w:hAnsi="仿宋_GB2312" w:eastAsia="仿宋_GB2312" w:cs="仿宋_GB2312"/>
          <w:color w:val="000000"/>
          <w:sz w:val="32"/>
          <w:lang w:bidi="ar"/>
        </w:rPr>
        <w:t>根据已有</w:t>
      </w:r>
      <w:r>
        <w:rPr>
          <w:rFonts w:hint="eastAsia" w:ascii="仿宋_GB2312" w:hAnsi="仿宋_GB2312" w:eastAsia="仿宋_GB2312" w:cs="仿宋_GB2312"/>
          <w:color w:val="000000"/>
          <w:sz w:val="32"/>
          <w:lang w:eastAsia="zh-Hans"/>
        </w:rPr>
        <w:t>企业</w:t>
      </w:r>
      <w:r>
        <w:rPr>
          <w:rFonts w:hint="eastAsia" w:ascii="仿宋_GB2312" w:hAnsi="仿宋_GB2312" w:eastAsia="仿宋_GB2312" w:cs="仿宋_GB2312"/>
          <w:color w:val="000000"/>
          <w:sz w:val="32"/>
        </w:rPr>
        <w:t>链条</w:t>
      </w:r>
      <w:r>
        <w:rPr>
          <w:rFonts w:hint="eastAsia" w:ascii="仿宋_GB2312" w:hAnsi="仿宋_GB2312" w:eastAsia="仿宋_GB2312" w:cs="仿宋_GB2312"/>
          <w:color w:val="000000"/>
          <w:sz w:val="32"/>
          <w:lang w:eastAsia="zh-Hans" w:bidi="ar"/>
        </w:rPr>
        <w:t>分布，</w:t>
      </w:r>
      <w:r>
        <w:rPr>
          <w:rFonts w:hint="eastAsia" w:ascii="仿宋_GB2312" w:hAnsi="仿宋_GB2312" w:eastAsia="仿宋_GB2312" w:cs="仿宋"/>
          <w:color w:val="000000"/>
          <w:sz w:val="32"/>
        </w:rPr>
        <w:t>发挥以商招商、以企招企作用，</w:t>
      </w:r>
      <w:r>
        <w:rPr>
          <w:rFonts w:hint="eastAsia" w:ascii="仿宋_GB2312" w:hAnsi="仿宋_GB2312" w:eastAsia="仿宋_GB2312" w:cs="仿宋_GB2312"/>
          <w:color w:val="000000"/>
          <w:sz w:val="32"/>
          <w:lang w:eastAsia="zh-Hans" w:bidi="ar"/>
        </w:rPr>
        <w:t>精准引进产业补链企业。加快出台《城市副中心关于鼓励医药健康产业发展的若干措施》</w:t>
      </w:r>
      <w:r>
        <w:rPr>
          <w:rFonts w:hint="eastAsia" w:ascii="仿宋_GB2312" w:hAnsi="仿宋_GB2312" w:eastAsia="仿宋_GB2312" w:cs="仿宋_GB2312"/>
          <w:color w:val="000000"/>
          <w:sz w:val="32"/>
          <w:lang w:bidi="ar"/>
        </w:rPr>
        <w:t>，</w:t>
      </w:r>
      <w:r>
        <w:rPr>
          <w:rFonts w:hint="eastAsia" w:ascii="仿宋_GB2312" w:hAnsi="仿宋_GB2312" w:eastAsia="仿宋_GB2312" w:cs="仿宋_GB2312"/>
          <w:color w:val="000000"/>
          <w:sz w:val="32"/>
          <w:szCs w:val="32"/>
          <w:shd w:val="clear" w:color="auto" w:fill="FFFFFF"/>
          <w:lang w:bidi="ar"/>
        </w:rPr>
        <w:t>支持高端医疗器械、创新药物等领域的研发生产</w:t>
      </w:r>
      <w:r>
        <w:rPr>
          <w:rFonts w:hint="eastAsia" w:ascii="仿宋_GB2312" w:hAnsi="仿宋_GB2312" w:eastAsia="仿宋_GB2312" w:cs="仿宋_GB2312"/>
          <w:color w:val="000000"/>
          <w:sz w:val="32"/>
          <w:lang w:eastAsia="zh-Hans" w:bidi="ar"/>
        </w:rPr>
        <w:t>。</w:t>
      </w:r>
      <w:r>
        <w:rPr>
          <w:rFonts w:hint="eastAsia" w:ascii="仿宋_GB2312" w:hAnsi="仿宋_GB2312" w:eastAsia="仿宋_GB2312" w:cs="仿宋_GB2312"/>
          <w:color w:val="000000"/>
          <w:sz w:val="32"/>
          <w:lang w:eastAsia="zh-Hans"/>
        </w:rPr>
        <w:t>深入落实“四个一”招商工作机制，重点围绕医疗高值耗材、高性能诊疗设备、新一代集成电路等细分领域，</w:t>
      </w:r>
      <w:r>
        <w:rPr>
          <w:rFonts w:hint="eastAsia" w:ascii="仿宋_GB2312" w:hAnsi="仿宋_GB2312" w:eastAsia="仿宋_GB2312" w:cs="仿宋_GB2312"/>
          <w:color w:val="000000"/>
          <w:sz w:val="32"/>
          <w:szCs w:val="32"/>
        </w:rPr>
        <w:t>强化精准招商，促进重点项目落地集聚。</w:t>
      </w:r>
    </w:p>
    <w:p>
      <w:pPr>
        <w:spacing w:line="600" w:lineRule="exact"/>
        <w:ind w:firstLine="640" w:firstLineChars="200"/>
        <w:outlineLvl w:val="2"/>
        <w:rPr>
          <w:rFonts w:ascii="仿宋_GB2312" w:hAnsi="仿宋_GB2312" w:eastAsia="仿宋_GB2312" w:cs="仿宋_GB2312"/>
          <w:color w:val="000000"/>
          <w:sz w:val="32"/>
          <w:szCs w:val="32"/>
          <w:shd w:val="clear" w:color="auto" w:fill="FFFFFF"/>
          <w:lang w:bidi="ar"/>
        </w:rPr>
      </w:pPr>
      <w:r>
        <w:rPr>
          <w:rFonts w:hint="eastAsia" w:ascii="仿宋_GB2312" w:hAnsi="仿宋_GB2312" w:eastAsia="仿宋_GB2312" w:cs="仿宋_GB2312"/>
          <w:bCs/>
          <w:color w:val="000000"/>
          <w:kern w:val="0"/>
          <w:sz w:val="32"/>
          <w:lang w:bidi="ar"/>
        </w:rPr>
        <w:t>14.</w:t>
      </w:r>
      <w:r>
        <w:rPr>
          <w:rFonts w:hint="eastAsia" w:ascii="仿宋_GB2312" w:hAnsi="仿宋_GB2312" w:eastAsia="仿宋_GB2312" w:cs="仿宋_GB2312"/>
          <w:bCs/>
          <w:color w:val="000000"/>
          <w:sz w:val="32"/>
          <w:szCs w:val="32"/>
        </w:rPr>
        <w:t>狠抓龙头企业聚链招商。</w:t>
      </w:r>
      <w:r>
        <w:rPr>
          <w:rFonts w:hint="eastAsia" w:ascii="仿宋_GB2312" w:hAnsi="仿宋_GB2312" w:eastAsia="仿宋_GB2312" w:cs="仿宋_GB2312"/>
          <w:color w:val="000000"/>
          <w:sz w:val="32"/>
          <w:szCs w:val="32"/>
          <w:shd w:val="clear" w:color="auto" w:fill="FFFFFF"/>
          <w:lang w:bidi="ar"/>
        </w:rPr>
        <w:t>以医药健康、集成电路、新能源智能汽车、智能设备为重点，建立“龙头企业”“链主企业”名单机制，加强定向招引扶持。落实</w:t>
      </w:r>
      <w:r>
        <w:rPr>
          <w:rFonts w:hint="eastAsia" w:ascii="Times New Roman" w:hAnsi="Times New Roman"/>
          <w:color w:val="000000"/>
          <w:kern w:val="0"/>
          <w:sz w:val="31"/>
          <w:szCs w:val="31"/>
          <w:lang w:bidi="ar"/>
        </w:rPr>
        <w:t>“</w:t>
      </w:r>
      <w:r>
        <w:rPr>
          <w:rFonts w:hint="eastAsia" w:ascii="仿宋_GB2312" w:hAnsi="宋体" w:eastAsia="仿宋_GB2312" w:cs="仿宋_GB2312"/>
          <w:color w:val="000000"/>
          <w:kern w:val="0"/>
          <w:sz w:val="31"/>
          <w:szCs w:val="31"/>
          <w:lang w:bidi="ar"/>
        </w:rPr>
        <w:t>带土移植”理念，</w:t>
      </w:r>
      <w:r>
        <w:rPr>
          <w:rFonts w:hint="eastAsia" w:ascii="仿宋_GB2312" w:hAnsi="仿宋_GB2312" w:eastAsia="仿宋_GB2312" w:cs="仿宋_GB2312"/>
          <w:color w:val="000000"/>
          <w:sz w:val="32"/>
          <w:szCs w:val="32"/>
          <w:shd w:val="clear" w:color="auto" w:fill="FFFFFF"/>
          <w:lang w:bidi="ar"/>
        </w:rPr>
        <w:t>引导支持驻区央企、市属国企的子企业将增量业务、产业链上下游配套项目等落户本区。引入和培育服务型制造企业，重点吸引国际龙头企业的区域性总部和研发、营销等功能型总部落地发展。</w:t>
      </w:r>
    </w:p>
    <w:p>
      <w:pPr>
        <w:spacing w:line="600" w:lineRule="exact"/>
        <w:ind w:firstLine="640" w:firstLineChars="200"/>
        <w:outlineLvl w:val="2"/>
        <w:rPr>
          <w:rFonts w:eastAsia="仿宋_GB2312"/>
          <w:color w:val="000000"/>
        </w:rPr>
      </w:pPr>
      <w:r>
        <w:rPr>
          <w:rFonts w:hint="eastAsia" w:ascii="仿宋_GB2312" w:hAnsi="仿宋_GB2312" w:eastAsia="仿宋_GB2312" w:cs="仿宋_GB2312"/>
          <w:bCs/>
          <w:color w:val="000000"/>
          <w:sz w:val="32"/>
          <w:szCs w:val="32"/>
        </w:rPr>
        <w:t>15.加大城市场景引链招商。</w:t>
      </w:r>
      <w:r>
        <w:rPr>
          <w:rFonts w:hint="eastAsia" w:ascii="仿宋_GB2312" w:hAnsi="仿宋_GB2312" w:eastAsia="仿宋_GB2312" w:cs="仿宋_GB2312"/>
          <w:color w:val="000000"/>
          <w:sz w:val="32"/>
          <w:szCs w:val="32"/>
        </w:rPr>
        <w:t>依托</w:t>
      </w:r>
      <w:r>
        <w:rPr>
          <w:rFonts w:hint="eastAsia" w:eastAsia="仿宋_GB2312"/>
          <w:color w:val="000000"/>
          <w:sz w:val="32"/>
          <w:lang w:eastAsia="zh-Hans"/>
        </w:rPr>
        <w:t>城市副中心</w:t>
      </w:r>
      <w:r>
        <w:rPr>
          <w:rFonts w:hint="eastAsia" w:eastAsia="仿宋_GB2312"/>
          <w:color w:val="000000"/>
          <w:sz w:val="32"/>
        </w:rPr>
        <w:t>建设，</w:t>
      </w:r>
      <w:r>
        <w:rPr>
          <w:rFonts w:hint="eastAsia" w:eastAsia="仿宋_GB2312"/>
          <w:color w:val="000000"/>
          <w:sz w:val="32"/>
          <w:lang w:eastAsia="zh-Hans"/>
        </w:rPr>
        <w:t>充分发挥城市孵化科技创新“大磁场”功能，重点针对</w:t>
      </w:r>
      <w:r>
        <w:rPr>
          <w:rFonts w:hint="eastAsia" w:eastAsia="仿宋_GB2312"/>
          <w:color w:val="000000"/>
          <w:sz w:val="32"/>
        </w:rPr>
        <w:t>机器人、绿色低碳等领域，</w:t>
      </w:r>
      <w:r>
        <w:rPr>
          <w:rFonts w:hint="eastAsia" w:eastAsia="仿宋_GB2312"/>
          <w:color w:val="000000"/>
          <w:sz w:val="32"/>
          <w:lang w:eastAsia="zh-Hans"/>
        </w:rPr>
        <w:t>强化</w:t>
      </w:r>
      <w:r>
        <w:rPr>
          <w:rFonts w:hint="eastAsia" w:eastAsia="仿宋_GB2312"/>
          <w:color w:val="000000"/>
          <w:sz w:val="32"/>
        </w:rPr>
        <w:t>场景引链招商。根据全区创新应用场景招商育商工作机制方案，</w:t>
      </w:r>
      <w:r>
        <w:rPr>
          <w:rFonts w:hint="eastAsia" w:ascii="宋体" w:hAnsi="Times New Roman" w:eastAsia="仿宋_GB2312"/>
          <w:color w:val="000000"/>
          <w:sz w:val="32"/>
        </w:rPr>
        <w:t>面向先进制造业领域，</w:t>
      </w:r>
      <w:r>
        <w:rPr>
          <w:rFonts w:hint="eastAsia" w:eastAsia="仿宋_GB2312"/>
          <w:color w:val="000000"/>
          <w:sz w:val="32"/>
        </w:rPr>
        <w:t>细化</w:t>
      </w:r>
      <w:r>
        <w:rPr>
          <w:rFonts w:hint="eastAsia" w:ascii="宋体" w:hAnsi="Times New Roman" w:eastAsia="仿宋_GB2312"/>
          <w:color w:val="000000"/>
          <w:sz w:val="32"/>
        </w:rPr>
        <w:t>建立常态化应用场景供需对接促进机制，推行“揭榜挂帅”“毛遂自荐”等场景参与机制，分段构建</w:t>
      </w:r>
      <w:r>
        <w:rPr>
          <w:rFonts w:hint="eastAsia" w:ascii="仿宋_GB2312" w:hAnsi="仿宋_GB2312" w:eastAsia="仿宋_GB2312" w:cs="仿宋_GB2312"/>
          <w:color w:val="000000"/>
          <w:sz w:val="32"/>
        </w:rPr>
        <w:t>“0-1”试验和“1-N”</w:t>
      </w:r>
      <w:r>
        <w:rPr>
          <w:rFonts w:hint="eastAsia" w:ascii="宋体" w:hAnsi="Times New Roman" w:eastAsia="仿宋_GB2312"/>
          <w:color w:val="000000"/>
          <w:sz w:val="32"/>
        </w:rPr>
        <w:t>两类场景孵化模式。围绕交通、医疗、市政、教育等领域应用场景，探索建设一批城市级工程实验平台、运营开放平台，搭建基于场景的新技术研发和产品设计服务体系</w:t>
      </w:r>
      <w:r>
        <w:rPr>
          <w:rFonts w:hint="eastAsia" w:ascii="仿宋_GB2312" w:eastAsia="仿宋_GB2312" w:cs="仿宋_GB2312"/>
          <w:color w:val="000000"/>
          <w:sz w:val="32"/>
          <w:szCs w:val="32"/>
          <w:lang w:bidi="ar"/>
        </w:rPr>
        <w:t>。</w:t>
      </w:r>
      <w:r>
        <w:rPr>
          <w:rFonts w:hint="eastAsia" w:eastAsia="仿宋_GB2312"/>
          <w:color w:val="000000"/>
          <w:sz w:val="32"/>
          <w:lang w:eastAsia="zh-Hans"/>
        </w:rPr>
        <w:t>依托城市重大基础设施、社会治理、民生改</w:t>
      </w:r>
      <w:r>
        <w:rPr>
          <w:rFonts w:hint="eastAsia" w:eastAsia="仿宋_GB2312"/>
          <w:color w:val="000000"/>
          <w:sz w:val="32"/>
        </w:rPr>
        <w:t>善等项目投资建设，根据“城市机会清单”“项目清单”“场景清单”，筛选城市科技产品，动态征集意向供给企业，支持企业研制新品在副中心首推、首用，形成</w:t>
      </w:r>
      <w:r>
        <w:rPr>
          <w:rFonts w:hint="eastAsia" w:ascii="仿宋_GB2312" w:eastAsia="仿宋_GB2312" w:cs="仿宋_GB2312"/>
          <w:color w:val="000000"/>
          <w:sz w:val="32"/>
          <w:szCs w:val="32"/>
          <w:lang w:bidi="ar"/>
        </w:rPr>
        <w:t>产业化示范效应</w:t>
      </w:r>
      <w:r>
        <w:rPr>
          <w:rFonts w:hint="eastAsia" w:eastAsia="仿宋_GB2312"/>
          <w:color w:val="000000"/>
          <w:sz w:val="32"/>
        </w:rPr>
        <w:t>。</w:t>
      </w:r>
    </w:p>
    <w:p>
      <w:pPr>
        <w:spacing w:line="600" w:lineRule="exact"/>
        <w:ind w:firstLine="640" w:firstLineChars="200"/>
        <w:outlineLvl w:val="2"/>
        <w:rPr>
          <w:rFonts w:ascii="宋体" w:hAnsi="Times New Roman" w:eastAsia="仿宋_GB2312"/>
          <w:color w:val="000000"/>
          <w:sz w:val="32"/>
        </w:rPr>
      </w:pPr>
      <w:r>
        <w:rPr>
          <w:rFonts w:hint="eastAsia" w:ascii="仿宋_GB2312" w:hAnsi="仿宋_GB2312" w:eastAsia="仿宋_GB2312" w:cs="仿宋_GB2312"/>
          <w:bCs/>
          <w:color w:val="000000"/>
          <w:sz w:val="32"/>
        </w:rPr>
        <w:t>16.抓好</w:t>
      </w:r>
      <w:r>
        <w:rPr>
          <w:rFonts w:hint="eastAsia" w:eastAsia="仿宋_GB2312"/>
          <w:bCs/>
          <w:color w:val="000000"/>
          <w:sz w:val="32"/>
          <w:lang w:bidi="ar"/>
        </w:rPr>
        <w:t>创新成果</w:t>
      </w:r>
      <w:r>
        <w:rPr>
          <w:rFonts w:hint="eastAsia" w:eastAsia="仿宋_GB2312"/>
          <w:bCs/>
          <w:color w:val="000000"/>
          <w:sz w:val="32"/>
        </w:rPr>
        <w:t>建链招商。</w:t>
      </w:r>
      <w:r>
        <w:rPr>
          <w:rFonts w:hint="eastAsia" w:ascii="宋体" w:hAnsi="Times New Roman" w:eastAsia="仿宋_GB2312"/>
          <w:color w:val="000000"/>
          <w:sz w:val="32"/>
        </w:rPr>
        <w:t>面向智能装备、新能源智能汽车等产业领域，积极参与全球数字经济大会、世界机器人大会等高水平专业赛事活动，吸引一批优质创新创业项目落地。建立与高校科研机构常态化沟通机制，动态对接北大、清华、中科院等单位最新研发进展，制定科技成果转化项目库，加强精准引进。推进益生祥明科技产业园、智汇中心产业园等项目落地建设，认定打造一批中关村科技成果转化基地，搭建形成“概念验证平台-公共技术服务平台-打样中心-中试基地”全链条产业服务体系，承接“三城一区”外溢的重大科技成果转化项目。在生物医药、智能装备等领域，推动科技成果系统化、配套化和工程化研究开发，引入技术公共服务平台，建设共享产线等新型中试服务平台，构建共享制造业态。</w:t>
      </w:r>
    </w:p>
    <w:p>
      <w:pPr>
        <w:spacing w:line="600" w:lineRule="exact"/>
        <w:ind w:firstLine="640" w:firstLineChars="200"/>
        <w:outlineLvl w:val="0"/>
        <w:rPr>
          <w:rFonts w:ascii="黑体" w:hAnsi="黑体" w:eastAsia="黑体" w:cs="黑体"/>
          <w:color w:val="000000"/>
          <w:sz w:val="32"/>
          <w:szCs w:val="40"/>
        </w:rPr>
      </w:pPr>
      <w:bookmarkStart w:id="10" w:name="_Toc11626"/>
      <w:bookmarkStart w:id="11" w:name="_Toc5713"/>
      <w:bookmarkStart w:id="12" w:name="_Toc22503"/>
      <w:bookmarkStart w:id="13" w:name="_Toc11607"/>
      <w:bookmarkStart w:id="14" w:name="_Toc32236"/>
      <w:bookmarkStart w:id="15" w:name="_Toc30927"/>
      <w:bookmarkStart w:id="16" w:name="_Toc1606"/>
      <w:bookmarkStart w:id="17" w:name="_Toc27633"/>
      <w:r>
        <w:rPr>
          <w:rFonts w:hint="eastAsia" w:ascii="黑体" w:hAnsi="黑体" w:eastAsia="黑体" w:cs="黑体"/>
          <w:color w:val="000000"/>
          <w:sz w:val="32"/>
          <w:szCs w:val="40"/>
        </w:rPr>
        <w:t>五、保障措施</w:t>
      </w:r>
      <w:bookmarkEnd w:id="10"/>
      <w:bookmarkEnd w:id="11"/>
      <w:bookmarkEnd w:id="12"/>
      <w:bookmarkEnd w:id="13"/>
      <w:bookmarkEnd w:id="14"/>
      <w:bookmarkEnd w:id="15"/>
      <w:bookmarkEnd w:id="16"/>
      <w:bookmarkEnd w:id="17"/>
    </w:p>
    <w:p>
      <w:pPr>
        <w:spacing w:line="600" w:lineRule="exact"/>
        <w:ind w:firstLine="640" w:firstLineChars="200"/>
        <w:outlineLvl w:val="1"/>
        <w:rPr>
          <w:rFonts w:ascii="楷体_GB2312" w:hAnsi="楷体_GB2312" w:eastAsia="楷体_GB2312" w:cs="楷体_GB2312"/>
          <w:color w:val="000000"/>
          <w:sz w:val="32"/>
          <w:szCs w:val="40"/>
        </w:rPr>
      </w:pPr>
      <w:bookmarkStart w:id="18" w:name="_Toc18302"/>
      <w:bookmarkStart w:id="19" w:name="_Toc27302"/>
      <w:bookmarkStart w:id="20" w:name="_Toc14932"/>
      <w:bookmarkStart w:id="21" w:name="_Toc23232"/>
      <w:bookmarkStart w:id="22" w:name="_Toc18010"/>
      <w:bookmarkStart w:id="23" w:name="_Toc25797"/>
      <w:bookmarkStart w:id="24" w:name="_Toc19606"/>
      <w:bookmarkStart w:id="25" w:name="_Toc10720"/>
      <w:r>
        <w:rPr>
          <w:rFonts w:hint="eastAsia" w:ascii="楷体_GB2312" w:hAnsi="楷体_GB2312" w:eastAsia="楷体_GB2312" w:cs="楷体_GB2312"/>
          <w:bCs/>
          <w:color w:val="000000"/>
          <w:sz w:val="32"/>
          <w:szCs w:val="40"/>
        </w:rPr>
        <w:t>（一）加强组织协调</w:t>
      </w:r>
      <w:bookmarkEnd w:id="18"/>
      <w:bookmarkEnd w:id="19"/>
      <w:bookmarkEnd w:id="20"/>
      <w:bookmarkEnd w:id="21"/>
      <w:bookmarkEnd w:id="22"/>
      <w:bookmarkEnd w:id="23"/>
      <w:bookmarkEnd w:id="24"/>
      <w:bookmarkEnd w:id="25"/>
    </w:p>
    <w:p>
      <w:pPr>
        <w:pStyle w:val="2"/>
        <w:widowControl w:val="0"/>
        <w:spacing w:line="600" w:lineRule="exact"/>
        <w:rPr>
          <w:rFonts w:eastAsia="仿宋_GB2312"/>
          <w:color w:val="auto"/>
          <w:sz w:val="32"/>
        </w:rPr>
      </w:pPr>
      <w:r>
        <w:rPr>
          <w:rFonts w:hint="eastAsia" w:eastAsia="仿宋_GB2312"/>
          <w:color w:val="auto"/>
          <w:sz w:val="32"/>
          <w:szCs w:val="40"/>
        </w:rPr>
        <w:t>依托“分管领导+区级部门+功能区”的产业高质量发展推进机制和区产业发展促进委员会的议事决策平台，完善构建区经济和信息化局统筹协调、区各部门和各街道乡镇分工落实的行动计划实施机制。强化</w:t>
      </w:r>
      <w:r>
        <w:rPr>
          <w:rFonts w:hint="eastAsia" w:eastAsia="仿宋_GB2312"/>
          <w:sz w:val="32"/>
        </w:rPr>
        <w:t>中关村通州园</w:t>
      </w:r>
      <w:r>
        <w:rPr>
          <w:rFonts w:hint="eastAsia" w:eastAsia="仿宋_GB2312"/>
          <w:color w:val="auto"/>
          <w:sz w:val="32"/>
          <w:szCs w:val="40"/>
        </w:rPr>
        <w:t>和各功能区、各镇产业发展的一线主体责任，抓好产业各项行动计划的执行。</w:t>
      </w:r>
      <w:r>
        <w:rPr>
          <w:rFonts w:hint="eastAsia" w:eastAsia="仿宋_GB2312"/>
          <w:color w:val="auto"/>
          <w:sz w:val="32"/>
        </w:rPr>
        <w:t>对接用好“四区结对”机制、市级产业提升专班机制、通州与经济开发区常态化沟通机制、通州与北三县协同发展联动机制，为项目招引提供有力支撑。</w:t>
      </w:r>
      <w:r>
        <w:rPr>
          <w:rFonts w:hint="eastAsia" w:eastAsia="仿宋_GB2312"/>
          <w:color w:val="auto"/>
          <w:sz w:val="32"/>
          <w:lang w:bidi="ar"/>
        </w:rPr>
        <w:t>发挥“两区”政策叠加优势</w:t>
      </w:r>
      <w:r>
        <w:rPr>
          <w:rFonts w:hint="eastAsia" w:eastAsia="仿宋_GB2312"/>
          <w:color w:val="auto"/>
          <w:sz w:val="32"/>
        </w:rPr>
        <w:t>，加强对国际先进制造新势力招商引资、招才引智</w:t>
      </w:r>
      <w:r>
        <w:rPr>
          <w:rFonts w:hint="eastAsia" w:eastAsia="仿宋_GB2312"/>
          <w:color w:val="auto"/>
          <w:sz w:val="32"/>
          <w:lang w:bidi="ar"/>
        </w:rPr>
        <w:t>，加快融入全球创新网络。持续完善“服务包”常态化走访服务企业制度。</w:t>
      </w:r>
    </w:p>
    <w:p>
      <w:pPr>
        <w:spacing w:line="600" w:lineRule="exact"/>
        <w:ind w:firstLine="640" w:firstLineChars="200"/>
        <w:outlineLvl w:val="1"/>
        <w:rPr>
          <w:rFonts w:ascii="楷体_GB2312" w:hAnsi="楷体_GB2312" w:eastAsia="楷体_GB2312" w:cs="楷体_GB2312"/>
          <w:color w:val="000000"/>
          <w:sz w:val="32"/>
          <w:szCs w:val="40"/>
        </w:rPr>
      </w:pPr>
      <w:bookmarkStart w:id="26" w:name="_Toc26961"/>
      <w:bookmarkStart w:id="27" w:name="_Toc7585"/>
      <w:bookmarkStart w:id="28" w:name="_Toc1169"/>
      <w:bookmarkStart w:id="29" w:name="_Toc21560"/>
      <w:bookmarkStart w:id="30" w:name="_Toc3939"/>
      <w:bookmarkStart w:id="31" w:name="_Toc12632"/>
      <w:bookmarkStart w:id="32" w:name="_Toc27421"/>
      <w:bookmarkStart w:id="33" w:name="_Toc8796"/>
      <w:r>
        <w:rPr>
          <w:rFonts w:hint="eastAsia" w:ascii="楷体_GB2312" w:hAnsi="楷体_GB2312" w:eastAsia="楷体_GB2312" w:cs="楷体_GB2312"/>
          <w:bCs/>
          <w:color w:val="000000"/>
          <w:sz w:val="32"/>
          <w:szCs w:val="40"/>
        </w:rPr>
        <w:t>（二）强化要素保障</w:t>
      </w:r>
      <w:bookmarkEnd w:id="26"/>
      <w:bookmarkEnd w:id="27"/>
      <w:bookmarkEnd w:id="28"/>
      <w:bookmarkEnd w:id="29"/>
      <w:bookmarkEnd w:id="30"/>
      <w:bookmarkEnd w:id="31"/>
      <w:bookmarkEnd w:id="32"/>
      <w:bookmarkEnd w:id="33"/>
    </w:p>
    <w:p>
      <w:pPr>
        <w:pStyle w:val="2"/>
        <w:widowControl w:val="0"/>
        <w:spacing w:line="600" w:lineRule="exact"/>
        <w:rPr>
          <w:rFonts w:ascii="宋体" w:hAnsi="Times New Roman" w:eastAsia="仿宋_GB2312" w:cs="宋体"/>
          <w:color w:val="auto"/>
          <w:kern w:val="0"/>
          <w:sz w:val="32"/>
          <w:lang w:bidi="ar"/>
        </w:rPr>
      </w:pPr>
      <w:r>
        <w:rPr>
          <w:rFonts w:hint="eastAsia" w:eastAsia="仿宋_GB2312"/>
          <w:color w:val="auto"/>
          <w:sz w:val="32"/>
          <w:szCs w:val="40"/>
        </w:rPr>
        <w:t>充分发挥财政资金引导作用，在产业资金统筹机制下，加大对本计划重点平台、重大项目以及各类试点示范的支持力度</w:t>
      </w:r>
      <w:r>
        <w:rPr>
          <w:rFonts w:hint="eastAsia" w:ascii="宋体" w:hAnsi="Times New Roman" w:eastAsia="仿宋_GB2312" w:cs="宋体"/>
          <w:color w:val="auto"/>
          <w:kern w:val="0"/>
          <w:sz w:val="32"/>
        </w:rPr>
        <w:t>。对接利用国家级、市级促进高精尖产业发展的各项产业政策，加强政策宣贯传递和项目申报兑现等服务。依托城市副中心产业引导基金，</w:t>
      </w:r>
      <w:r>
        <w:rPr>
          <w:rFonts w:hint="eastAsia" w:ascii="宋体" w:hAnsi="Times New Roman" w:eastAsia="仿宋_GB2312" w:cs="宋体"/>
          <w:color w:val="auto"/>
          <w:kern w:val="0"/>
          <w:sz w:val="32"/>
          <w:lang w:bidi="ar"/>
        </w:rPr>
        <w:t>研究建立先进制造业股权投资子基金，支持在京央企、各行业的龙头企业在副中心设立产业引导基金，引导金融资本和社会资本投向先进制造业各领域重点项目、重点企业。</w:t>
      </w:r>
      <w:r>
        <w:rPr>
          <w:rFonts w:hint="eastAsia" w:ascii="宋体" w:hAnsi="Times New Roman" w:eastAsia="仿宋_GB2312" w:cs="宋体"/>
          <w:color w:val="auto"/>
          <w:kern w:val="0"/>
          <w:sz w:val="32"/>
        </w:rPr>
        <w:t>大力引进各类原始</w:t>
      </w:r>
      <w:r>
        <w:rPr>
          <w:rFonts w:hint="eastAsia" w:ascii="宋体" w:hAnsi="Times New Roman" w:eastAsia="仿宋_GB2312" w:cs="宋体"/>
          <w:kern w:val="0"/>
          <w:sz w:val="32"/>
        </w:rPr>
        <w:t>创新基金、天使投资基金、成果转化基金、并购基金、产业发展基金等基金管理企业和基金企业，形成创投风投产业集群。</w:t>
      </w:r>
      <w:r>
        <w:rPr>
          <w:rFonts w:hint="eastAsia" w:ascii="宋体" w:hAnsi="Times New Roman" w:eastAsia="仿宋_GB2312" w:cs="宋体"/>
          <w:color w:val="auto"/>
          <w:kern w:val="0"/>
          <w:sz w:val="32"/>
          <w:lang w:bidi="ar"/>
        </w:rPr>
        <w:t>加强为符合申报条件的优质制造业企业协调人才落户、毕业生进京相关工作力度，积极为符合条件的优质制造业企业人才办理工作居住证。</w:t>
      </w:r>
    </w:p>
    <w:p>
      <w:pPr>
        <w:spacing w:line="600" w:lineRule="exact"/>
        <w:ind w:firstLine="640" w:firstLineChars="200"/>
        <w:outlineLvl w:val="1"/>
        <w:rPr>
          <w:rFonts w:ascii="楷体_GB2312" w:hAnsi="楷体_GB2312" w:eastAsia="楷体_GB2312" w:cs="楷体_GB2312"/>
          <w:color w:val="000000"/>
          <w:sz w:val="32"/>
          <w:szCs w:val="40"/>
        </w:rPr>
      </w:pPr>
      <w:bookmarkStart w:id="34" w:name="_Toc12527"/>
      <w:bookmarkStart w:id="35" w:name="_Toc26865"/>
      <w:bookmarkStart w:id="36" w:name="_Toc23747"/>
      <w:bookmarkStart w:id="37" w:name="_Toc17972"/>
      <w:bookmarkStart w:id="38" w:name="_Toc1310"/>
      <w:bookmarkStart w:id="39" w:name="_Toc11679"/>
      <w:bookmarkStart w:id="40" w:name="_Toc19975"/>
      <w:bookmarkStart w:id="41" w:name="_Toc1393"/>
      <w:r>
        <w:rPr>
          <w:rFonts w:hint="eastAsia" w:ascii="楷体_GB2312" w:hAnsi="楷体_GB2312" w:eastAsia="楷体_GB2312" w:cs="楷体_GB2312"/>
          <w:bCs/>
          <w:color w:val="000000"/>
          <w:sz w:val="32"/>
          <w:szCs w:val="40"/>
        </w:rPr>
        <w:t>（三）加强宣传</w:t>
      </w:r>
      <w:bookmarkEnd w:id="34"/>
      <w:r>
        <w:rPr>
          <w:rFonts w:hint="eastAsia" w:ascii="楷体_GB2312" w:hAnsi="楷体_GB2312" w:eastAsia="楷体_GB2312" w:cs="楷体_GB2312"/>
          <w:bCs/>
          <w:color w:val="000000"/>
          <w:sz w:val="32"/>
          <w:szCs w:val="40"/>
        </w:rPr>
        <w:t>引导</w:t>
      </w:r>
      <w:bookmarkEnd w:id="35"/>
    </w:p>
    <w:p>
      <w:pPr>
        <w:spacing w:line="600" w:lineRule="exact"/>
        <w:ind w:firstLine="640" w:firstLineChars="200"/>
        <w:jc w:val="left"/>
        <w:rPr>
          <w:rFonts w:ascii="仿宋_GB2312" w:hAnsi="仿宋_GB2312" w:eastAsia="仿宋_GB2312" w:cs="仿宋_GB2312"/>
          <w:color w:val="000000"/>
          <w:sz w:val="32"/>
          <w:szCs w:val="40"/>
        </w:rPr>
      </w:pPr>
      <w:r>
        <w:rPr>
          <w:rFonts w:hint="eastAsia" w:ascii="仿宋_GB2312" w:hAnsi="仿宋_GB2312" w:eastAsia="仿宋_GB2312" w:cs="仿宋_GB2312"/>
          <w:color w:val="000000"/>
          <w:sz w:val="32"/>
          <w:szCs w:val="40"/>
        </w:rPr>
        <w:t>围绕产业链、空间布局、重大项目投资、公共服务、政策服务等主题，统筹开展先进制造业宣传工作，增强企业在城市副中心发展先进制造业的信心和决心。大力宣传重大项目、创新成果、创新企业、创新人物、创新政策，强化典型带动,营造良好发展氛围。</w:t>
      </w:r>
    </w:p>
    <w:p>
      <w:pPr>
        <w:spacing w:line="600" w:lineRule="exact"/>
        <w:ind w:firstLine="640" w:firstLineChars="200"/>
        <w:outlineLvl w:val="1"/>
        <w:rPr>
          <w:rFonts w:ascii="楷体_GB2312" w:hAnsi="楷体_GB2312" w:eastAsia="楷体_GB2312" w:cs="楷体_GB2312"/>
          <w:color w:val="000000"/>
          <w:sz w:val="32"/>
          <w:szCs w:val="40"/>
        </w:rPr>
      </w:pPr>
      <w:bookmarkStart w:id="42" w:name="_Toc21608"/>
      <w:bookmarkStart w:id="43" w:name="_Toc28106"/>
      <w:r>
        <w:rPr>
          <w:rFonts w:hint="eastAsia" w:ascii="楷体_GB2312" w:hAnsi="楷体_GB2312" w:eastAsia="楷体_GB2312" w:cs="楷体_GB2312"/>
          <w:bCs/>
          <w:color w:val="000000"/>
          <w:sz w:val="32"/>
          <w:szCs w:val="40"/>
        </w:rPr>
        <w:t>（四）</w:t>
      </w:r>
      <w:bookmarkEnd w:id="36"/>
      <w:bookmarkEnd w:id="37"/>
      <w:bookmarkEnd w:id="38"/>
      <w:bookmarkEnd w:id="39"/>
      <w:bookmarkEnd w:id="40"/>
      <w:bookmarkEnd w:id="41"/>
      <w:bookmarkEnd w:id="42"/>
      <w:bookmarkEnd w:id="43"/>
      <w:r>
        <w:rPr>
          <w:rFonts w:hint="eastAsia" w:ascii="楷体_GB2312" w:hAnsi="楷体_GB2312" w:eastAsia="楷体_GB2312" w:cs="楷体_GB2312"/>
          <w:bCs/>
          <w:color w:val="000000"/>
          <w:sz w:val="32"/>
          <w:szCs w:val="40"/>
        </w:rPr>
        <w:t>抓好任务落实</w:t>
      </w:r>
    </w:p>
    <w:p>
      <w:pPr>
        <w:pStyle w:val="24"/>
        <w:spacing w:line="600" w:lineRule="exact"/>
        <w:ind w:firstLine="640" w:firstLineChars="200"/>
        <w:rPr>
          <w:rFonts w:hAnsi="Calibri" w:eastAsia="仿宋_GB2312"/>
          <w:color w:val="auto"/>
          <w:sz w:val="32"/>
          <w:lang w:bidi="ar"/>
        </w:rPr>
      </w:pPr>
      <w:r>
        <w:rPr>
          <w:rFonts w:hint="eastAsia" w:ascii="仿宋_GB2312" w:hAnsi="仿宋_GB2312" w:eastAsia="仿宋_GB2312" w:cs="仿宋_GB2312"/>
          <w:kern w:val="2"/>
          <w:sz w:val="32"/>
          <w:szCs w:val="40"/>
        </w:rPr>
        <w:t>坚持清单化管理、项目化推进，制定任务台账和项目台账，强化落地实施。建立健全先进制造业重点指标的监测体系，</w:t>
      </w:r>
      <w:r>
        <w:rPr>
          <w:rFonts w:hint="eastAsia" w:ascii="仿宋_GB2312" w:hAnsi="仿宋_GB2312" w:eastAsia="仿宋_GB2312" w:cs="仿宋_GB2312"/>
          <w:color w:val="auto"/>
          <w:kern w:val="2"/>
          <w:sz w:val="32"/>
          <w:szCs w:val="40"/>
        </w:rPr>
        <w:t>依托城市副中心“城市大脑”，增强经济管理功能，建立健全城市副中心产业发展评估机制</w:t>
      </w:r>
      <w:r>
        <w:rPr>
          <w:rFonts w:hint="eastAsia" w:ascii="仿宋_GB2312" w:hAnsi="仿宋_GB2312" w:eastAsia="仿宋_GB2312" w:cs="仿宋_GB2312"/>
          <w:kern w:val="2"/>
          <w:sz w:val="32"/>
          <w:szCs w:val="40"/>
        </w:rPr>
        <w:t>。强化中关村通州园和各功能区、各镇产业发展的一线主体责任，加强工作联系对接，定期汇报工作进展，确保目标任务落实落细。</w:t>
      </w:r>
    </w:p>
    <w:p>
      <w:pPr>
        <w:spacing w:line="600" w:lineRule="exact"/>
        <w:rPr>
          <w:rFonts w:hint="eastAsia"/>
          <w:color w:val="000000"/>
        </w:rPr>
      </w:pPr>
    </w:p>
    <w:p>
      <w:pPr>
        <w:pStyle w:val="2"/>
        <w:ind w:firstLine="420"/>
        <w:rPr>
          <w:rFonts w:hint="eastAsia"/>
        </w:rPr>
      </w:pPr>
    </w:p>
    <w:p>
      <w:pPr>
        <w:rPr>
          <w:rFonts w:hint="eastAsia"/>
        </w:rPr>
      </w:pPr>
    </w:p>
    <w:p>
      <w:pPr>
        <w:pStyle w:val="2"/>
        <w:ind w:firstLine="420"/>
        <w:rPr>
          <w:rFonts w:hint="eastAsia"/>
        </w:rPr>
      </w:pPr>
    </w:p>
    <w:p>
      <w:pPr>
        <w:rPr>
          <w:rFonts w:hint="eastAsia"/>
        </w:rPr>
      </w:pPr>
    </w:p>
    <w:p>
      <w:pPr>
        <w:pStyle w:val="2"/>
        <w:ind w:firstLine="420"/>
        <w:rPr>
          <w:rFonts w:hint="eastAsia"/>
        </w:rPr>
      </w:pPr>
    </w:p>
    <w:p>
      <w:pPr>
        <w:rPr>
          <w:rFonts w:hint="eastAsia"/>
        </w:rPr>
      </w:pPr>
    </w:p>
    <w:p>
      <w:pPr>
        <w:pStyle w:val="2"/>
        <w:ind w:firstLine="420"/>
        <w:rPr>
          <w:rFonts w:hint="eastAsia"/>
        </w:rPr>
      </w:pPr>
    </w:p>
    <w:p>
      <w:pPr>
        <w:rPr>
          <w:rFonts w:hint="eastAsia"/>
        </w:rPr>
      </w:pPr>
    </w:p>
    <w:p>
      <w:pPr>
        <w:pStyle w:val="2"/>
        <w:ind w:firstLine="420"/>
        <w:rPr>
          <w:rFonts w:hint="eastAsia"/>
        </w:rPr>
      </w:pPr>
    </w:p>
    <w:p>
      <w:pPr>
        <w:rPr>
          <w:rFonts w:hint="eastAsia"/>
        </w:rPr>
      </w:pPr>
    </w:p>
    <w:p>
      <w:pPr>
        <w:pStyle w:val="2"/>
        <w:ind w:firstLine="420"/>
        <w:rPr>
          <w:rFonts w:hint="eastAsia"/>
        </w:rPr>
      </w:pPr>
    </w:p>
    <w:p>
      <w:pPr>
        <w:rPr>
          <w:rFonts w:hint="eastAsia"/>
        </w:rPr>
      </w:pPr>
    </w:p>
    <w:p>
      <w:pPr>
        <w:pStyle w:val="2"/>
        <w:ind w:firstLine="420"/>
        <w:rPr>
          <w:rFonts w:hint="eastAsia"/>
        </w:rPr>
      </w:pPr>
    </w:p>
    <w:p>
      <w:pPr>
        <w:spacing w:line="560" w:lineRule="exact"/>
        <w:rPr>
          <w:rFonts w:hint="eastAsia"/>
        </w:rPr>
      </w:pPr>
    </w:p>
    <w:p>
      <w:pPr>
        <w:pStyle w:val="2"/>
        <w:spacing w:line="560" w:lineRule="exact"/>
        <w:ind w:firstLine="420"/>
        <w:rPr>
          <w:rFonts w:hint="eastAsia"/>
        </w:rPr>
      </w:pPr>
    </w:p>
    <w:p>
      <w:pPr>
        <w:pStyle w:val="2"/>
        <w:spacing w:line="560" w:lineRule="exact"/>
        <w:ind w:firstLine="420"/>
        <w:rPr>
          <w:rFonts w:hint="eastAsia"/>
        </w:rPr>
      </w:pPr>
    </w:p>
    <w:p>
      <w:pPr>
        <w:rPr>
          <w:rFonts w:hint="eastAsia"/>
        </w:rPr>
      </w:pPr>
    </w:p>
    <w:p>
      <w:pPr>
        <w:pStyle w:val="2"/>
        <w:spacing w:line="600" w:lineRule="exact"/>
        <w:ind w:left="3360" w:firstLine="420"/>
        <w:rPr>
          <w:rFonts w:hint="eastAsia"/>
        </w:rPr>
      </w:pPr>
    </w:p>
    <w:p>
      <w:pPr>
        <w:spacing w:line="600" w:lineRule="exact"/>
        <w:rPr>
          <w:rFonts w:hint="eastAsia" w:ascii="仿宋_GB2312" w:eastAsia="仿宋_GB2312"/>
          <w:sz w:val="28"/>
          <w:szCs w:val="28"/>
        </w:rPr>
      </w:pPr>
      <w:r>
        <w:rPr>
          <w:rFonts w:hint="eastAsia" w:ascii="仿宋_GB2312" w:eastAsia="仿宋_GB231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86360</wp:posOffset>
                </wp:positionV>
                <wp:extent cx="5600700" cy="0"/>
                <wp:effectExtent l="0" t="0" r="0" b="0"/>
                <wp:wrapNone/>
                <wp:docPr id="1" name="Line 1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0" o:spid="_x0000_s1026" o:spt="20" style="position:absolute;left:0pt;margin-left:0pt;margin-top:6.8pt;height:0pt;width:441pt;z-index:251659264;mso-width-relative:page;mso-height-relative:page;" filled="f" stroked="t" coordsize="21600,21600" o:gfxdata="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x92QI0gAAAAYBAAAPAAAAAAAAAAEAIAAA&#10;ACIAAABkcnMvZG93bnJldi54bWxQSwECFAAUAAAACACHTuJAlf4LU9kBAADaAwAADgAAAAAAAAAB&#10;ACAAAAAhAQAAZHJzL2Uyb0RvYy54bWxQSwUGAAAAAAYABgBZAQAAbAUAAAAA&#10;">
                <v:fill on="f" focussize="0,0"/>
                <v:stroke color="#000000" joinstyle="round"/>
                <v:imagedata o:title=""/>
                <o:lock v:ext="edit" aspectratio="f"/>
              </v:line>
            </w:pict>
          </mc:Fallback>
        </mc:AlternateContent>
      </w:r>
      <w:r>
        <w:rPr>
          <w:rFonts w:hint="eastAsia" w:ascii="仿宋_GB2312" w:eastAsia="仿宋_GB2312"/>
          <w:sz w:val="28"/>
          <w:szCs w:val="28"/>
        </w:rPr>
        <w:t xml:space="preserve">  抄送：区委各部、委、办，区人大办公室，区政协办公室，区法院，</w:t>
      </w:r>
    </w:p>
    <w:p>
      <w:pPr>
        <w:spacing w:line="600" w:lineRule="exact"/>
        <w:ind w:firstLine="1078" w:firstLineChars="385"/>
        <w:rPr>
          <w:rFonts w:hint="eastAsia" w:ascii="仿宋_GB2312" w:eastAsia="仿宋_GB2312"/>
          <w:sz w:val="28"/>
          <w:szCs w:val="28"/>
        </w:rPr>
      </w:pPr>
      <w:r>
        <w:rPr>
          <w:rFonts w:hint="eastAsia" w:ascii="仿宋_GB2312" w:eastAsia="仿宋_GB2312"/>
          <w:sz w:val="28"/>
          <w:szCs w:val="28"/>
        </w:rPr>
        <w:t>区检察院，区各人民团体。</w:t>
      </w:r>
    </w:p>
    <w:p>
      <w:pPr>
        <w:tabs>
          <w:tab w:val="left" w:pos="315"/>
          <w:tab w:val="left" w:pos="525"/>
        </w:tabs>
        <w:spacing w:line="600" w:lineRule="exact"/>
        <w:ind w:firstLine="315" w:firstLineChars="150"/>
        <w:rPr>
          <w:rFonts w:hint="eastAsia"/>
        </w:rPr>
      </w:pPr>
      <w:r>
        <w:rPr>
          <w:rFonts w:hint="eastAsia"/>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388620</wp:posOffset>
                </wp:positionV>
                <wp:extent cx="5600700" cy="0"/>
                <wp:effectExtent l="0" t="0" r="0" b="0"/>
                <wp:wrapNone/>
                <wp:docPr id="3" name="Line 1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2" o:spid="_x0000_s1026" o:spt="20" style="position:absolute;left:0pt;margin-left:0pt;margin-top:30.6pt;height:0pt;width:441pt;z-index:251661312;mso-width-relative:page;mso-height-relative:page;" filled="f" stroked="t" coordsize="21600,21600" o:gfxdata="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Q4e8ttMAAAAGAQAADwAAAAAAAAAB&#10;ACAAAAAiAAAAZHJzL2Rvd25yZXYueG1sUEsBAhQAFAAAAAgAh07iQH/D/CLcAQAA2gMAAA4AAAAA&#10;AAAAAQAgAAAAIgEAAGRycy9lMm9Eb2MueG1sUEsFBgAAAAAGAAYAWQEAAHAFA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-1905</wp:posOffset>
                </wp:positionV>
                <wp:extent cx="5600700" cy="0"/>
                <wp:effectExtent l="0" t="0" r="0" b="0"/>
                <wp:wrapNone/>
                <wp:docPr id="2" name="Line 1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1" o:spid="_x0000_s1026" o:spt="20" style="position:absolute;left:0pt;margin-left:0pt;margin-top:-0.15pt;height:0pt;width:441pt;z-index:251660288;mso-width-relative:page;mso-height-relative:page;" filled="f" stroked="t" coordsize="21600,21600" o:gfxdata="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CmR6PfSAAAABAEAAA8AAAAAAAAAAQAg&#10;AAAAIgAAAGRycy9kb3ducmV2LnhtbFBLAQIUABQAAAAIAIdO4kB233Ug2wEAANoDAAAOAAAAAAAA&#10;AAEAIAAAACEBAABkcnMvZTJvRG9jLnhtbFBLBQYAAAAABgAGAFkBAABuBQAAAAA=&#10;">
                <v:fill on="f" focussize="0,0"/>
                <v:stroke color="#000000" joinstyle="round"/>
                <v:imagedata o:title=""/>
                <o:lock v:ext="edit" aspectratio="f"/>
              </v:line>
            </w:pict>
          </mc:Fallback>
        </mc:AlternateContent>
      </w:r>
      <w:r>
        <w:rPr>
          <w:rFonts w:hint="eastAsia" w:ascii="仿宋_GB2312" w:eastAsia="仿宋_GB2312"/>
          <w:sz w:val="28"/>
          <w:szCs w:val="28"/>
        </w:rPr>
        <w:t xml:space="preserve">北京市通州区人民政府办公室             2022年10月31日印发  </w:t>
      </w:r>
    </w:p>
    <w:sectPr>
      <w:footerReference r:id="rId3" w:type="default"/>
      <w:footerReference r:id="rId4" w:type="even"/>
      <w:pgSz w:w="11906" w:h="16838"/>
      <w:pgMar w:top="1701" w:right="1474" w:bottom="1701" w:left="1588"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1A2068B-9278-457D-81B2-8BBF37189A3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2FEA4FC2-D99D-4314-ABCE-D313AE785C92}"/>
  </w:font>
  <w:font w:name="仿宋_GB2312">
    <w:panose1 w:val="02010609030101010101"/>
    <w:charset w:val="86"/>
    <w:family w:val="modern"/>
    <w:pitch w:val="default"/>
    <w:sig w:usb0="00000001" w:usb1="080E0000" w:usb2="00000000" w:usb3="00000000" w:csb0="00040000" w:csb1="00000000"/>
    <w:embedRegular r:id="rId3" w:fontKey="{DF8C128B-F4BA-420D-8238-6F1A7140AFEB}"/>
  </w:font>
  <w:font w:name="Tahoma">
    <w:panose1 w:val="020B0604030504040204"/>
    <w:charset w:val="00"/>
    <w:family w:val="swiss"/>
    <w:pitch w:val="default"/>
    <w:sig w:usb0="E1002EFF" w:usb1="C000605B" w:usb2="00000029" w:usb3="00000000" w:csb0="200101FF" w:csb1="20280000"/>
  </w:font>
  <w:font w:name="font-weight : 400">
    <w:altName w:val="Latha"/>
    <w:panose1 w:val="020B0604020202020204"/>
    <w:charset w:val="00"/>
    <w:family w:val="auto"/>
    <w:pitch w:val="default"/>
    <w:sig w:usb0="00000000" w:usb1="00000000" w:usb2="00000000" w:usb3="00000000" w:csb0="00040001" w:csb1="00000000"/>
  </w:font>
  <w:font w:name="Latha">
    <w:panose1 w:val="020B0604020202020204"/>
    <w:charset w:val="00"/>
    <w:family w:val="auto"/>
    <w:pitch w:val="default"/>
    <w:sig w:usb0="00100003" w:usb1="00000000" w:usb2="00000000" w:usb3="00000000" w:csb0="00000001" w:csb1="00000000"/>
  </w:font>
  <w:font w:name="方正小标宋简体">
    <w:panose1 w:val="02010601030101010101"/>
    <w:charset w:val="86"/>
    <w:family w:val="auto"/>
    <w:pitch w:val="default"/>
    <w:sig w:usb0="00000001" w:usb1="080E0000" w:usb2="00000000" w:usb3="00000000" w:csb0="00040000" w:csb1="00000000"/>
  </w:font>
  <w:font w:name="小标宋">
    <w:panose1 w:val="03000509000000000000"/>
    <w:charset w:val="86"/>
    <w:family w:val="script"/>
    <w:pitch w:val="default"/>
    <w:sig w:usb0="00000001" w:usb1="080E0000" w:usb2="00000000" w:usb3="00000000" w:csb0="00040000" w:csb1="00000000"/>
    <w:embedRegular r:id="rId4" w:fontKey="{F632F973-ACDE-487E-B469-BCCC81AA7B37}"/>
  </w:font>
  <w:font w:name="楷体_GB2312">
    <w:panose1 w:val="02010609030101010101"/>
    <w:charset w:val="86"/>
    <w:family w:val="modern"/>
    <w:pitch w:val="default"/>
    <w:sig w:usb0="00000001" w:usb1="080E0000" w:usb2="00000000" w:usb3="00000000" w:csb0="00040000" w:csb1="00000000"/>
    <w:embedRegular r:id="rId5" w:fontKey="{1EE51892-1AE8-48AB-95E8-5FAE82A1D3FC}"/>
  </w:font>
  <w:font w:name="微软雅黑">
    <w:panose1 w:val="020B0503020204020204"/>
    <w:charset w:val="86"/>
    <w:family w:val="swiss"/>
    <w:pitch w:val="default"/>
    <w:sig w:usb0="80000287" w:usb1="2ACF3C50" w:usb2="00000016" w:usb3="00000000" w:csb0="0004001F" w:csb1="00000000"/>
    <w:embedRegular r:id="rId6" w:fontKey="{CE215209-CED2-4829-B0E6-F0BDB343AEF1}"/>
  </w:font>
  <w:font w:name="仿宋">
    <w:panose1 w:val="02010609060101010101"/>
    <w:charset w:val="86"/>
    <w:family w:val="modern"/>
    <w:pitch w:val="default"/>
    <w:sig w:usb0="800002BF" w:usb1="38CF7CFA" w:usb2="00000016" w:usb3="00000000" w:csb0="00040001" w:csb1="00000000"/>
    <w:embedRegular r:id="rId7" w:fontKey="{A3461ED6-87B6-42B7-AECB-47700383B2A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page" w:x="9149" w:y="-23"/>
      <w:rPr>
        <w:rStyle w:val="20"/>
        <w:rFonts w:hint="eastAsia" w:ascii="宋体" w:hAnsi="宋体"/>
        <w:sz w:val="28"/>
        <w:szCs w:val="28"/>
      </w:rPr>
    </w:pPr>
    <w:r>
      <w:rPr>
        <w:rStyle w:val="20"/>
        <w:rFonts w:hint="eastAsia" w:ascii="宋体" w:hAnsi="宋体"/>
        <w:sz w:val="28"/>
        <w:szCs w:val="28"/>
      </w:rPr>
      <w:t xml:space="preserve">－ </w:t>
    </w:r>
    <w:r>
      <w:rPr>
        <w:rStyle w:val="20"/>
        <w:rFonts w:ascii="宋体" w:hAnsi="宋体"/>
        <w:sz w:val="28"/>
        <w:szCs w:val="28"/>
      </w:rPr>
      <w:fldChar w:fldCharType="begin"/>
    </w:r>
    <w:r>
      <w:rPr>
        <w:rStyle w:val="20"/>
        <w:rFonts w:ascii="宋体" w:hAnsi="宋体"/>
        <w:sz w:val="28"/>
        <w:szCs w:val="28"/>
      </w:rPr>
      <w:instrText xml:space="preserve">PAGE  </w:instrText>
    </w:r>
    <w:r>
      <w:rPr>
        <w:rStyle w:val="20"/>
        <w:rFonts w:ascii="宋体" w:hAnsi="宋体"/>
        <w:sz w:val="28"/>
        <w:szCs w:val="28"/>
      </w:rPr>
      <w:fldChar w:fldCharType="separate"/>
    </w:r>
    <w:r>
      <w:rPr>
        <w:rStyle w:val="20"/>
        <w:rFonts w:ascii="宋体" w:hAnsi="宋体"/>
        <w:sz w:val="28"/>
        <w:szCs w:val="28"/>
      </w:rPr>
      <w:t>17</w:t>
    </w:r>
    <w:r>
      <w:rPr>
        <w:rStyle w:val="20"/>
        <w:rFonts w:ascii="宋体" w:hAnsi="宋体"/>
        <w:sz w:val="28"/>
        <w:szCs w:val="28"/>
      </w:rPr>
      <w:fldChar w:fldCharType="end"/>
    </w:r>
    <w:r>
      <w:rPr>
        <w:rStyle w:val="20"/>
        <w:rFonts w:hint="eastAsia" w:ascii="宋体" w:hAnsi="宋体"/>
        <w:sz w:val="28"/>
        <w:szCs w:val="28"/>
      </w:rPr>
      <w:t xml:space="preserve"> －</w:t>
    </w:r>
  </w:p>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y="1"/>
      <w:ind w:firstLine="280" w:firstLineChars="100"/>
      <w:rPr>
        <w:rStyle w:val="20"/>
        <w:rFonts w:hint="eastAsia" w:ascii="宋体" w:hAnsi="宋体"/>
        <w:sz w:val="28"/>
        <w:szCs w:val="28"/>
      </w:rPr>
    </w:pPr>
    <w:r>
      <w:rPr>
        <w:rStyle w:val="20"/>
        <w:rFonts w:hint="eastAsia" w:ascii="宋体" w:hAnsi="宋体"/>
        <w:sz w:val="28"/>
        <w:szCs w:val="28"/>
      </w:rPr>
      <w:t xml:space="preserve">－ </w:t>
    </w:r>
    <w:r>
      <w:rPr>
        <w:rStyle w:val="20"/>
        <w:rFonts w:ascii="宋体" w:hAnsi="宋体"/>
        <w:sz w:val="28"/>
        <w:szCs w:val="28"/>
      </w:rPr>
      <w:fldChar w:fldCharType="begin"/>
    </w:r>
    <w:r>
      <w:rPr>
        <w:rStyle w:val="20"/>
        <w:rFonts w:ascii="宋体" w:hAnsi="宋体"/>
        <w:sz w:val="28"/>
        <w:szCs w:val="28"/>
      </w:rPr>
      <w:instrText xml:space="preserve">PAGE  </w:instrText>
    </w:r>
    <w:r>
      <w:rPr>
        <w:rStyle w:val="20"/>
        <w:rFonts w:ascii="宋体" w:hAnsi="宋体"/>
        <w:sz w:val="28"/>
        <w:szCs w:val="28"/>
      </w:rPr>
      <w:fldChar w:fldCharType="separate"/>
    </w:r>
    <w:r>
      <w:rPr>
        <w:rStyle w:val="20"/>
        <w:rFonts w:ascii="宋体" w:hAnsi="宋体"/>
        <w:sz w:val="28"/>
        <w:szCs w:val="28"/>
      </w:rPr>
      <w:t>16</w:t>
    </w:r>
    <w:r>
      <w:rPr>
        <w:rStyle w:val="20"/>
        <w:rFonts w:ascii="宋体" w:hAnsi="宋体"/>
        <w:sz w:val="28"/>
        <w:szCs w:val="28"/>
      </w:rPr>
      <w:fldChar w:fldCharType="end"/>
    </w:r>
    <w:r>
      <w:rPr>
        <w:rStyle w:val="20"/>
        <w:rFonts w:hint="eastAsia" w:ascii="宋体" w:hAnsi="宋体"/>
        <w:sz w:val="28"/>
        <w:szCs w:val="28"/>
      </w:rPr>
      <w:t xml:space="preserve"> －</w:t>
    </w:r>
  </w:p>
  <w:p>
    <w:pPr>
      <w:pStyle w:val="10"/>
      <w:ind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xMDNkZDJmMmFiYzA4NTg0N2YyMTY0MTcwZTU4OTYifQ=="/>
  </w:docVars>
  <w:rsids>
    <w:rsidRoot w:val="75A34E31"/>
    <w:rsid w:val="000330D3"/>
    <w:rsid w:val="0003349B"/>
    <w:rsid w:val="0009731A"/>
    <w:rsid w:val="000A37CB"/>
    <w:rsid w:val="000B040C"/>
    <w:rsid w:val="000D73B2"/>
    <w:rsid w:val="001213B1"/>
    <w:rsid w:val="00133E56"/>
    <w:rsid w:val="0015025B"/>
    <w:rsid w:val="00172570"/>
    <w:rsid w:val="001956A3"/>
    <w:rsid w:val="001A7688"/>
    <w:rsid w:val="001B4188"/>
    <w:rsid w:val="001B5364"/>
    <w:rsid w:val="001C21A8"/>
    <w:rsid w:val="001C663F"/>
    <w:rsid w:val="001F6B70"/>
    <w:rsid w:val="00225970"/>
    <w:rsid w:val="00225ED8"/>
    <w:rsid w:val="002267EF"/>
    <w:rsid w:val="00246EE6"/>
    <w:rsid w:val="0025017B"/>
    <w:rsid w:val="00250F6E"/>
    <w:rsid w:val="00261631"/>
    <w:rsid w:val="002A1F12"/>
    <w:rsid w:val="002D0C96"/>
    <w:rsid w:val="002D2CA5"/>
    <w:rsid w:val="002F174F"/>
    <w:rsid w:val="00394513"/>
    <w:rsid w:val="00397833"/>
    <w:rsid w:val="003B18DE"/>
    <w:rsid w:val="003B46EC"/>
    <w:rsid w:val="003D6661"/>
    <w:rsid w:val="00412194"/>
    <w:rsid w:val="00414A38"/>
    <w:rsid w:val="00416442"/>
    <w:rsid w:val="004653E0"/>
    <w:rsid w:val="00495B7E"/>
    <w:rsid w:val="004A026D"/>
    <w:rsid w:val="004B614C"/>
    <w:rsid w:val="004E67E8"/>
    <w:rsid w:val="004F6A41"/>
    <w:rsid w:val="00502B1A"/>
    <w:rsid w:val="00516DAC"/>
    <w:rsid w:val="005175D1"/>
    <w:rsid w:val="00523916"/>
    <w:rsid w:val="005273E1"/>
    <w:rsid w:val="005345C0"/>
    <w:rsid w:val="00573AFA"/>
    <w:rsid w:val="00592285"/>
    <w:rsid w:val="005B24D6"/>
    <w:rsid w:val="005B2D79"/>
    <w:rsid w:val="005C2178"/>
    <w:rsid w:val="005D7348"/>
    <w:rsid w:val="00630779"/>
    <w:rsid w:val="00666AFC"/>
    <w:rsid w:val="006950B6"/>
    <w:rsid w:val="006954C0"/>
    <w:rsid w:val="006E20C9"/>
    <w:rsid w:val="007664E9"/>
    <w:rsid w:val="00773AED"/>
    <w:rsid w:val="00786E17"/>
    <w:rsid w:val="00790AAB"/>
    <w:rsid w:val="007C3223"/>
    <w:rsid w:val="007C5E1D"/>
    <w:rsid w:val="007D369E"/>
    <w:rsid w:val="00833E03"/>
    <w:rsid w:val="00893953"/>
    <w:rsid w:val="008B225B"/>
    <w:rsid w:val="008B5296"/>
    <w:rsid w:val="009246FD"/>
    <w:rsid w:val="009A3D8B"/>
    <w:rsid w:val="009D140E"/>
    <w:rsid w:val="009D266D"/>
    <w:rsid w:val="00A10C79"/>
    <w:rsid w:val="00A26E6B"/>
    <w:rsid w:val="00A46DF3"/>
    <w:rsid w:val="00A7778C"/>
    <w:rsid w:val="00A827A6"/>
    <w:rsid w:val="00A87939"/>
    <w:rsid w:val="00A93998"/>
    <w:rsid w:val="00AA5990"/>
    <w:rsid w:val="00AB153D"/>
    <w:rsid w:val="00AE5CED"/>
    <w:rsid w:val="00B10B7C"/>
    <w:rsid w:val="00B364DC"/>
    <w:rsid w:val="00B729F1"/>
    <w:rsid w:val="00B82F51"/>
    <w:rsid w:val="00B85A3E"/>
    <w:rsid w:val="00BB6C53"/>
    <w:rsid w:val="00BC6DA5"/>
    <w:rsid w:val="00BC70B7"/>
    <w:rsid w:val="00C03814"/>
    <w:rsid w:val="00C159DA"/>
    <w:rsid w:val="00CA35B6"/>
    <w:rsid w:val="00CF2425"/>
    <w:rsid w:val="00D07BD9"/>
    <w:rsid w:val="00D453C5"/>
    <w:rsid w:val="00DF39EC"/>
    <w:rsid w:val="00E265FC"/>
    <w:rsid w:val="00E34A1A"/>
    <w:rsid w:val="00E533A1"/>
    <w:rsid w:val="00E935AE"/>
    <w:rsid w:val="00F034BE"/>
    <w:rsid w:val="00F31B68"/>
    <w:rsid w:val="00F323C7"/>
    <w:rsid w:val="00F904CA"/>
    <w:rsid w:val="00FB271E"/>
    <w:rsid w:val="00FC5EF1"/>
    <w:rsid w:val="00FD7717"/>
    <w:rsid w:val="00FF3332"/>
    <w:rsid w:val="017C1D81"/>
    <w:rsid w:val="021D75C7"/>
    <w:rsid w:val="02342D62"/>
    <w:rsid w:val="02D51364"/>
    <w:rsid w:val="03A433A1"/>
    <w:rsid w:val="03E74CE9"/>
    <w:rsid w:val="040669DA"/>
    <w:rsid w:val="042A30EA"/>
    <w:rsid w:val="04B00E02"/>
    <w:rsid w:val="05134F05"/>
    <w:rsid w:val="05A11C2A"/>
    <w:rsid w:val="06CECBA6"/>
    <w:rsid w:val="07147CE0"/>
    <w:rsid w:val="07D53C19"/>
    <w:rsid w:val="07D87210"/>
    <w:rsid w:val="0946492F"/>
    <w:rsid w:val="098A05A8"/>
    <w:rsid w:val="098F2FB7"/>
    <w:rsid w:val="09AD1661"/>
    <w:rsid w:val="09B43B3F"/>
    <w:rsid w:val="09CB061B"/>
    <w:rsid w:val="0A88157A"/>
    <w:rsid w:val="0AA34809"/>
    <w:rsid w:val="0AEA3ABB"/>
    <w:rsid w:val="0B2E3626"/>
    <w:rsid w:val="0C830611"/>
    <w:rsid w:val="0D4E4F94"/>
    <w:rsid w:val="0D953C14"/>
    <w:rsid w:val="0E5D0BB8"/>
    <w:rsid w:val="0E7133A2"/>
    <w:rsid w:val="0E7C2172"/>
    <w:rsid w:val="0F2F360E"/>
    <w:rsid w:val="0F5777B5"/>
    <w:rsid w:val="0F9D5E6E"/>
    <w:rsid w:val="0FE5B5E2"/>
    <w:rsid w:val="0FF5209F"/>
    <w:rsid w:val="10160FC8"/>
    <w:rsid w:val="10225D97"/>
    <w:rsid w:val="11494E5B"/>
    <w:rsid w:val="11763776"/>
    <w:rsid w:val="118C63A3"/>
    <w:rsid w:val="12271F87"/>
    <w:rsid w:val="12972723"/>
    <w:rsid w:val="13334327"/>
    <w:rsid w:val="135D2D0F"/>
    <w:rsid w:val="13E23277"/>
    <w:rsid w:val="14726CAC"/>
    <w:rsid w:val="14BF39C0"/>
    <w:rsid w:val="14DE4217"/>
    <w:rsid w:val="153A256E"/>
    <w:rsid w:val="158B2097"/>
    <w:rsid w:val="18340CB0"/>
    <w:rsid w:val="184621F7"/>
    <w:rsid w:val="18593EA8"/>
    <w:rsid w:val="18E27505"/>
    <w:rsid w:val="1B605700"/>
    <w:rsid w:val="1B7D6D79"/>
    <w:rsid w:val="1BB24031"/>
    <w:rsid w:val="1C6269C2"/>
    <w:rsid w:val="1C6864C7"/>
    <w:rsid w:val="1C7555BF"/>
    <w:rsid w:val="1CCB5322"/>
    <w:rsid w:val="1D73253A"/>
    <w:rsid w:val="1D803F27"/>
    <w:rsid w:val="1DCDE75B"/>
    <w:rsid w:val="1DD113D5"/>
    <w:rsid w:val="1DEBA42B"/>
    <w:rsid w:val="1DEE0F00"/>
    <w:rsid w:val="1DFB5DF7"/>
    <w:rsid w:val="1EBF284A"/>
    <w:rsid w:val="1EE60F34"/>
    <w:rsid w:val="20FC29F4"/>
    <w:rsid w:val="21F61D58"/>
    <w:rsid w:val="21FA3874"/>
    <w:rsid w:val="228E25A3"/>
    <w:rsid w:val="22BA769D"/>
    <w:rsid w:val="23CC6BC7"/>
    <w:rsid w:val="23FB7EAF"/>
    <w:rsid w:val="243038AA"/>
    <w:rsid w:val="2487080C"/>
    <w:rsid w:val="24A6230F"/>
    <w:rsid w:val="25651416"/>
    <w:rsid w:val="25D36264"/>
    <w:rsid w:val="25E4473E"/>
    <w:rsid w:val="260716EF"/>
    <w:rsid w:val="260C15FF"/>
    <w:rsid w:val="273A4E19"/>
    <w:rsid w:val="27593519"/>
    <w:rsid w:val="27E66FDF"/>
    <w:rsid w:val="284929E2"/>
    <w:rsid w:val="290F09CA"/>
    <w:rsid w:val="2939549C"/>
    <w:rsid w:val="29FA34DA"/>
    <w:rsid w:val="2A391AB9"/>
    <w:rsid w:val="2ACD1116"/>
    <w:rsid w:val="2ADA2FFB"/>
    <w:rsid w:val="2B0D5BBA"/>
    <w:rsid w:val="2B2027C8"/>
    <w:rsid w:val="2D1C294A"/>
    <w:rsid w:val="2DA57F13"/>
    <w:rsid w:val="2E47179F"/>
    <w:rsid w:val="2E5B9E75"/>
    <w:rsid w:val="2EA163CF"/>
    <w:rsid w:val="2FFF0374"/>
    <w:rsid w:val="302F6025"/>
    <w:rsid w:val="3053473C"/>
    <w:rsid w:val="30740955"/>
    <w:rsid w:val="30F954E9"/>
    <w:rsid w:val="31B972FA"/>
    <w:rsid w:val="31E73F2C"/>
    <w:rsid w:val="3234467B"/>
    <w:rsid w:val="329314D7"/>
    <w:rsid w:val="329C2B19"/>
    <w:rsid w:val="331554AF"/>
    <w:rsid w:val="3329142E"/>
    <w:rsid w:val="33EF827A"/>
    <w:rsid w:val="3563EF0C"/>
    <w:rsid w:val="356D3AB8"/>
    <w:rsid w:val="35D206ED"/>
    <w:rsid w:val="363063D2"/>
    <w:rsid w:val="36BA5048"/>
    <w:rsid w:val="36D003D9"/>
    <w:rsid w:val="3757A3A3"/>
    <w:rsid w:val="37BA26A9"/>
    <w:rsid w:val="38561247"/>
    <w:rsid w:val="38687D28"/>
    <w:rsid w:val="38CD377D"/>
    <w:rsid w:val="397FACDA"/>
    <w:rsid w:val="39FFE88F"/>
    <w:rsid w:val="3A3F6B21"/>
    <w:rsid w:val="3AC765A2"/>
    <w:rsid w:val="3AE46545"/>
    <w:rsid w:val="3AF70BA9"/>
    <w:rsid w:val="3AFB632D"/>
    <w:rsid w:val="3BF7410A"/>
    <w:rsid w:val="3BF74319"/>
    <w:rsid w:val="3C6249C4"/>
    <w:rsid w:val="3CC04858"/>
    <w:rsid w:val="3CDC2E08"/>
    <w:rsid w:val="3D55627E"/>
    <w:rsid w:val="3DBA7944"/>
    <w:rsid w:val="3DBE1736"/>
    <w:rsid w:val="3DEE69DD"/>
    <w:rsid w:val="3DFF26BC"/>
    <w:rsid w:val="3E045955"/>
    <w:rsid w:val="3E54402B"/>
    <w:rsid w:val="3EC6797A"/>
    <w:rsid w:val="3F2F7D19"/>
    <w:rsid w:val="3F813261"/>
    <w:rsid w:val="3FBF88C0"/>
    <w:rsid w:val="3FEE07F8"/>
    <w:rsid w:val="3FF7486A"/>
    <w:rsid w:val="3FFF9F47"/>
    <w:rsid w:val="40791884"/>
    <w:rsid w:val="40A05F63"/>
    <w:rsid w:val="40DC6EB0"/>
    <w:rsid w:val="40DF4AE0"/>
    <w:rsid w:val="415A58D2"/>
    <w:rsid w:val="424E4A8F"/>
    <w:rsid w:val="438B4A22"/>
    <w:rsid w:val="43B75E42"/>
    <w:rsid w:val="43FDE806"/>
    <w:rsid w:val="44B6719A"/>
    <w:rsid w:val="44DE561B"/>
    <w:rsid w:val="456B5F2C"/>
    <w:rsid w:val="45785427"/>
    <w:rsid w:val="45D554E0"/>
    <w:rsid w:val="4635AB0E"/>
    <w:rsid w:val="46EB6C3E"/>
    <w:rsid w:val="47506880"/>
    <w:rsid w:val="476A5CC8"/>
    <w:rsid w:val="47A21CF6"/>
    <w:rsid w:val="47B440D5"/>
    <w:rsid w:val="48355668"/>
    <w:rsid w:val="48773685"/>
    <w:rsid w:val="489A2F5D"/>
    <w:rsid w:val="4A7B6FBF"/>
    <w:rsid w:val="4B0A17B6"/>
    <w:rsid w:val="4B9E1324"/>
    <w:rsid w:val="4BA03598"/>
    <w:rsid w:val="4BAF6952"/>
    <w:rsid w:val="4BB3533A"/>
    <w:rsid w:val="4BDE640D"/>
    <w:rsid w:val="4C007525"/>
    <w:rsid w:val="4C045178"/>
    <w:rsid w:val="4C884F38"/>
    <w:rsid w:val="4CCF7799"/>
    <w:rsid w:val="4CE40ADD"/>
    <w:rsid w:val="4E3A024C"/>
    <w:rsid w:val="4E4B7829"/>
    <w:rsid w:val="4E64061F"/>
    <w:rsid w:val="4EE23C1E"/>
    <w:rsid w:val="4EF461C1"/>
    <w:rsid w:val="4EFF1104"/>
    <w:rsid w:val="4F10078B"/>
    <w:rsid w:val="4F270A02"/>
    <w:rsid w:val="4F376F84"/>
    <w:rsid w:val="4F6D53A0"/>
    <w:rsid w:val="507734DE"/>
    <w:rsid w:val="508A58C1"/>
    <w:rsid w:val="50EF4228"/>
    <w:rsid w:val="510B404F"/>
    <w:rsid w:val="51880DF1"/>
    <w:rsid w:val="521EFD44"/>
    <w:rsid w:val="52E26050"/>
    <w:rsid w:val="53121929"/>
    <w:rsid w:val="53570DD0"/>
    <w:rsid w:val="53E04E54"/>
    <w:rsid w:val="54005E6F"/>
    <w:rsid w:val="54DC5CAB"/>
    <w:rsid w:val="55023CC9"/>
    <w:rsid w:val="550F3E63"/>
    <w:rsid w:val="55AC416F"/>
    <w:rsid w:val="55EE4C56"/>
    <w:rsid w:val="55FFDED3"/>
    <w:rsid w:val="560B61FA"/>
    <w:rsid w:val="56984370"/>
    <w:rsid w:val="56D36DFD"/>
    <w:rsid w:val="578E6198"/>
    <w:rsid w:val="579E0508"/>
    <w:rsid w:val="57BDAFFA"/>
    <w:rsid w:val="57F5678F"/>
    <w:rsid w:val="59B12B6A"/>
    <w:rsid w:val="59D72A37"/>
    <w:rsid w:val="5A256ADE"/>
    <w:rsid w:val="5A3C38CF"/>
    <w:rsid w:val="5BEBBA26"/>
    <w:rsid w:val="5BFD0412"/>
    <w:rsid w:val="5C237711"/>
    <w:rsid w:val="5C735091"/>
    <w:rsid w:val="5CE202F5"/>
    <w:rsid w:val="5CF61997"/>
    <w:rsid w:val="5D9E658E"/>
    <w:rsid w:val="5DAE3D5E"/>
    <w:rsid w:val="5DAF5613"/>
    <w:rsid w:val="5DB9023F"/>
    <w:rsid w:val="5DC8176C"/>
    <w:rsid w:val="5DFECFF2"/>
    <w:rsid w:val="5E761E18"/>
    <w:rsid w:val="5EE169E4"/>
    <w:rsid w:val="5F053C8B"/>
    <w:rsid w:val="5F96705F"/>
    <w:rsid w:val="5FFF9FBD"/>
    <w:rsid w:val="611F4533"/>
    <w:rsid w:val="617475DE"/>
    <w:rsid w:val="62646003"/>
    <w:rsid w:val="62DD0E6A"/>
    <w:rsid w:val="62EA59F6"/>
    <w:rsid w:val="630144DC"/>
    <w:rsid w:val="632B733E"/>
    <w:rsid w:val="633F8447"/>
    <w:rsid w:val="63FE1306"/>
    <w:rsid w:val="641662CC"/>
    <w:rsid w:val="645F05FB"/>
    <w:rsid w:val="64693C1C"/>
    <w:rsid w:val="6514E251"/>
    <w:rsid w:val="653F3540"/>
    <w:rsid w:val="659D6C39"/>
    <w:rsid w:val="664B66C5"/>
    <w:rsid w:val="66DA64AB"/>
    <w:rsid w:val="67935CDE"/>
    <w:rsid w:val="679A57A4"/>
    <w:rsid w:val="67D717E6"/>
    <w:rsid w:val="68530493"/>
    <w:rsid w:val="68751908"/>
    <w:rsid w:val="68B42B6E"/>
    <w:rsid w:val="69990C1E"/>
    <w:rsid w:val="69FF9FD5"/>
    <w:rsid w:val="6AEB7B07"/>
    <w:rsid w:val="6B0FFC2B"/>
    <w:rsid w:val="6B531BE0"/>
    <w:rsid w:val="6B862711"/>
    <w:rsid w:val="6BEF7042"/>
    <w:rsid w:val="6CF0345C"/>
    <w:rsid w:val="6D271884"/>
    <w:rsid w:val="6D801078"/>
    <w:rsid w:val="6E28402A"/>
    <w:rsid w:val="6E7A5365"/>
    <w:rsid w:val="6EF04219"/>
    <w:rsid w:val="6EFFB9A1"/>
    <w:rsid w:val="6F0A100C"/>
    <w:rsid w:val="6F3239AE"/>
    <w:rsid w:val="6FA26D85"/>
    <w:rsid w:val="6FB2C655"/>
    <w:rsid w:val="6FE397C2"/>
    <w:rsid w:val="6FED0D78"/>
    <w:rsid w:val="6FFA43E5"/>
    <w:rsid w:val="6FFE5671"/>
    <w:rsid w:val="6FFF8212"/>
    <w:rsid w:val="7113174D"/>
    <w:rsid w:val="71401ABD"/>
    <w:rsid w:val="71E2000E"/>
    <w:rsid w:val="71E44801"/>
    <w:rsid w:val="71F74306"/>
    <w:rsid w:val="71F82F08"/>
    <w:rsid w:val="729B632B"/>
    <w:rsid w:val="72D666C9"/>
    <w:rsid w:val="73316A5C"/>
    <w:rsid w:val="735E642C"/>
    <w:rsid w:val="73E373FE"/>
    <w:rsid w:val="73E753F6"/>
    <w:rsid w:val="740A6CEC"/>
    <w:rsid w:val="74B92C5C"/>
    <w:rsid w:val="75A34E31"/>
    <w:rsid w:val="76435BA2"/>
    <w:rsid w:val="76570C5C"/>
    <w:rsid w:val="76676633"/>
    <w:rsid w:val="76FFB5AF"/>
    <w:rsid w:val="77AE1012"/>
    <w:rsid w:val="77C31D28"/>
    <w:rsid w:val="77F26C61"/>
    <w:rsid w:val="77F8E3A8"/>
    <w:rsid w:val="785D82EB"/>
    <w:rsid w:val="799C7377"/>
    <w:rsid w:val="79E87176"/>
    <w:rsid w:val="79FF9468"/>
    <w:rsid w:val="7A7F9D18"/>
    <w:rsid w:val="7ACFEA6F"/>
    <w:rsid w:val="7AEF44A6"/>
    <w:rsid w:val="7AFB37B3"/>
    <w:rsid w:val="7B751897"/>
    <w:rsid w:val="7BBF57ED"/>
    <w:rsid w:val="7BF33B0E"/>
    <w:rsid w:val="7C4C07F4"/>
    <w:rsid w:val="7C7D2F74"/>
    <w:rsid w:val="7CFF0A54"/>
    <w:rsid w:val="7D357ED0"/>
    <w:rsid w:val="7D5811F7"/>
    <w:rsid w:val="7D985ACE"/>
    <w:rsid w:val="7DD774B8"/>
    <w:rsid w:val="7DEFD833"/>
    <w:rsid w:val="7E6A3164"/>
    <w:rsid w:val="7E766502"/>
    <w:rsid w:val="7E8F0807"/>
    <w:rsid w:val="7EABA6E2"/>
    <w:rsid w:val="7EFA66E9"/>
    <w:rsid w:val="7EFC7BED"/>
    <w:rsid w:val="7EFF18AA"/>
    <w:rsid w:val="7EFFF404"/>
    <w:rsid w:val="7F152FDD"/>
    <w:rsid w:val="7F2750F5"/>
    <w:rsid w:val="7F3C8A34"/>
    <w:rsid w:val="7F6AAD06"/>
    <w:rsid w:val="7F7C140D"/>
    <w:rsid w:val="7FBEDDBC"/>
    <w:rsid w:val="7FBF181A"/>
    <w:rsid w:val="7FBF4357"/>
    <w:rsid w:val="7FC80B4F"/>
    <w:rsid w:val="7FDF03E2"/>
    <w:rsid w:val="7FDFDB5A"/>
    <w:rsid w:val="7FDFE3FE"/>
    <w:rsid w:val="7FEA9692"/>
    <w:rsid w:val="7FEB3313"/>
    <w:rsid w:val="7FEDBE7A"/>
    <w:rsid w:val="7FEE7B74"/>
    <w:rsid w:val="7FEE95EA"/>
    <w:rsid w:val="7FF50081"/>
    <w:rsid w:val="7FF55A5F"/>
    <w:rsid w:val="7FF55C90"/>
    <w:rsid w:val="7FFF4037"/>
    <w:rsid w:val="7FFFFCFC"/>
    <w:rsid w:val="8FB518AB"/>
    <w:rsid w:val="8FFF339D"/>
    <w:rsid w:val="9FEE35C3"/>
    <w:rsid w:val="B7BD40F9"/>
    <w:rsid w:val="B7DD7383"/>
    <w:rsid w:val="BCFEBAB8"/>
    <w:rsid w:val="BDAF0D69"/>
    <w:rsid w:val="BEC3B7F2"/>
    <w:rsid w:val="BF7FB2CC"/>
    <w:rsid w:val="BFCCB94A"/>
    <w:rsid w:val="BFDD6A06"/>
    <w:rsid w:val="BFEE7FC6"/>
    <w:rsid w:val="BFFF2E63"/>
    <w:rsid w:val="BFFFE209"/>
    <w:rsid w:val="C7F7ECB6"/>
    <w:rsid w:val="CBDDA7AB"/>
    <w:rsid w:val="CBFF71F2"/>
    <w:rsid w:val="D3FF6965"/>
    <w:rsid w:val="D3FFD207"/>
    <w:rsid w:val="D6FF3436"/>
    <w:rsid w:val="DAFF467D"/>
    <w:rsid w:val="DCFF8231"/>
    <w:rsid w:val="DDAD9F49"/>
    <w:rsid w:val="DED61A32"/>
    <w:rsid w:val="DEFFDA21"/>
    <w:rsid w:val="DFFBACCD"/>
    <w:rsid w:val="E62D9F8C"/>
    <w:rsid w:val="EB7E8B42"/>
    <w:rsid w:val="EBFD5655"/>
    <w:rsid w:val="EBFE9C8C"/>
    <w:rsid w:val="ECDF18C4"/>
    <w:rsid w:val="ECEDEFE2"/>
    <w:rsid w:val="EDBFE3B1"/>
    <w:rsid w:val="EDC5A68A"/>
    <w:rsid w:val="EEBFBCE3"/>
    <w:rsid w:val="EF77E906"/>
    <w:rsid w:val="EFB76643"/>
    <w:rsid w:val="F37CD296"/>
    <w:rsid w:val="F3EF7F34"/>
    <w:rsid w:val="F4F77854"/>
    <w:rsid w:val="F73ABB16"/>
    <w:rsid w:val="F779AA73"/>
    <w:rsid w:val="F7AF7746"/>
    <w:rsid w:val="F7B66CD8"/>
    <w:rsid w:val="F7D4306A"/>
    <w:rsid w:val="F7ED8020"/>
    <w:rsid w:val="F7FC4720"/>
    <w:rsid w:val="F9FFFB51"/>
    <w:rsid w:val="FB37E71C"/>
    <w:rsid w:val="FBAF00A3"/>
    <w:rsid w:val="FBEF01ED"/>
    <w:rsid w:val="FCF94C8D"/>
    <w:rsid w:val="FDA6B0F8"/>
    <w:rsid w:val="FDDF5200"/>
    <w:rsid w:val="FDEE3302"/>
    <w:rsid w:val="FE8FFFEC"/>
    <w:rsid w:val="FECD48F9"/>
    <w:rsid w:val="FF6F4782"/>
    <w:rsid w:val="FF7FE181"/>
    <w:rsid w:val="FFD799A7"/>
    <w:rsid w:val="FFDFB3D2"/>
    <w:rsid w:val="FFEFFA2A"/>
    <w:rsid w:val="FFFF61F4"/>
    <w:rsid w:val="FFFF72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7">
    <w:name w:val="Default Paragraph Font"/>
    <w:link w:val="18"/>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2">
    <w:name w:val="index 9"/>
    <w:basedOn w:val="1"/>
    <w:next w:val="1"/>
    <w:unhideWhenUsed/>
    <w:qFormat/>
    <w:uiPriority w:val="0"/>
    <w:pPr>
      <w:widowControl/>
      <w:spacing w:line="580" w:lineRule="exact"/>
      <w:ind w:firstLine="640" w:firstLineChars="200"/>
      <w:textAlignment w:val="baseline"/>
    </w:pPr>
    <w:rPr>
      <w:rFonts w:ascii="仿宋_GB2312" w:hAnsi="仿宋_GB2312" w:cs="仿宋_GB2312"/>
      <w:color w:val="000000"/>
      <w:szCs w:val="32"/>
    </w:rPr>
  </w:style>
  <w:style w:type="paragraph" w:styleId="5">
    <w:name w:val="Normal Indent"/>
    <w:basedOn w:val="1"/>
    <w:qFormat/>
    <w:uiPriority w:val="0"/>
    <w:pPr>
      <w:ind w:firstLine="420"/>
    </w:pPr>
    <w:rPr>
      <w:szCs w:val="20"/>
    </w:rPr>
  </w:style>
  <w:style w:type="paragraph" w:styleId="6">
    <w:name w:val="annotation text"/>
    <w:basedOn w:val="1"/>
    <w:qFormat/>
    <w:uiPriority w:val="0"/>
    <w:pPr>
      <w:jc w:val="left"/>
    </w:pPr>
  </w:style>
  <w:style w:type="paragraph" w:styleId="7">
    <w:name w:val="Body Text"/>
    <w:basedOn w:val="1"/>
    <w:next w:val="1"/>
    <w:qFormat/>
    <w:uiPriority w:val="0"/>
    <w:pPr>
      <w:spacing w:after="120"/>
    </w:pPr>
  </w:style>
  <w:style w:type="paragraph" w:styleId="8">
    <w:name w:val="toc 3"/>
    <w:basedOn w:val="1"/>
    <w:next w:val="1"/>
    <w:qFormat/>
    <w:uiPriority w:val="0"/>
    <w:pPr>
      <w:spacing w:line="305" w:lineRule="auto"/>
    </w:pPr>
  </w:style>
  <w:style w:type="paragraph" w:styleId="9">
    <w:name w:val="Balloon Text"/>
    <w:basedOn w:val="1"/>
    <w:link w:val="30"/>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qFormat/>
    <w:uiPriority w:val="0"/>
    <w:pPr>
      <w:spacing w:beforeAutospacing="1" w:afterAutospacing="1"/>
      <w:jc w:val="left"/>
    </w:pPr>
    <w:rPr>
      <w:rFonts w:cs="Times New Roman"/>
      <w:kern w:val="0"/>
      <w:sz w:val="24"/>
    </w:rPr>
  </w:style>
  <w:style w:type="paragraph" w:styleId="14">
    <w:name w:val="Body Text First Indent"/>
    <w:basedOn w:val="7"/>
    <w:unhideWhenUsed/>
    <w:qFormat/>
    <w:uiPriority w:val="99"/>
    <w:pPr>
      <w:ind w:firstLine="420" w:firstLineChars="1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 Char1 Char Char Char"/>
    <w:basedOn w:val="1"/>
    <w:link w:val="17"/>
    <w:qFormat/>
    <w:uiPriority w:val="0"/>
    <w:pPr>
      <w:widowControl/>
      <w:spacing w:line="360" w:lineRule="auto"/>
      <w:ind w:firstLine="200" w:firstLineChars="200"/>
      <w:jc w:val="left"/>
    </w:pPr>
    <w:rPr>
      <w:rFonts w:ascii="Tahoma" w:hAnsi="Tahoma"/>
      <w:sz w:val="24"/>
    </w:rPr>
  </w:style>
  <w:style w:type="character" w:styleId="19">
    <w:name w:val="Strong"/>
    <w:basedOn w:val="17"/>
    <w:qFormat/>
    <w:uiPriority w:val="0"/>
    <w:rPr>
      <w:b/>
    </w:rPr>
  </w:style>
  <w:style w:type="character" w:styleId="20">
    <w:name w:val="page number"/>
    <w:basedOn w:val="17"/>
    <w:uiPriority w:val="0"/>
  </w:style>
  <w:style w:type="character" w:styleId="21">
    <w:name w:val="Emphasis"/>
    <w:basedOn w:val="17"/>
    <w:qFormat/>
    <w:uiPriority w:val="20"/>
    <w:rPr>
      <w:i/>
    </w:rPr>
  </w:style>
  <w:style w:type="character" w:styleId="22">
    <w:name w:val="Hyperlink"/>
    <w:basedOn w:val="17"/>
    <w:qFormat/>
    <w:uiPriority w:val="0"/>
    <w:rPr>
      <w:color w:val="0000FF"/>
      <w:u w:val="single"/>
    </w:rPr>
  </w:style>
  <w:style w:type="paragraph" w:customStyle="1" w:styleId="23">
    <w:name w:val="Revision"/>
    <w:semiHidden/>
    <w:qFormat/>
    <w:uiPriority w:val="99"/>
    <w:rPr>
      <w:rFonts w:ascii="Calibri" w:hAnsi="Calibri" w:eastAsia="宋体" w:cs="Times New Roman"/>
      <w:kern w:val="2"/>
      <w:sz w:val="21"/>
      <w:szCs w:val="24"/>
      <w:lang w:val="en-US" w:eastAsia="zh-CN" w:bidi="ar-SA"/>
    </w:rPr>
  </w:style>
  <w:style w:type="paragraph" w:customStyle="1" w:styleId="2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5">
    <w:name w:val="通政办发"/>
    <w:basedOn w:val="1"/>
    <w:link w:val="33"/>
    <w:uiPriority w:val="0"/>
    <w:pPr>
      <w:snapToGrid w:val="0"/>
      <w:spacing w:line="600" w:lineRule="exact"/>
      <w:jc w:val="center"/>
    </w:pPr>
    <w:rPr>
      <w:rFonts w:ascii="仿宋_GB2312" w:hAnsi="Times New Roman" w:eastAsia="仿宋_GB2312"/>
      <w:sz w:val="32"/>
      <w:szCs w:val="32"/>
    </w:rPr>
  </w:style>
  <w:style w:type="character" w:customStyle="1" w:styleId="26">
    <w:name w:val="font11"/>
    <w:basedOn w:val="17"/>
    <w:qFormat/>
    <w:uiPriority w:val="0"/>
    <w:rPr>
      <w:rFonts w:ascii="font-weight : 400" w:hAnsi="font-weight : 400" w:eastAsia="font-weight : 400" w:cs="font-weight : 400"/>
      <w:color w:val="000000"/>
      <w:sz w:val="24"/>
      <w:szCs w:val="24"/>
      <w:u w:val="none"/>
    </w:rPr>
  </w:style>
  <w:style w:type="character" w:customStyle="1" w:styleId="27">
    <w:name w:val="font01"/>
    <w:basedOn w:val="17"/>
    <w:qFormat/>
    <w:uiPriority w:val="0"/>
    <w:rPr>
      <w:rFonts w:ascii="font-weight : 400" w:hAnsi="font-weight : 400" w:eastAsia="font-weight : 400" w:cs="font-weight : 400"/>
      <w:color w:val="000000"/>
      <w:sz w:val="24"/>
      <w:szCs w:val="24"/>
      <w:u w:val="none"/>
    </w:rPr>
  </w:style>
  <w:style w:type="character" w:customStyle="1" w:styleId="28">
    <w:name w:val="10"/>
    <w:basedOn w:val="17"/>
    <w:qFormat/>
    <w:uiPriority w:val="0"/>
    <w:rPr>
      <w:rFonts w:hint="default" w:ascii="Times New Roman" w:hAnsi="Times New Roman" w:cs="Times New Roman"/>
    </w:rPr>
  </w:style>
  <w:style w:type="character" w:customStyle="1" w:styleId="29">
    <w:name w:val="NormalCharacter"/>
    <w:qFormat/>
    <w:uiPriority w:val="0"/>
  </w:style>
  <w:style w:type="character" w:customStyle="1" w:styleId="30">
    <w:name w:val="批注框文本 字符"/>
    <w:basedOn w:val="17"/>
    <w:link w:val="9"/>
    <w:qFormat/>
    <w:uiPriority w:val="0"/>
    <w:rPr>
      <w:rFonts w:ascii="Calibri" w:hAnsi="Calibri" w:eastAsia="宋体" w:cs="Times New Roman"/>
      <w:kern w:val="2"/>
      <w:sz w:val="18"/>
      <w:szCs w:val="18"/>
    </w:rPr>
  </w:style>
  <w:style w:type="character" w:customStyle="1" w:styleId="31">
    <w:name w:val="font21"/>
    <w:basedOn w:val="17"/>
    <w:qFormat/>
    <w:uiPriority w:val="0"/>
    <w:rPr>
      <w:rFonts w:hint="eastAsia" w:ascii="宋体" w:hAnsi="宋体" w:eastAsia="宋体" w:cs="宋体"/>
      <w:color w:val="000000"/>
      <w:sz w:val="24"/>
      <w:szCs w:val="24"/>
      <w:u w:val="none"/>
    </w:rPr>
  </w:style>
  <w:style w:type="character" w:customStyle="1" w:styleId="32">
    <w:name w:val="font31"/>
    <w:basedOn w:val="17"/>
    <w:qFormat/>
    <w:uiPriority w:val="0"/>
    <w:rPr>
      <w:rFonts w:ascii="Calibri" w:hAnsi="Calibri" w:cs="Calibri"/>
      <w:color w:val="000000"/>
      <w:sz w:val="24"/>
      <w:szCs w:val="24"/>
      <w:u w:val="none"/>
    </w:rPr>
  </w:style>
  <w:style w:type="character" w:customStyle="1" w:styleId="33">
    <w:name w:val="通政办发 Char Char"/>
    <w:basedOn w:val="17"/>
    <w:link w:val="25"/>
    <w:qFormat/>
    <w:locked/>
    <w:uiPriority w:val="0"/>
    <w:rPr>
      <w:rFonts w:ascii="仿宋_GB2312" w:eastAsia="仿宋_GB2312"/>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www.ftpdown.com</Company>
  <Pages>17</Pages>
  <Words>8196</Words>
  <Characters>8329</Characters>
  <Lines>67</Lines>
  <Paragraphs>18</Paragraphs>
  <TotalTime>3</TotalTime>
  <ScaleCrop>false</ScaleCrop>
  <LinksUpToDate>false</LinksUpToDate>
  <CharactersWithSpaces>8354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2022-06-09T09:31:00Z</dcterms:created>
  <dc:creator>小辛</dc:creator>
  <cp:lastModifiedBy>张广翅</cp:lastModifiedBy>
  <cp:lastPrinted>2022-10-31T03:26:00Z</cp:lastPrinted>
  <dcterms:modified xsi:type="dcterms:W3CDTF">2022-12-12T06:13:51Z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5DFD0DC7EAEA49C387BBC45A26A7A8CD</vt:lpwstr>
  </property>
</Properties>
</file>