
<file path=[Content_Types].xml><?xml version="1.0" encoding="utf-8"?>
<Types xmlns="http://schemas.openxmlformats.org/package/2006/content-types">
  <Default Extension="xlsx" ContentType="application/vnd.openxmlformats-officedocument.spreadsheetml.shee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olors1.xml" ContentType="application/vnd.ms-office.chartcolorstyle+xml"/>
  <Override PartName="/word/charts/colors2.xml" ContentType="application/vnd.ms-office.chartcolorstyle+xml"/>
  <Override PartName="/word/charts/colors3.xml" ContentType="application/vnd.ms-office.chartcolorstyle+xml"/>
  <Override PartName="/word/charts/colors4.xml" ContentType="application/vnd.ms-office.chartcolorstyle+xml"/>
  <Override PartName="/word/charts/colors5.xml" ContentType="application/vnd.ms-office.chartcolorstyle+xml"/>
  <Override PartName="/word/charts/colors6.xml" ContentType="application/vnd.ms-office.chartcolorstyle+xml"/>
  <Override PartName="/word/charts/style1.xml" ContentType="application/vnd.ms-office.chartstyle+xml"/>
  <Override PartName="/word/charts/style2.xml" ContentType="application/vnd.ms-office.chartstyle+xml"/>
  <Override PartName="/word/charts/style3.xml" ContentType="application/vnd.ms-office.chartstyle+xml"/>
  <Override PartName="/word/charts/style4.xml" ContentType="application/vnd.ms-office.chartstyle+xml"/>
  <Override PartName="/word/charts/style5.xml" ContentType="application/vnd.ms-office.chartstyle+xml"/>
  <Override PartName="/word/charts/style6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</w:pPr>
    </w:p>
    <w:p>
      <w:pPr>
        <w:jc w:val="left"/>
      </w:pPr>
    </w:p>
    <w:p>
      <w:pPr>
        <w:jc w:val="center"/>
        <w:rPr>
          <w:rFonts w:hint="eastAsia" w:eastAsia="等线"/>
          <w:lang w:eastAsia="zh-CN"/>
        </w:rPr>
      </w:pPr>
      <w:r>
        <w:drawing>
          <wp:inline distT="0" distB="0" distL="114300" distR="114300">
            <wp:extent cx="4572000" cy="2743200"/>
            <wp:effectExtent l="0" t="0" r="0" b="0"/>
            <wp:docPr id="2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>
      <w:pPr>
        <w:jc w:val="left"/>
      </w:pPr>
    </w:p>
    <w:p>
      <w:pPr>
        <w:jc w:val="left"/>
      </w:pPr>
      <w:bookmarkStart w:id="0" w:name="_GoBack"/>
      <w:bookmarkEnd w:id="0"/>
    </w:p>
    <w:p>
      <w:pPr>
        <w:jc w:val="left"/>
        <w:rPr>
          <w:rFonts w:hint="eastAsia"/>
        </w:rPr>
      </w:pPr>
    </w:p>
    <w:p>
      <w:pPr>
        <w:jc w:val="left"/>
        <w:rPr>
          <w:rFonts w:hint="eastAsia"/>
        </w:rPr>
      </w:pPr>
    </w:p>
    <w:p>
      <w:pPr>
        <w:jc w:val="left"/>
        <w:rPr>
          <w:rFonts w:hint="eastAsia"/>
          <w:sz w:val="28"/>
          <w:szCs w:val="28"/>
        </w:rPr>
      </w:pPr>
    </w:p>
    <w:p>
      <w:pPr>
        <w:jc w:val="center"/>
        <w:rPr>
          <w:rFonts w:hint="default" w:eastAsia="等线"/>
          <w:sz w:val="28"/>
          <w:szCs w:val="28"/>
          <w:lang w:val="en-US" w:eastAsia="zh-CN"/>
        </w:rPr>
      </w:pPr>
      <w:r>
        <w:rPr>
          <w:rFonts w:hint="eastAsia" w:eastAsia="等线"/>
          <w:sz w:val="28"/>
          <w:szCs w:val="28"/>
          <w:lang w:eastAsia="zh-CN"/>
        </w:rPr>
        <w:drawing>
          <wp:inline distT="0" distB="0" distL="114300" distR="114300">
            <wp:extent cx="3933190" cy="2800350"/>
            <wp:effectExtent l="0" t="0" r="0" b="0"/>
            <wp:docPr id="3" name="图表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r>
        <w:rPr>
          <w:rFonts w:hint="eastAsia"/>
          <w:sz w:val="28"/>
          <w:szCs w:val="28"/>
          <w:lang w:val="en-US" w:eastAsia="zh-CN"/>
        </w:rPr>
        <w:t xml:space="preserve"> </w:t>
      </w:r>
    </w:p>
    <w:p>
      <w:pPr>
        <w:jc w:val="left"/>
        <w:rPr>
          <w:rFonts w:hint="eastAsia"/>
          <w:sz w:val="28"/>
          <w:szCs w:val="28"/>
        </w:rPr>
      </w:pPr>
    </w:p>
    <w:p>
      <w:pPr>
        <w:jc w:val="left"/>
        <w:rPr>
          <w:rFonts w:hint="eastAsia"/>
          <w:sz w:val="28"/>
          <w:szCs w:val="28"/>
        </w:rPr>
      </w:pPr>
    </w:p>
    <w:p>
      <w:pPr>
        <w:jc w:val="left"/>
        <w:rPr>
          <w:sz w:val="28"/>
          <w:szCs w:val="28"/>
        </w:rPr>
      </w:pPr>
    </w:p>
    <w:p>
      <w:pPr>
        <w:jc w:val="left"/>
        <w:rPr>
          <w:sz w:val="28"/>
          <w:szCs w:val="28"/>
        </w:rPr>
      </w:pPr>
    </w:p>
    <w:p>
      <w:pPr>
        <w:jc w:val="left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 w:eastAsia="等线"/>
          <w:sz w:val="28"/>
          <w:szCs w:val="28"/>
          <w:lang w:eastAsia="zh-CN"/>
        </w:rPr>
        <w:drawing>
          <wp:inline distT="0" distB="0" distL="114300" distR="114300">
            <wp:extent cx="4272280" cy="2729230"/>
            <wp:effectExtent l="0" t="0" r="0" b="0"/>
            <wp:docPr id="4" name="图表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>
      <w:pPr>
        <w:jc w:val="left"/>
        <w:rPr>
          <w:sz w:val="28"/>
          <w:szCs w:val="28"/>
        </w:rPr>
      </w:pPr>
    </w:p>
    <w:p>
      <w:pPr>
        <w:jc w:val="left"/>
        <w:rPr>
          <w:sz w:val="28"/>
          <w:szCs w:val="28"/>
        </w:rPr>
      </w:pPr>
    </w:p>
    <w:p>
      <w:pPr>
        <w:jc w:val="center"/>
        <w:rPr>
          <w:rFonts w:hint="eastAsia"/>
          <w:sz w:val="28"/>
          <w:szCs w:val="28"/>
        </w:rPr>
      </w:pPr>
      <w:r>
        <w:drawing>
          <wp:inline distT="0" distB="0" distL="114300" distR="114300">
            <wp:extent cx="4464050" cy="2670810"/>
            <wp:effectExtent l="0" t="0" r="12700" b="15240"/>
            <wp:docPr id="9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>
      <w:pPr>
        <w:jc w:val="left"/>
        <w:rPr>
          <w:rFonts w:hint="eastAsia"/>
          <w:sz w:val="28"/>
          <w:szCs w:val="28"/>
        </w:rPr>
      </w:pPr>
    </w:p>
    <w:p>
      <w:pPr>
        <w:jc w:val="left"/>
      </w:pPr>
    </w:p>
    <w:p>
      <w:pPr>
        <w:jc w:val="center"/>
        <w:rPr>
          <w:color w:val="B3A2C7" w:themeColor="accent4" w:themeTint="99"/>
          <w14:textFill>
            <w14:solidFill>
              <w14:schemeClr w14:val="accent4">
                <w14:lumMod w14:val="60000"/>
                <w14:lumOff w14:val="40000"/>
              </w14:schemeClr>
            </w14:solidFill>
          </w14:textFill>
        </w:rPr>
      </w:pPr>
    </w:p>
    <w:p>
      <w:pPr>
        <w:jc w:val="left"/>
      </w:pPr>
    </w:p>
    <w:p>
      <w:pPr>
        <w:jc w:val="left"/>
        <w:rPr>
          <w:color w:val="B3A2C7" w:themeColor="accent4" w:themeTint="99"/>
          <w14:textFill>
            <w14:solidFill>
              <w14:schemeClr w14:val="accent4">
                <w14:lumMod w14:val="60000"/>
                <w14:lumOff w14:val="40000"/>
              </w14:schemeClr>
            </w14:solidFill>
          </w14:textFill>
        </w:rPr>
      </w:pPr>
    </w:p>
    <w:p>
      <w:pPr>
        <w:jc w:val="left"/>
        <w:rPr>
          <w:rFonts w:hint="eastAsia"/>
        </w:rPr>
      </w:pPr>
    </w:p>
    <w:p>
      <w:pPr>
        <w:jc w:val="left"/>
        <w:rPr>
          <w:rFonts w:hint="eastAsia"/>
        </w:rPr>
      </w:pPr>
    </w:p>
    <w:p>
      <w:pPr>
        <w:jc w:val="left"/>
        <w:rPr>
          <w:rFonts w:hint="eastAsia"/>
        </w:rPr>
      </w:pPr>
    </w:p>
    <w:p>
      <w:pPr>
        <w:jc w:val="left"/>
        <w:rPr>
          <w:rFonts w:hint="eastAsia"/>
        </w:rPr>
      </w:pPr>
      <w:r>
        <w:rPr>
          <w:rFonts w:hint="eastAsia"/>
        </w:rPr>
        <w:t>.</w:t>
      </w:r>
    </w:p>
    <w:p>
      <w:pPr>
        <w:jc w:val="center"/>
        <w:rPr>
          <w:rFonts w:hint="eastAsia"/>
        </w:rPr>
      </w:pPr>
      <w:r>
        <w:drawing>
          <wp:inline distT="0" distB="0" distL="114300" distR="114300">
            <wp:extent cx="4076700" cy="2685415"/>
            <wp:effectExtent l="0" t="0" r="0" b="635"/>
            <wp:docPr id="10" name="图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>
      <w:pPr>
        <w:jc w:val="left"/>
        <w:rPr>
          <w:rFonts w:hint="eastAsia"/>
        </w:rPr>
      </w:pPr>
    </w:p>
    <w:p>
      <w:pPr>
        <w:jc w:val="left"/>
        <w:rPr>
          <w:rFonts w:hint="eastAsia"/>
        </w:rPr>
      </w:pPr>
    </w:p>
    <w:p>
      <w:pPr>
        <w:jc w:val="left"/>
        <w:rPr>
          <w:rFonts w:hint="eastAsia"/>
        </w:rPr>
      </w:pPr>
    </w:p>
    <w:p>
      <w:pPr>
        <w:jc w:val="center"/>
        <w:rPr>
          <w:rFonts w:hint="eastAsia"/>
        </w:rPr>
      </w:pPr>
      <w:r>
        <w:drawing>
          <wp:inline distT="0" distB="0" distL="114300" distR="114300">
            <wp:extent cx="4700270" cy="2517775"/>
            <wp:effectExtent l="0" t="0" r="5080" b="15875"/>
            <wp:docPr id="1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>
      <w:pPr>
        <w:jc w:val="left"/>
      </w:pPr>
    </w:p>
    <w:p>
      <w:pPr>
        <w:jc w:val="left"/>
        <w:rPr>
          <w:sz w:val="21"/>
          <w:szCs w:val="21"/>
        </w:rPr>
      </w:pPr>
    </w:p>
    <w:p>
      <w:pPr>
        <w:jc w:val="left"/>
      </w:pPr>
    </w:p>
    <w:p>
      <w:pPr>
        <w:jc w:val="center"/>
      </w:pPr>
    </w:p>
    <w:p>
      <w:pPr>
        <w:jc w:val="left"/>
        <w:rPr>
          <w:rFonts w:hint="eastAsia" w:eastAsia="等线"/>
          <w:lang w:eastAsia="zh-CN"/>
        </w:rPr>
      </w:pPr>
    </w:p>
    <w:p>
      <w:pPr>
        <w:jc w:val="left"/>
      </w:pPr>
    </w:p>
    <w:p>
      <w:pPr>
        <w:jc w:val="left"/>
        <w:rPr>
          <w:rFonts w:hint="eastAsia"/>
        </w:rPr>
      </w:pPr>
    </w:p>
    <w:p>
      <w:pPr>
        <w:jc w:val="left"/>
      </w:pPr>
    </w:p>
    <w:sectPr>
      <w:pgSz w:w="11906" w:h="16838"/>
      <w:pgMar w:top="1440" w:right="1486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auto"/>
    <w:pitch w:val="default"/>
    <w:sig w:usb0="A00002EF" w:usb1="4000004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xYTcwMGJlMjU2M2U0MGNlNTZhNTcxN2UzMzNhOTQifQ=="/>
  </w:docVars>
  <w:rsids>
    <w:rsidRoot w:val="000A43DC"/>
    <w:rsid w:val="000135E7"/>
    <w:rsid w:val="00034983"/>
    <w:rsid w:val="000417F9"/>
    <w:rsid w:val="00074EED"/>
    <w:rsid w:val="00087BF8"/>
    <w:rsid w:val="0009699F"/>
    <w:rsid w:val="000A43DC"/>
    <w:rsid w:val="000B7DA1"/>
    <w:rsid w:val="000E2C0A"/>
    <w:rsid w:val="000E504B"/>
    <w:rsid w:val="0012504F"/>
    <w:rsid w:val="00126BD6"/>
    <w:rsid w:val="001836BC"/>
    <w:rsid w:val="001B1222"/>
    <w:rsid w:val="001B1345"/>
    <w:rsid w:val="0022670D"/>
    <w:rsid w:val="00226EF0"/>
    <w:rsid w:val="00230C33"/>
    <w:rsid w:val="00263C92"/>
    <w:rsid w:val="00264984"/>
    <w:rsid w:val="00295A14"/>
    <w:rsid w:val="002B32C4"/>
    <w:rsid w:val="002B5028"/>
    <w:rsid w:val="002F175B"/>
    <w:rsid w:val="0030183B"/>
    <w:rsid w:val="00322649"/>
    <w:rsid w:val="003430E3"/>
    <w:rsid w:val="00372ED5"/>
    <w:rsid w:val="00373537"/>
    <w:rsid w:val="003C6320"/>
    <w:rsid w:val="003D3E6A"/>
    <w:rsid w:val="003F4C86"/>
    <w:rsid w:val="004056EF"/>
    <w:rsid w:val="0043119F"/>
    <w:rsid w:val="00450ABE"/>
    <w:rsid w:val="004568EE"/>
    <w:rsid w:val="004A5BE0"/>
    <w:rsid w:val="004A6FF2"/>
    <w:rsid w:val="004B2648"/>
    <w:rsid w:val="004C2206"/>
    <w:rsid w:val="004C5F27"/>
    <w:rsid w:val="004E5A23"/>
    <w:rsid w:val="00527FF7"/>
    <w:rsid w:val="00531214"/>
    <w:rsid w:val="005415C0"/>
    <w:rsid w:val="0054237A"/>
    <w:rsid w:val="00565E95"/>
    <w:rsid w:val="00572F49"/>
    <w:rsid w:val="00581D7E"/>
    <w:rsid w:val="005B18F1"/>
    <w:rsid w:val="005C4684"/>
    <w:rsid w:val="00613119"/>
    <w:rsid w:val="00613198"/>
    <w:rsid w:val="006229D1"/>
    <w:rsid w:val="006304FA"/>
    <w:rsid w:val="006340F2"/>
    <w:rsid w:val="006342BA"/>
    <w:rsid w:val="0063752E"/>
    <w:rsid w:val="00643B60"/>
    <w:rsid w:val="00676B61"/>
    <w:rsid w:val="00695D9B"/>
    <w:rsid w:val="006968BE"/>
    <w:rsid w:val="006A070A"/>
    <w:rsid w:val="006A315A"/>
    <w:rsid w:val="006B1CA4"/>
    <w:rsid w:val="006B4B99"/>
    <w:rsid w:val="006B5717"/>
    <w:rsid w:val="006F13A6"/>
    <w:rsid w:val="006F6364"/>
    <w:rsid w:val="00701D6F"/>
    <w:rsid w:val="00710895"/>
    <w:rsid w:val="00715F2D"/>
    <w:rsid w:val="00730569"/>
    <w:rsid w:val="00755D31"/>
    <w:rsid w:val="00785BEC"/>
    <w:rsid w:val="007B2270"/>
    <w:rsid w:val="007B5A49"/>
    <w:rsid w:val="007D214F"/>
    <w:rsid w:val="008040B4"/>
    <w:rsid w:val="00832583"/>
    <w:rsid w:val="008433A5"/>
    <w:rsid w:val="00861BA6"/>
    <w:rsid w:val="0086619A"/>
    <w:rsid w:val="00883B2F"/>
    <w:rsid w:val="00883B52"/>
    <w:rsid w:val="0088602B"/>
    <w:rsid w:val="008A028C"/>
    <w:rsid w:val="008B37F6"/>
    <w:rsid w:val="008C0E58"/>
    <w:rsid w:val="008D4F51"/>
    <w:rsid w:val="008E3650"/>
    <w:rsid w:val="009275CD"/>
    <w:rsid w:val="00945E11"/>
    <w:rsid w:val="00956060"/>
    <w:rsid w:val="00963FE8"/>
    <w:rsid w:val="00983654"/>
    <w:rsid w:val="009B6FAA"/>
    <w:rsid w:val="009C3C30"/>
    <w:rsid w:val="009C77BF"/>
    <w:rsid w:val="00A008E8"/>
    <w:rsid w:val="00A030D8"/>
    <w:rsid w:val="00A10C67"/>
    <w:rsid w:val="00A12464"/>
    <w:rsid w:val="00A36BAE"/>
    <w:rsid w:val="00A60C4C"/>
    <w:rsid w:val="00A61AA5"/>
    <w:rsid w:val="00A71721"/>
    <w:rsid w:val="00A810BF"/>
    <w:rsid w:val="00AB5DDB"/>
    <w:rsid w:val="00AB7CCD"/>
    <w:rsid w:val="00AD3A30"/>
    <w:rsid w:val="00AF50B5"/>
    <w:rsid w:val="00AF7CD2"/>
    <w:rsid w:val="00B45A8D"/>
    <w:rsid w:val="00B723EB"/>
    <w:rsid w:val="00BE24AF"/>
    <w:rsid w:val="00BF1314"/>
    <w:rsid w:val="00C013A5"/>
    <w:rsid w:val="00C45D86"/>
    <w:rsid w:val="00C46A33"/>
    <w:rsid w:val="00C65662"/>
    <w:rsid w:val="00C73B29"/>
    <w:rsid w:val="00C82BB3"/>
    <w:rsid w:val="00C85931"/>
    <w:rsid w:val="00CA7522"/>
    <w:rsid w:val="00D370E3"/>
    <w:rsid w:val="00D4763D"/>
    <w:rsid w:val="00D6610D"/>
    <w:rsid w:val="00DD4122"/>
    <w:rsid w:val="00DD6B6A"/>
    <w:rsid w:val="00DE7579"/>
    <w:rsid w:val="00DF3A88"/>
    <w:rsid w:val="00DF77E9"/>
    <w:rsid w:val="00E10A7B"/>
    <w:rsid w:val="00E432A7"/>
    <w:rsid w:val="00E505DD"/>
    <w:rsid w:val="00E555FC"/>
    <w:rsid w:val="00E657D5"/>
    <w:rsid w:val="00E754A7"/>
    <w:rsid w:val="00EB500F"/>
    <w:rsid w:val="00ED08CC"/>
    <w:rsid w:val="00ED3316"/>
    <w:rsid w:val="00EE4521"/>
    <w:rsid w:val="00EF03A9"/>
    <w:rsid w:val="00EF756A"/>
    <w:rsid w:val="00F33185"/>
    <w:rsid w:val="00F41F94"/>
    <w:rsid w:val="00F509E2"/>
    <w:rsid w:val="00F50B1C"/>
    <w:rsid w:val="00F81B1F"/>
    <w:rsid w:val="00F84764"/>
    <w:rsid w:val="00F92D6E"/>
    <w:rsid w:val="00F96A5A"/>
    <w:rsid w:val="00FB02CF"/>
    <w:rsid w:val="00FB3980"/>
    <w:rsid w:val="00FC0B84"/>
    <w:rsid w:val="00FD4425"/>
    <w:rsid w:val="00FE68B8"/>
    <w:rsid w:val="022A2E24"/>
    <w:rsid w:val="022E5173"/>
    <w:rsid w:val="046A2A3A"/>
    <w:rsid w:val="04763EE5"/>
    <w:rsid w:val="04A57852"/>
    <w:rsid w:val="0553134C"/>
    <w:rsid w:val="07C12FA2"/>
    <w:rsid w:val="09315C8F"/>
    <w:rsid w:val="0B9257DC"/>
    <w:rsid w:val="101210C7"/>
    <w:rsid w:val="12F952F5"/>
    <w:rsid w:val="15691286"/>
    <w:rsid w:val="15F65D9C"/>
    <w:rsid w:val="175B7696"/>
    <w:rsid w:val="179A3525"/>
    <w:rsid w:val="1A6730C3"/>
    <w:rsid w:val="1B9E2D48"/>
    <w:rsid w:val="1DC40A44"/>
    <w:rsid w:val="1EBD29E4"/>
    <w:rsid w:val="1F110DE9"/>
    <w:rsid w:val="203C6D40"/>
    <w:rsid w:val="23435939"/>
    <w:rsid w:val="23483364"/>
    <w:rsid w:val="24C51723"/>
    <w:rsid w:val="27716887"/>
    <w:rsid w:val="27A24E6D"/>
    <w:rsid w:val="2A7725E1"/>
    <w:rsid w:val="2AF05EF0"/>
    <w:rsid w:val="2C7A5B1E"/>
    <w:rsid w:val="330D68FA"/>
    <w:rsid w:val="34271086"/>
    <w:rsid w:val="39853F9F"/>
    <w:rsid w:val="3B5A188F"/>
    <w:rsid w:val="41BB2D74"/>
    <w:rsid w:val="459E2E2D"/>
    <w:rsid w:val="4B222F02"/>
    <w:rsid w:val="4CFB26C0"/>
    <w:rsid w:val="4F3B7EBF"/>
    <w:rsid w:val="4F8B4779"/>
    <w:rsid w:val="50492604"/>
    <w:rsid w:val="516867E6"/>
    <w:rsid w:val="51A056CA"/>
    <w:rsid w:val="553E5415"/>
    <w:rsid w:val="59417793"/>
    <w:rsid w:val="59B87950"/>
    <w:rsid w:val="5E4E45F0"/>
    <w:rsid w:val="5E941E66"/>
    <w:rsid w:val="5EE949D8"/>
    <w:rsid w:val="63A07E28"/>
    <w:rsid w:val="657F0D27"/>
    <w:rsid w:val="67D02E98"/>
    <w:rsid w:val="68A25C7C"/>
    <w:rsid w:val="69CA6506"/>
    <w:rsid w:val="6A2E3D63"/>
    <w:rsid w:val="71775AB0"/>
    <w:rsid w:val="72A41658"/>
    <w:rsid w:val="734B0AAB"/>
    <w:rsid w:val="75125EDB"/>
    <w:rsid w:val="75F47512"/>
    <w:rsid w:val="765E328F"/>
    <w:rsid w:val="790A567E"/>
    <w:rsid w:val="7AD258DE"/>
    <w:rsid w:val="7C9F25F3"/>
    <w:rsid w:val="7D945CD3"/>
    <w:rsid w:val="7E3E411D"/>
    <w:rsid w:val="7F1D2D77"/>
    <w:rsid w:val="7F51623B"/>
    <w:rsid w:val="7FE42C4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semiHidden/>
    <w:qFormat/>
    <w:uiPriority w:val="99"/>
    <w:rPr>
      <w:kern w:val="2"/>
      <w:sz w:val="18"/>
      <w:szCs w:val="18"/>
    </w:rPr>
  </w:style>
  <w:style w:type="character" w:customStyle="1" w:styleId="7">
    <w:name w:val="页眉 Char"/>
    <w:basedOn w:val="5"/>
    <w:link w:val="3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hart" Target="charts/chart6.xml"/><Relationship Id="rId8" Type="http://schemas.openxmlformats.org/officeDocument/2006/relationships/chart" Target="charts/chart5.xml"/><Relationship Id="rId7" Type="http://schemas.openxmlformats.org/officeDocument/2006/relationships/chart" Target="charts/chart4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4" Type="http://schemas.openxmlformats.org/officeDocument/2006/relationships/chart" Target="charts/chart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ColorStyle" Target="colors3.xml"/><Relationship Id="rId2" Type="http://schemas.microsoft.com/office/2011/relationships/chartStyle" Target="style3.xml"/><Relationship Id="rId1" Type="http://schemas.openxmlformats.org/officeDocument/2006/relationships/oleObject" Target="file:///D:\E&#65306;&#33539;&#33539;&#30340;&#24037;&#20316;&#30424;\&#24180;&#37492;&#12289;&#26376;&#21002;&#12289;&#27178;&#21521;&#21450;&#21508;&#31181;&#25991;&#20214;\&#26376;&#21002;\2022&#24180;&#26376;&#21002;&#21644;&#25968;&#25454;&#21457;&#24067;\2022&#24180;&#26376;&#21002;&#21360;&#21047;&#29256;\&#26376;&#21002;&#22270;&#34920;\1.&#35268;&#27169;&#20197;&#19978;&#24037;&#19994;&#24635;&#20135;&#20540;&#65288;&#32047;&#35745;&#65289;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package" Target="../embeddings/Workbook1.xlsx"/></Relationships>
</file>

<file path=word/charts/_rels/chart3.xml.rels><?xml version="1.0" encoding="UTF-8" standalone="yes"?>
<Relationships xmlns="http://schemas.openxmlformats.org/package/2006/relationships"><Relationship Id="rId3" Type="http://schemas.microsoft.com/office/2011/relationships/chartColorStyle" Target="colors2.xml"/><Relationship Id="rId2" Type="http://schemas.microsoft.com/office/2011/relationships/chartStyle" Target="style2.xml"/><Relationship Id="rId1" Type="http://schemas.openxmlformats.org/officeDocument/2006/relationships/package" Target="../embeddings/Workbook2.xlsx"/></Relationships>
</file>

<file path=word/charts/_rels/chart4.xml.rels><?xml version="1.0" encoding="UTF-8" standalone="yes"?>
<Relationships xmlns="http://schemas.openxmlformats.org/package/2006/relationships"><Relationship Id="rId3" Type="http://schemas.microsoft.com/office/2011/relationships/chartColorStyle" Target="colors6.xml"/><Relationship Id="rId2" Type="http://schemas.microsoft.com/office/2011/relationships/chartStyle" Target="style6.xml"/><Relationship Id="rId1" Type="http://schemas.openxmlformats.org/officeDocument/2006/relationships/oleObject" Target="file:///D:\E&#65306;&#33539;&#33539;&#30340;&#24037;&#20316;&#30424;\&#24180;&#37492;&#12289;&#26376;&#21002;&#12289;&#27178;&#21521;&#21450;&#21508;&#31181;&#25991;&#20214;\&#26376;&#21002;\2022&#24180;&#26376;&#21002;&#21644;&#25968;&#25454;&#21457;&#24067;\2022&#24180;&#26376;&#21002;&#21360;&#21047;&#29256;\&#26376;&#21002;&#22270;&#34920;\4.&#31038;&#20250;&#28040;&#36153;&#21697;&#38646;&#21806;&#24635;&#39069;&#65288;&#32047;&#35745;&#65289;.xlsx" TargetMode="External"/></Relationships>
</file>

<file path=word/charts/_rels/chart5.xml.rels><?xml version="1.0" encoding="UTF-8" standalone="yes"?>
<Relationships xmlns="http://schemas.openxmlformats.org/package/2006/relationships"><Relationship Id="rId3" Type="http://schemas.microsoft.com/office/2011/relationships/chartColorStyle" Target="colors4.xml"/><Relationship Id="rId2" Type="http://schemas.microsoft.com/office/2011/relationships/chartStyle" Target="style4.xml"/><Relationship Id="rId1" Type="http://schemas.openxmlformats.org/officeDocument/2006/relationships/oleObject" Target="file:///D:\E&#65306;&#33539;&#33539;&#30340;&#24037;&#20316;&#30424;\&#24180;&#37492;&#12289;&#26376;&#21002;&#12289;&#27178;&#21521;&#21450;&#21508;&#31181;&#25991;&#20214;\&#26376;&#21002;\2022&#24180;&#26376;&#21002;&#21644;&#25968;&#25454;&#21457;&#24067;\2022&#24180;&#26376;&#21002;&#21360;&#21047;&#29256;\&#26376;&#21002;&#22270;&#34920;\5.&#20840;&#21306;&#23621;&#27665;&#20154;&#22343;&#21487;&#25903;&#37197;&#25910;&#20837;&#21450;&#22686;&#36895;.xlsx" TargetMode="External"/></Relationships>
</file>

<file path=word/charts/_rels/chart6.xml.rels><?xml version="1.0" encoding="UTF-8" standalone="yes"?>
<Relationships xmlns="http://schemas.openxmlformats.org/package/2006/relationships"><Relationship Id="rId3" Type="http://schemas.microsoft.com/office/2011/relationships/chartColorStyle" Target="colors5.xml"/><Relationship Id="rId2" Type="http://schemas.microsoft.com/office/2011/relationships/chartStyle" Target="style5.xml"/><Relationship Id="rId1" Type="http://schemas.openxmlformats.org/officeDocument/2006/relationships/oleObject" Target="file:///D:\E&#65306;&#33539;&#33539;&#30340;&#24037;&#20316;&#30424;\&#24180;&#37492;&#12289;&#26376;&#21002;&#12289;&#27178;&#21521;&#21450;&#21508;&#31181;&#25991;&#20214;\&#26376;&#21002;\2022&#24180;&#26376;&#21002;&#21644;&#25968;&#25454;&#21457;&#24067;\2022&#24180;&#26376;&#21002;&#21360;&#21047;&#29256;\&#26376;&#21002;&#22270;&#34920;\6.&#19968;&#33324;&#20844;&#20849;&#39044;&#31639;&#25910;&#20837;&#65288;&#32047;&#35745;)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9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sz="900" b="1"/>
              <a:t>规模以上工业总产值（累计）</a:t>
            </a:r>
            <a:endParaRPr sz="900" b="1"/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Sheet1!$G$5</c:f>
              <c:strCache>
                <c:ptCount val="1"/>
                <c:pt idx="0">
                  <c:v>2022年（亿元）</c:v>
                </c:pt>
              </c:strCache>
            </c:strRef>
          </c:tx>
          <c:spPr>
            <a:gradFill>
              <a:gsLst>
                <a:gs pos="0">
                  <a:srgbClr val="FE4444"/>
                </a:gs>
                <a:gs pos="100000">
                  <a:srgbClr val="832B2B"/>
                </a:gs>
              </a:gsLst>
              <a:lin ang="0" scaled="0"/>
            </a:gradFill>
            <a:ln>
              <a:noFill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Sheet1!$F$6:$F$16</c:f>
              <c:strCache>
                <c:ptCount val="11"/>
                <c:pt idx="0">
                  <c:v>1-2月</c:v>
                </c:pt>
                <c:pt idx="1">
                  <c:v>1-3月</c:v>
                </c:pt>
                <c:pt idx="2">
                  <c:v>1-4月</c:v>
                </c:pt>
                <c:pt idx="3">
                  <c:v>1-5月</c:v>
                </c:pt>
                <c:pt idx="4">
                  <c:v>1-6月</c:v>
                </c:pt>
                <c:pt idx="5">
                  <c:v>1-7月</c:v>
                </c:pt>
                <c:pt idx="6">
                  <c:v>1-8月</c:v>
                </c:pt>
                <c:pt idx="7">
                  <c:v>1-9月</c:v>
                </c:pt>
                <c:pt idx="8">
                  <c:v>1-10月</c:v>
                </c:pt>
                <c:pt idx="9">
                  <c:v>1-11月</c:v>
                </c:pt>
                <c:pt idx="10">
                  <c:v>1-12月</c:v>
                </c:pt>
              </c:strCache>
            </c:strRef>
          </c:cat>
          <c:val>
            <c:numRef>
              <c:f>Sheet1!$G$6:$G$16</c:f>
              <c:numCache>
                <c:formatCode>0.0_ </c:formatCode>
                <c:ptCount val="11"/>
                <c:pt idx="0">
                  <c:v>94</c:v>
                </c:pt>
                <c:pt idx="1" c:formatCode="General">
                  <c:v>142.8</c:v>
                </c:pt>
                <c:pt idx="2" c:formatCode="General">
                  <c:v>185.9</c:v>
                </c:pt>
                <c:pt idx="3" c:formatCode="General">
                  <c:v>228.4</c:v>
                </c:pt>
                <c:pt idx="4" c:formatCode="General">
                  <c:v>275.5</c:v>
                </c:pt>
                <c:pt idx="5" c:formatCode="General">
                  <c:v>321.4</c:v>
                </c:pt>
                <c:pt idx="6" c:formatCode="General">
                  <c:v>371.3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983851330"/>
        <c:axId val="106131304"/>
      </c:barChart>
      <c:lineChart>
        <c:grouping val="standard"/>
        <c:varyColors val="0"/>
        <c:ser>
          <c:idx val="1"/>
          <c:order val="1"/>
          <c:tx>
            <c:strRef>
              <c:f>Sheet1!$H$5</c:f>
              <c:strCache>
                <c:ptCount val="1"/>
                <c:pt idx="0">
                  <c:v>2022年增速（%）</c:v>
                </c:pt>
              </c:strCache>
            </c:strRef>
          </c:tx>
          <c:spPr>
            <a:ln w="9525" cap="rnd">
              <a:solidFill>
                <a:schemeClr val="accent4">
                  <a:lumMod val="60000"/>
                  <a:lumOff val="40000"/>
                </a:schemeClr>
              </a:solidFill>
              <a:round/>
              <a:headEnd type="none"/>
              <a:tailEnd type="triangle"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  <a:sp3d contourW="9525"/>
          </c:spPr>
          <c:marker>
            <c:symbol val="none"/>
          </c:marker>
          <c:dLbls>
            <c:dLbl>
              <c:idx val="0"/>
              <c:layout>
                <c:manualLayout>
                  <c:x val="-0.0111111111111111"/>
                  <c:y val="0.0138888888888889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0.00888888888888889"/>
                  <c:y val="0.0372685185185185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0.0126388888888889"/>
                  <c:y val="-0.0196759259259259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0.00430555555555556"/>
                  <c:y val="-0.0231481481481481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0.0115277777777778"/>
                  <c:y val="-0.0037037037037037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0.00319444444444444"/>
                  <c:y val="-0.0210648148148148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Sheet1!$F$6:$F$16</c:f>
              <c:strCache>
                <c:ptCount val="11"/>
                <c:pt idx="0">
                  <c:v>1-2月</c:v>
                </c:pt>
                <c:pt idx="1">
                  <c:v>1-3月</c:v>
                </c:pt>
                <c:pt idx="2">
                  <c:v>1-4月</c:v>
                </c:pt>
                <c:pt idx="3">
                  <c:v>1-5月</c:v>
                </c:pt>
                <c:pt idx="4">
                  <c:v>1-6月</c:v>
                </c:pt>
                <c:pt idx="5">
                  <c:v>1-7月</c:v>
                </c:pt>
                <c:pt idx="6">
                  <c:v>1-8月</c:v>
                </c:pt>
                <c:pt idx="7">
                  <c:v>1-9月</c:v>
                </c:pt>
                <c:pt idx="8">
                  <c:v>1-10月</c:v>
                </c:pt>
                <c:pt idx="9">
                  <c:v>1-11月</c:v>
                </c:pt>
                <c:pt idx="10">
                  <c:v>1-12月</c:v>
                </c:pt>
              </c:strCache>
            </c:strRef>
          </c:cat>
          <c:val>
            <c:numRef>
              <c:f>Sheet1!$H$6:$H$16</c:f>
              <c:numCache>
                <c:formatCode>General</c:formatCode>
                <c:ptCount val="11"/>
                <c:pt idx="0">
                  <c:v>-4.8</c:v>
                </c:pt>
                <c:pt idx="1" c:formatCode="0.0_ ">
                  <c:v>-3</c:v>
                </c:pt>
                <c:pt idx="2">
                  <c:v>-5.8</c:v>
                </c:pt>
                <c:pt idx="3">
                  <c:v>-8.5</c:v>
                </c:pt>
                <c:pt idx="4">
                  <c:v>-9.7</c:v>
                </c:pt>
                <c:pt idx="5">
                  <c:v>-9.2</c:v>
                </c:pt>
                <c:pt idx="6" c:formatCode="0.0_ ">
                  <c:v>-9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Sheet1!$I$5</c:f>
              <c:strCache>
                <c:ptCount val="1"/>
                <c:pt idx="0">
                  <c:v>2021年增速（%）</c:v>
                </c:pt>
              </c:strCache>
            </c:strRef>
          </c:tx>
          <c:spPr>
            <a:ln w="12700" cap="rnd" cmpd="sng">
              <a:solidFill>
                <a:schemeClr val="bg1">
                  <a:lumMod val="65000"/>
                </a:schemeClr>
              </a:solidFill>
              <a:round/>
              <a:headEnd type="oval" w="sm" len="sm"/>
              <a:tailEnd type="oval" w="sm" len="sm"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  <a:sp3d contourW="12700"/>
          </c:spPr>
          <c:marker>
            <c:symbol val="none"/>
          </c:marker>
          <c:dLbls>
            <c:delete val="1"/>
          </c:dLbls>
          <c:cat>
            <c:strRef>
              <c:f>Sheet1!$F$6:$F$16</c:f>
              <c:strCache>
                <c:ptCount val="11"/>
                <c:pt idx="0">
                  <c:v>1-2月</c:v>
                </c:pt>
                <c:pt idx="1">
                  <c:v>1-3月</c:v>
                </c:pt>
                <c:pt idx="2">
                  <c:v>1-4月</c:v>
                </c:pt>
                <c:pt idx="3">
                  <c:v>1-5月</c:v>
                </c:pt>
                <c:pt idx="4">
                  <c:v>1-6月</c:v>
                </c:pt>
                <c:pt idx="5">
                  <c:v>1-7月</c:v>
                </c:pt>
                <c:pt idx="6">
                  <c:v>1-8月</c:v>
                </c:pt>
                <c:pt idx="7">
                  <c:v>1-9月</c:v>
                </c:pt>
                <c:pt idx="8">
                  <c:v>1-10月</c:v>
                </c:pt>
                <c:pt idx="9">
                  <c:v>1-11月</c:v>
                </c:pt>
                <c:pt idx="10">
                  <c:v>1-12月</c:v>
                </c:pt>
              </c:strCache>
            </c:strRef>
          </c:cat>
          <c:val>
            <c:numRef>
              <c:f>Sheet1!$I$6:$I$16</c:f>
              <c:numCache>
                <c:formatCode>General</c:formatCode>
                <c:ptCount val="11"/>
                <c:pt idx="0">
                  <c:v>38.1</c:v>
                </c:pt>
                <c:pt idx="1">
                  <c:v>31.6</c:v>
                </c:pt>
                <c:pt idx="2">
                  <c:v>22.4</c:v>
                </c:pt>
                <c:pt idx="3">
                  <c:v>20.7</c:v>
                </c:pt>
                <c:pt idx="4">
                  <c:v>17.9</c:v>
                </c:pt>
                <c:pt idx="5" c:formatCode="0.0_ ">
                  <c:v>15</c:v>
                </c:pt>
                <c:pt idx="6">
                  <c:v>13.6</c:v>
                </c:pt>
                <c:pt idx="7">
                  <c:v>9.9</c:v>
                </c:pt>
                <c:pt idx="8">
                  <c:v>6.5</c:v>
                </c:pt>
                <c:pt idx="9">
                  <c:v>5.4</c:v>
                </c:pt>
                <c:pt idx="10">
                  <c:v>4.7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0"/>
        <c:smooth val="0"/>
        <c:axId val="929702821"/>
        <c:axId val="510700118"/>
      </c:lineChart>
      <c:catAx>
        <c:axId val="983851330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75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06131304"/>
        <c:crosses val="autoZero"/>
        <c:auto val="1"/>
        <c:lblAlgn val="ctr"/>
        <c:lblOffset val="100"/>
        <c:noMultiLvlLbl val="0"/>
      </c:catAx>
      <c:valAx>
        <c:axId val="106131304"/>
        <c:scaling>
          <c:orientation val="minMax"/>
        </c:scaling>
        <c:delete val="0"/>
        <c:axPos val="l"/>
        <c:numFmt formatCode="0_);[Red]\(0\)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983851330"/>
        <c:crosses val="autoZero"/>
        <c:crossBetween val="between"/>
      </c:valAx>
      <c:catAx>
        <c:axId val="929702821"/>
        <c:scaling>
          <c:orientation val="minMax"/>
        </c:scaling>
        <c:delete val="1"/>
        <c:axPos val="b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510700118"/>
        <c:crosses val="autoZero"/>
        <c:auto val="1"/>
        <c:lblAlgn val="ctr"/>
        <c:lblOffset val="100"/>
        <c:noMultiLvlLbl val="0"/>
      </c:catAx>
      <c:valAx>
        <c:axId val="510700118"/>
        <c:scaling>
          <c:orientation val="minMax"/>
        </c:scaling>
        <c:delete val="0"/>
        <c:axPos val="r"/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929702821"/>
        <c:crosses val="max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legendEntry>
      <c:legendEntry>
        <c:idx val="1"/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legendEntry>
      <c:legendEntry>
        <c:idx val="2"/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legendEntry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lang="zh-CN" b="1"/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9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sz="900" b="1"/>
              <a:t>固定资产投资（不含农户）增速（累计同比）</a:t>
            </a:r>
            <a:endParaRPr sz="900" b="1"/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2022年增速（%）</c:v>
                </c:pt>
              </c:strCache>
            </c:strRef>
          </c:tx>
          <c:spPr>
            <a:ln w="12700" cap="rnd" cmpd="sng">
              <a:solidFill>
                <a:srgbClr val="7030A0"/>
              </a:solidFill>
              <a:prstDash val="solid"/>
              <a:round/>
              <a:headEnd type="none" w="lg" len="sm"/>
              <a:tailEnd type="diamond" w="lg" len="sm"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  <a:sp3d contourW="12700"/>
          </c:spPr>
          <c:marker>
            <c:symbol val="none"/>
          </c:marker>
          <c:dLbls>
            <c:dLbl>
              <c:idx val="0"/>
              <c:layout>
                <c:manualLayout>
                  <c:x val="-0.0329350984824023"/>
                  <c:y val="-0.0154195011337868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0.0330965450435906"/>
                  <c:y val="-0.0462585034013605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0.036648369389732"/>
                  <c:y val="-0.023129251700680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0.0421375524701324"/>
                  <c:y val="-0.0387755102040816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0.0348724572166613"/>
                  <c:y val="0.0489795918367347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0.0640942847917339"/>
                  <c:y val="-0.0439909297052154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0.0368098159509202"/>
                  <c:y val="-0.0308390022675737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Sheet1!$A$2:$A$12</c:f>
              <c:strCache>
                <c:ptCount val="11"/>
                <c:pt idx="0">
                  <c:v>1-2月</c:v>
                </c:pt>
                <c:pt idx="1">
                  <c:v>1-3月</c:v>
                </c:pt>
                <c:pt idx="2">
                  <c:v>1-4月</c:v>
                </c:pt>
                <c:pt idx="3">
                  <c:v>1-5月</c:v>
                </c:pt>
                <c:pt idx="4">
                  <c:v>1-6月</c:v>
                </c:pt>
                <c:pt idx="5">
                  <c:v>1-7月</c:v>
                </c:pt>
                <c:pt idx="6">
                  <c:v>1-8月</c:v>
                </c:pt>
                <c:pt idx="7">
                  <c:v>1-9月</c:v>
                </c:pt>
                <c:pt idx="8">
                  <c:v>1-10月</c:v>
                </c:pt>
                <c:pt idx="9">
                  <c:v>1-11月</c:v>
                </c:pt>
                <c:pt idx="10">
                  <c:v>1-12月</c:v>
                </c:pt>
              </c:strCache>
            </c:strRef>
          </c:cat>
          <c:val>
            <c:numRef>
              <c:f>Sheet1!$B$2:$B$12</c:f>
              <c:numCache>
                <c:formatCode>General</c:formatCode>
                <c:ptCount val="11"/>
                <c:pt idx="0">
                  <c:v>10.5</c:v>
                </c:pt>
                <c:pt idx="1">
                  <c:v>2.5</c:v>
                </c:pt>
                <c:pt idx="2" c:formatCode="0.0_ ">
                  <c:v>-5</c:v>
                </c:pt>
                <c:pt idx="3">
                  <c:v>-8.1</c:v>
                </c:pt>
                <c:pt idx="4">
                  <c:v>1.8</c:v>
                </c:pt>
                <c:pt idx="5">
                  <c:v>6.1</c:v>
                </c:pt>
                <c:pt idx="6">
                  <c:v>9.8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2021年增速（%）</c:v>
                </c:pt>
              </c:strCache>
            </c:strRef>
          </c:tx>
          <c:spPr>
            <a:ln w="12700" cap="rnd" cmpd="sng">
              <a:solidFill>
                <a:schemeClr val="accent2"/>
              </a:solidFill>
              <a:prstDash val="solid"/>
              <a:round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  <a:sp3d contourW="12700"/>
          </c:spPr>
          <c:marker>
            <c:symbol val="none"/>
          </c:marker>
          <c:dLbls>
            <c:delete val="1"/>
          </c:dLbls>
          <c:cat>
            <c:strRef>
              <c:f>Sheet1!$A$2:$A$12</c:f>
              <c:strCache>
                <c:ptCount val="11"/>
                <c:pt idx="0">
                  <c:v>1-2月</c:v>
                </c:pt>
                <c:pt idx="1">
                  <c:v>1-3月</c:v>
                </c:pt>
                <c:pt idx="2">
                  <c:v>1-4月</c:v>
                </c:pt>
                <c:pt idx="3">
                  <c:v>1-5月</c:v>
                </c:pt>
                <c:pt idx="4">
                  <c:v>1-6月</c:v>
                </c:pt>
                <c:pt idx="5">
                  <c:v>1-7月</c:v>
                </c:pt>
                <c:pt idx="6">
                  <c:v>1-8月</c:v>
                </c:pt>
                <c:pt idx="7">
                  <c:v>1-9月</c:v>
                </c:pt>
                <c:pt idx="8">
                  <c:v>1-10月</c:v>
                </c:pt>
                <c:pt idx="9">
                  <c:v>1-11月</c:v>
                </c:pt>
                <c:pt idx="10">
                  <c:v>1-12月</c:v>
                </c:pt>
              </c:strCache>
            </c:strRef>
          </c:cat>
          <c:val>
            <c:numRef>
              <c:f>Sheet1!$C$2:$C$12</c:f>
              <c:numCache>
                <c:formatCode>0.0_ </c:formatCode>
                <c:ptCount val="11"/>
                <c:pt idx="0">
                  <c:v>39</c:v>
                </c:pt>
                <c:pt idx="1" c:formatCode="General">
                  <c:v>23.7</c:v>
                </c:pt>
                <c:pt idx="2" c:formatCode="General">
                  <c:v>11.3</c:v>
                </c:pt>
                <c:pt idx="3" c:formatCode="General">
                  <c:v>0.4</c:v>
                </c:pt>
                <c:pt idx="4">
                  <c:v>9</c:v>
                </c:pt>
                <c:pt idx="5" c:formatCode="General">
                  <c:v>-1.9</c:v>
                </c:pt>
                <c:pt idx="6" c:formatCode="General">
                  <c:v>-8.5</c:v>
                </c:pt>
                <c:pt idx="7" c:formatCode="General">
                  <c:v>-3.8</c:v>
                </c:pt>
                <c:pt idx="8" c:formatCode="General">
                  <c:v>-2.7</c:v>
                </c:pt>
                <c:pt idx="9" c:formatCode="General">
                  <c:v>-4.7</c:v>
                </c:pt>
                <c:pt idx="10" c:formatCode="General">
                  <c:v>-2.6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2020年增速（%）</c:v>
                </c:pt>
              </c:strCache>
            </c:strRef>
          </c:tx>
          <c:spPr>
            <a:ln w="12700" cap="rnd" cmpd="sng">
              <a:solidFill>
                <a:schemeClr val="accent3"/>
              </a:solidFill>
              <a:prstDash val="solid"/>
              <a:round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  <a:sp3d contourW="12700"/>
          </c:spPr>
          <c:marker>
            <c:symbol val="none"/>
          </c:marker>
          <c:dLbls>
            <c:delete val="1"/>
          </c:dLbls>
          <c:cat>
            <c:strRef>
              <c:f>Sheet1!$A$2:$A$12</c:f>
              <c:strCache>
                <c:ptCount val="11"/>
                <c:pt idx="0">
                  <c:v>1-2月</c:v>
                </c:pt>
                <c:pt idx="1">
                  <c:v>1-3月</c:v>
                </c:pt>
                <c:pt idx="2">
                  <c:v>1-4月</c:v>
                </c:pt>
                <c:pt idx="3">
                  <c:v>1-5月</c:v>
                </c:pt>
                <c:pt idx="4">
                  <c:v>1-6月</c:v>
                </c:pt>
                <c:pt idx="5">
                  <c:v>1-7月</c:v>
                </c:pt>
                <c:pt idx="6">
                  <c:v>1-8月</c:v>
                </c:pt>
                <c:pt idx="7">
                  <c:v>1-9月</c:v>
                </c:pt>
                <c:pt idx="8">
                  <c:v>1-10月</c:v>
                </c:pt>
                <c:pt idx="9">
                  <c:v>1-11月</c:v>
                </c:pt>
                <c:pt idx="10">
                  <c:v>1-12月</c:v>
                </c:pt>
              </c:strCache>
            </c:strRef>
          </c:cat>
          <c:val>
            <c:numRef>
              <c:f>Sheet1!$D$2:$D$12</c:f>
              <c:numCache>
                <c:formatCode>General</c:formatCode>
                <c:ptCount val="11"/>
                <c:pt idx="0">
                  <c:v>-8.1</c:v>
                </c:pt>
                <c:pt idx="1">
                  <c:v>0.3</c:v>
                </c:pt>
                <c:pt idx="2">
                  <c:v>1.4</c:v>
                </c:pt>
                <c:pt idx="3">
                  <c:v>9.5</c:v>
                </c:pt>
                <c:pt idx="4">
                  <c:v>0.9</c:v>
                </c:pt>
                <c:pt idx="5">
                  <c:v>5.6</c:v>
                </c:pt>
                <c:pt idx="6">
                  <c:v>9.4</c:v>
                </c:pt>
                <c:pt idx="7">
                  <c:v>10.1</c:v>
                </c:pt>
                <c:pt idx="8">
                  <c:v>11.4</c:v>
                </c:pt>
                <c:pt idx="9">
                  <c:v>12.7</c:v>
                </c:pt>
                <c:pt idx="10">
                  <c:v>8.7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0"/>
        <c:smooth val="0"/>
        <c:axId val="593066401"/>
        <c:axId val="843232647"/>
      </c:lineChart>
      <c:catAx>
        <c:axId val="593066401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843232647"/>
        <c:crosses val="autoZero"/>
        <c:auto val="1"/>
        <c:lblAlgn val="ctr"/>
        <c:lblOffset val="100"/>
        <c:noMultiLvlLbl val="0"/>
      </c:catAx>
      <c:valAx>
        <c:axId val="843232647"/>
        <c:scaling>
          <c:orientation val="minMax"/>
        </c:scaling>
        <c:delete val="0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59306640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legendEntry>
      <c:legendEntry>
        <c:idx val="1"/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legendEntry>
      <c:legendEntry>
        <c:idx val="2"/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legendEntry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08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sz="1080" b="1"/>
              <a:t>建安投资增速（累计同比）</a:t>
            </a:r>
            <a:endParaRPr sz="1080" b="1"/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2022年增速（%）</c:v>
                </c:pt>
              </c:strCache>
            </c:strRef>
          </c:tx>
          <c:spPr>
            <a:ln w="12700" cap="rnd" cmpd="sng">
              <a:solidFill>
                <a:srgbClr val="FFC000"/>
              </a:solidFill>
              <a:prstDash val="solid"/>
              <a:round/>
              <a:headEnd type="none"/>
              <a:tailEnd type="triangle"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  <a:sp3d contourW="12700"/>
          </c:spPr>
          <c:marker>
            <c:symbol val="none"/>
          </c:marker>
          <c:dLbls>
            <c:dLbl>
              <c:idx val="0"/>
              <c:layout>
                <c:manualLayout>
                  <c:x val="-0.0580898658041835"/>
                  <c:y val="-0.069614512471655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0.031958901953731"/>
                  <c:y val="-0.0385487528344671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0.0546149601813424"/>
                  <c:y val="0.0285714285714285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0.073296738779464"/>
                  <c:y val="-0.0208616780045351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0.0679690022602519"/>
                  <c:y val="-0.0256235827664399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0.0640942847917339"/>
                  <c:y val="-0.0439909297052154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0.0286860879904875"/>
                  <c:y val="-0.0132619823173569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Sheet1!$A$2:$A$12</c:f>
              <c:strCache>
                <c:ptCount val="11"/>
                <c:pt idx="0">
                  <c:v>1-2月</c:v>
                </c:pt>
                <c:pt idx="1">
                  <c:v>1-3月</c:v>
                </c:pt>
                <c:pt idx="2">
                  <c:v>1-4月</c:v>
                </c:pt>
                <c:pt idx="3">
                  <c:v>1-5月</c:v>
                </c:pt>
                <c:pt idx="4">
                  <c:v>1-6月</c:v>
                </c:pt>
                <c:pt idx="5">
                  <c:v>1-7月</c:v>
                </c:pt>
                <c:pt idx="6">
                  <c:v>1-8月</c:v>
                </c:pt>
                <c:pt idx="7">
                  <c:v>1-9月</c:v>
                </c:pt>
                <c:pt idx="8">
                  <c:v>1-10月</c:v>
                </c:pt>
                <c:pt idx="9">
                  <c:v>1-11月</c:v>
                </c:pt>
                <c:pt idx="10">
                  <c:v>1-12月</c:v>
                </c:pt>
              </c:strCache>
            </c:strRef>
          </c:cat>
          <c:val>
            <c:numRef>
              <c:f>Sheet1!$B$2:$B$12</c:f>
              <c:numCache>
                <c:formatCode>0.0_ </c:formatCode>
                <c:ptCount val="11"/>
                <c:pt idx="0">
                  <c:v>-11.9</c:v>
                </c:pt>
                <c:pt idx="1">
                  <c:v>2</c:v>
                </c:pt>
                <c:pt idx="2">
                  <c:v>-5.6</c:v>
                </c:pt>
                <c:pt idx="3">
                  <c:v>-1.4</c:v>
                </c:pt>
                <c:pt idx="4">
                  <c:v>6.3</c:v>
                </c:pt>
                <c:pt idx="5">
                  <c:v>12.8</c:v>
                </c:pt>
                <c:pt idx="6">
                  <c:v>17.3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2021年增速（%）</c:v>
                </c:pt>
              </c:strCache>
            </c:strRef>
          </c:tx>
          <c:spPr>
            <a:ln w="12700" cap="rnd" cmpd="sng">
              <a:solidFill>
                <a:srgbClr val="00B050"/>
              </a:solidFill>
              <a:prstDash val="solid"/>
              <a:round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  <a:sp3d contourW="12700"/>
          </c:spPr>
          <c:marker>
            <c:symbol val="none"/>
          </c:marker>
          <c:dLbls>
            <c:delete val="1"/>
          </c:dLbls>
          <c:cat>
            <c:strRef>
              <c:f>Sheet1!$A$2:$A$12</c:f>
              <c:strCache>
                <c:ptCount val="11"/>
                <c:pt idx="0">
                  <c:v>1-2月</c:v>
                </c:pt>
                <c:pt idx="1">
                  <c:v>1-3月</c:v>
                </c:pt>
                <c:pt idx="2">
                  <c:v>1-4月</c:v>
                </c:pt>
                <c:pt idx="3">
                  <c:v>1-5月</c:v>
                </c:pt>
                <c:pt idx="4">
                  <c:v>1-6月</c:v>
                </c:pt>
                <c:pt idx="5">
                  <c:v>1-7月</c:v>
                </c:pt>
                <c:pt idx="6">
                  <c:v>1-8月</c:v>
                </c:pt>
                <c:pt idx="7">
                  <c:v>1-9月</c:v>
                </c:pt>
                <c:pt idx="8">
                  <c:v>1-10月</c:v>
                </c:pt>
                <c:pt idx="9">
                  <c:v>1-11月</c:v>
                </c:pt>
                <c:pt idx="10">
                  <c:v>1-12月</c:v>
                </c:pt>
              </c:strCache>
            </c:strRef>
          </c:cat>
          <c:val>
            <c:numRef>
              <c:f>Sheet1!$C$2:$C$12</c:f>
              <c:numCache>
                <c:formatCode>0.0_ </c:formatCode>
                <c:ptCount val="11"/>
                <c:pt idx="0">
                  <c:v>6.3</c:v>
                </c:pt>
                <c:pt idx="1">
                  <c:v>8</c:v>
                </c:pt>
                <c:pt idx="2">
                  <c:v>9.8</c:v>
                </c:pt>
                <c:pt idx="3">
                  <c:v>0.1</c:v>
                </c:pt>
                <c:pt idx="4">
                  <c:v>0.4</c:v>
                </c:pt>
                <c:pt idx="5">
                  <c:v>-6.2</c:v>
                </c:pt>
                <c:pt idx="6">
                  <c:v>-10</c:v>
                </c:pt>
                <c:pt idx="7">
                  <c:v>-10.3</c:v>
                </c:pt>
                <c:pt idx="8">
                  <c:v>-11.4</c:v>
                </c:pt>
                <c:pt idx="9">
                  <c:v>-12.8</c:v>
                </c:pt>
                <c:pt idx="10">
                  <c:v>-16.4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2020年增速（%）</c:v>
                </c:pt>
              </c:strCache>
            </c:strRef>
          </c:tx>
          <c:spPr>
            <a:ln w="12700" cap="rnd" cmpd="sng">
              <a:solidFill>
                <a:srgbClr val="C00000"/>
              </a:solidFill>
              <a:prstDash val="solid"/>
              <a:round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  <a:sp3d contourW="12700"/>
          </c:spPr>
          <c:marker>
            <c:symbol val="none"/>
          </c:marker>
          <c:dLbls>
            <c:delete val="1"/>
          </c:dLbls>
          <c:cat>
            <c:strRef>
              <c:f>Sheet1!$A$2:$A$12</c:f>
              <c:strCache>
                <c:ptCount val="11"/>
                <c:pt idx="0">
                  <c:v>1-2月</c:v>
                </c:pt>
                <c:pt idx="1">
                  <c:v>1-3月</c:v>
                </c:pt>
                <c:pt idx="2">
                  <c:v>1-4月</c:v>
                </c:pt>
                <c:pt idx="3">
                  <c:v>1-5月</c:v>
                </c:pt>
                <c:pt idx="4">
                  <c:v>1-6月</c:v>
                </c:pt>
                <c:pt idx="5">
                  <c:v>1-7月</c:v>
                </c:pt>
                <c:pt idx="6">
                  <c:v>1-8月</c:v>
                </c:pt>
                <c:pt idx="7">
                  <c:v>1-9月</c:v>
                </c:pt>
                <c:pt idx="8">
                  <c:v>1-10月</c:v>
                </c:pt>
                <c:pt idx="9">
                  <c:v>1-11月</c:v>
                </c:pt>
                <c:pt idx="10">
                  <c:v>1-12月</c:v>
                </c:pt>
              </c:strCache>
            </c:strRef>
          </c:cat>
          <c:val>
            <c:numRef>
              <c:f>Sheet1!$D$2:$D$12</c:f>
              <c:numCache>
                <c:formatCode>0.0_ </c:formatCode>
                <c:ptCount val="11"/>
                <c:pt idx="0">
                  <c:v>21.4</c:v>
                </c:pt>
                <c:pt idx="1">
                  <c:v>3.7</c:v>
                </c:pt>
                <c:pt idx="2">
                  <c:v>-8.8</c:v>
                </c:pt>
                <c:pt idx="3">
                  <c:v>-5.2</c:v>
                </c:pt>
                <c:pt idx="4">
                  <c:v>2.4</c:v>
                </c:pt>
                <c:pt idx="5">
                  <c:v>0.3</c:v>
                </c:pt>
                <c:pt idx="6">
                  <c:v>-1.2</c:v>
                </c:pt>
                <c:pt idx="7">
                  <c:v>1.4</c:v>
                </c:pt>
                <c:pt idx="8">
                  <c:v>3.4</c:v>
                </c:pt>
                <c:pt idx="9">
                  <c:v>2.3</c:v>
                </c:pt>
                <c:pt idx="10">
                  <c:v>5.6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0"/>
        <c:smooth val="0"/>
        <c:axId val="593066401"/>
        <c:axId val="843232647"/>
      </c:lineChart>
      <c:catAx>
        <c:axId val="593066401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843232647"/>
        <c:crosses val="autoZero"/>
        <c:auto val="1"/>
        <c:lblAlgn val="ctr"/>
        <c:lblOffset val="100"/>
        <c:noMultiLvlLbl val="0"/>
      </c:catAx>
      <c:valAx>
        <c:axId val="843232647"/>
        <c:scaling>
          <c:orientation val="minMax"/>
        </c:scaling>
        <c:delete val="0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.0_ 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59306640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legendEntry>
      <c:legendEntry>
        <c:idx val="1"/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legendEntry>
      <c:legendEntry>
        <c:idx val="2"/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legendEntry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 lang="zh-CN" sz="900"/>
      </a:pPr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9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sz="900" b="1"/>
              <a:t>社会消费品零售总额（累计）</a:t>
            </a:r>
            <a:endParaRPr sz="900" b="1"/>
          </a:p>
        </c:rich>
      </c:tx>
      <c:layout>
        <c:manualLayout>
          <c:xMode val="edge"/>
          <c:yMode val="edge"/>
          <c:x val="0.315114588272483"/>
          <c:y val="0.0170787763512443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Sheet1!$D$5</c:f>
              <c:strCache>
                <c:ptCount val="1"/>
                <c:pt idx="0">
                  <c:v>2022年（亿元）</c:v>
                </c:pt>
              </c:strCache>
            </c:strRef>
          </c:tx>
          <c:spPr>
            <a:gradFill>
              <a:gsLst>
                <a:gs pos="0">
                  <a:srgbClr val="14CD68"/>
                </a:gs>
                <a:gs pos="100000">
                  <a:srgbClr val="0B6E38"/>
                </a:gs>
              </a:gsLst>
              <a:lin ang="0" scaled="0"/>
            </a:gradFill>
            <a:ln>
              <a:noFill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Sheet1!$C$6:$C$16</c:f>
              <c:strCache>
                <c:ptCount val="11"/>
                <c:pt idx="0">
                  <c:v>1-2月</c:v>
                </c:pt>
                <c:pt idx="1">
                  <c:v>1-3月</c:v>
                </c:pt>
                <c:pt idx="2">
                  <c:v>1-4月</c:v>
                </c:pt>
                <c:pt idx="3">
                  <c:v>1-5月</c:v>
                </c:pt>
                <c:pt idx="4">
                  <c:v>1-6月</c:v>
                </c:pt>
                <c:pt idx="5">
                  <c:v>1-7月</c:v>
                </c:pt>
                <c:pt idx="6">
                  <c:v>1-8月</c:v>
                </c:pt>
                <c:pt idx="7">
                  <c:v>1-9月</c:v>
                </c:pt>
                <c:pt idx="8">
                  <c:v>1-10月</c:v>
                </c:pt>
                <c:pt idx="9">
                  <c:v>1-11月</c:v>
                </c:pt>
                <c:pt idx="10">
                  <c:v>1-12月</c:v>
                </c:pt>
              </c:strCache>
            </c:strRef>
          </c:cat>
          <c:val>
            <c:numRef>
              <c:f>Sheet1!$D$6:$D$16</c:f>
              <c:numCache>
                <c:formatCode>0.0_ </c:formatCode>
                <c:ptCount val="11"/>
                <c:pt idx="0">
                  <c:v>89.6</c:v>
                </c:pt>
                <c:pt idx="1">
                  <c:v>138</c:v>
                </c:pt>
                <c:pt idx="2" c:formatCode="General">
                  <c:v>174.1</c:v>
                </c:pt>
                <c:pt idx="3" c:formatCode="General">
                  <c:v>206.8</c:v>
                </c:pt>
                <c:pt idx="4" c:formatCode="General">
                  <c:v>261.4</c:v>
                </c:pt>
                <c:pt idx="5" c:formatCode="General">
                  <c:v>304.5</c:v>
                </c:pt>
                <c:pt idx="6" c:formatCode="General">
                  <c:v>346.7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221129363"/>
        <c:axId val="273446261"/>
      </c:barChart>
      <c:lineChart>
        <c:grouping val="standard"/>
        <c:varyColors val="0"/>
        <c:ser>
          <c:idx val="1"/>
          <c:order val="1"/>
          <c:tx>
            <c:strRef>
              <c:f>Sheet1!$E$5</c:f>
              <c:strCache>
                <c:ptCount val="1"/>
                <c:pt idx="0">
                  <c:v>2022年增速（%）</c:v>
                </c:pt>
              </c:strCache>
            </c:strRef>
          </c:tx>
          <c:spPr>
            <a:ln w="12700" cap="rnd">
              <a:solidFill>
                <a:srgbClr val="FF0000"/>
              </a:solidFill>
              <a:round/>
              <a:headEnd type="diamond"/>
              <a:tailEnd type="diamond"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  <a:sp3d contourW="12700"/>
          </c:spPr>
          <c:marker>
            <c:symbol val="none"/>
          </c:marker>
          <c:dLbls>
            <c:dLbl>
              <c:idx val="0"/>
              <c:layout>
                <c:manualLayout>
                  <c:x val="-0.04375"/>
                  <c:y val="-0.0451388888888889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0.00208333333333333"/>
                  <c:y val="-0.052083333333333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0.00625"/>
                  <c:y val="0.020833333333333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0"/>
                  <c:y val="0.03125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Sheet1!$C$6:$C$16</c:f>
              <c:strCache>
                <c:ptCount val="11"/>
                <c:pt idx="0">
                  <c:v>1-2月</c:v>
                </c:pt>
                <c:pt idx="1">
                  <c:v>1-3月</c:v>
                </c:pt>
                <c:pt idx="2">
                  <c:v>1-4月</c:v>
                </c:pt>
                <c:pt idx="3">
                  <c:v>1-5月</c:v>
                </c:pt>
                <c:pt idx="4">
                  <c:v>1-6月</c:v>
                </c:pt>
                <c:pt idx="5">
                  <c:v>1-7月</c:v>
                </c:pt>
                <c:pt idx="6">
                  <c:v>1-8月</c:v>
                </c:pt>
                <c:pt idx="7">
                  <c:v>1-9月</c:v>
                </c:pt>
                <c:pt idx="8">
                  <c:v>1-10月</c:v>
                </c:pt>
                <c:pt idx="9">
                  <c:v>1-11月</c:v>
                </c:pt>
                <c:pt idx="10">
                  <c:v>1-12月</c:v>
                </c:pt>
              </c:strCache>
            </c:strRef>
          </c:cat>
          <c:val>
            <c:numRef>
              <c:f>Sheet1!$E$6:$E$16</c:f>
              <c:numCache>
                <c:formatCode>General</c:formatCode>
                <c:ptCount val="11"/>
                <c:pt idx="0">
                  <c:v>3.2</c:v>
                </c:pt>
                <c:pt idx="1" c:formatCode="0.0_ ">
                  <c:v>3.8</c:v>
                </c:pt>
                <c:pt idx="2">
                  <c:v>-1.7</c:v>
                </c:pt>
                <c:pt idx="3">
                  <c:v>-5.7</c:v>
                </c:pt>
                <c:pt idx="4" c:formatCode="0.0_ ">
                  <c:v>-5</c:v>
                </c:pt>
                <c:pt idx="5">
                  <c:v>-3.7</c:v>
                </c:pt>
                <c:pt idx="6">
                  <c:v>-2.8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Sheet1!$F$5</c:f>
              <c:strCache>
                <c:ptCount val="1"/>
                <c:pt idx="0">
                  <c:v>2021年增速（%）</c:v>
                </c:pt>
              </c:strCache>
            </c:strRef>
          </c:tx>
          <c:spPr>
            <a:ln w="12700" cap="rnd">
              <a:solidFill>
                <a:schemeClr val="accent1"/>
              </a:solidFill>
              <a:bevel/>
              <a:headEnd type="oval" w="sm" len="sm"/>
              <a:tailEnd type="oval" w="sm" len="sm"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  <a:sp3d contourW="12700"/>
          </c:spPr>
          <c:marker>
            <c:symbol val="none"/>
          </c:marker>
          <c:dLbls>
            <c:delete val="1"/>
          </c:dLbls>
          <c:cat>
            <c:strRef>
              <c:f>Sheet1!$C$6:$C$16</c:f>
              <c:strCache>
                <c:ptCount val="11"/>
                <c:pt idx="0">
                  <c:v>1-2月</c:v>
                </c:pt>
                <c:pt idx="1">
                  <c:v>1-3月</c:v>
                </c:pt>
                <c:pt idx="2">
                  <c:v>1-4月</c:v>
                </c:pt>
                <c:pt idx="3">
                  <c:v>1-5月</c:v>
                </c:pt>
                <c:pt idx="4">
                  <c:v>1-6月</c:v>
                </c:pt>
                <c:pt idx="5">
                  <c:v>1-7月</c:v>
                </c:pt>
                <c:pt idx="6">
                  <c:v>1-8月</c:v>
                </c:pt>
                <c:pt idx="7">
                  <c:v>1-9月</c:v>
                </c:pt>
                <c:pt idx="8">
                  <c:v>1-10月</c:v>
                </c:pt>
                <c:pt idx="9">
                  <c:v>1-11月</c:v>
                </c:pt>
                <c:pt idx="10">
                  <c:v>1-12月</c:v>
                </c:pt>
              </c:strCache>
            </c:strRef>
          </c:cat>
          <c:val>
            <c:numRef>
              <c:f>Sheet1!$F$6:$F$16</c:f>
              <c:numCache>
                <c:formatCode>General</c:formatCode>
                <c:ptCount val="11"/>
                <c:pt idx="0">
                  <c:v>19.7</c:v>
                </c:pt>
                <c:pt idx="1">
                  <c:v>24.7</c:v>
                </c:pt>
                <c:pt idx="2">
                  <c:v>22.5</c:v>
                </c:pt>
                <c:pt idx="3">
                  <c:v>17.9</c:v>
                </c:pt>
                <c:pt idx="4">
                  <c:v>15.4</c:v>
                </c:pt>
                <c:pt idx="5" c:formatCode="0.0_ ">
                  <c:v>14.3</c:v>
                </c:pt>
                <c:pt idx="6">
                  <c:v>11.4</c:v>
                </c:pt>
                <c:pt idx="7">
                  <c:v>9.9</c:v>
                </c:pt>
                <c:pt idx="8">
                  <c:v>9.7</c:v>
                </c:pt>
                <c:pt idx="9">
                  <c:v>7.8</c:v>
                </c:pt>
                <c:pt idx="10">
                  <c:v>6.5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0"/>
        <c:smooth val="0"/>
        <c:axId val="863722318"/>
        <c:axId val="349440787"/>
      </c:lineChart>
      <c:catAx>
        <c:axId val="221129363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273446261"/>
        <c:crosses val="autoZero"/>
        <c:auto val="1"/>
        <c:lblAlgn val="ctr"/>
        <c:lblOffset val="100"/>
        <c:noMultiLvlLbl val="0"/>
      </c:catAx>
      <c:valAx>
        <c:axId val="273446261"/>
        <c:scaling>
          <c:orientation val="minMax"/>
        </c:scaling>
        <c:delete val="0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_);[Red]\(0\)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221129363"/>
        <c:crosses val="autoZero"/>
        <c:crossBetween val="between"/>
      </c:valAx>
      <c:catAx>
        <c:axId val="863722318"/>
        <c:scaling>
          <c:orientation val="minMax"/>
        </c:scaling>
        <c:delete val="1"/>
        <c:axPos val="b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49440787"/>
        <c:crosses val="autoZero"/>
        <c:auto val="1"/>
        <c:lblAlgn val="ctr"/>
        <c:lblOffset val="100"/>
        <c:noMultiLvlLbl val="0"/>
      </c:catAx>
      <c:valAx>
        <c:axId val="349440787"/>
        <c:scaling>
          <c:orientation val="minMax"/>
        </c:scaling>
        <c:delete val="0"/>
        <c:axPos val="r"/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863722318"/>
        <c:crosses val="max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9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sz="900" b="1"/>
              <a:t>全区居民人均可支配收入及增速</a:t>
            </a:r>
            <a:endParaRPr sz="900" b="1"/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Sheet1!$D$18</c:f>
              <c:strCache>
                <c:ptCount val="1"/>
                <c:pt idx="0">
                  <c:v>2022年（元）</c:v>
                </c:pt>
              </c:strCache>
            </c:strRef>
          </c:tx>
          <c:spPr>
            <a:gradFill>
              <a:gsLst>
                <a:gs pos="69000">
                  <a:srgbClr val="7030A0"/>
                </a:gs>
                <a:gs pos="99000">
                  <a:srgbClr val="5E2688">
                    <a:alpha val="100000"/>
                  </a:srgbClr>
                </a:gs>
                <a:gs pos="2000">
                  <a:srgbClr val="7B32B2"/>
                </a:gs>
                <a:gs pos="100000">
                  <a:srgbClr val="401A5D"/>
                </a:gs>
              </a:gsLst>
              <a:lin ang="0" scaled="0"/>
            </a:gradFill>
            <a:ln>
              <a:noFill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Sheet1!$E$17:$H$17</c:f>
              <c:strCache>
                <c:ptCount val="4"/>
                <c:pt idx="0">
                  <c:v>1季度</c:v>
                </c:pt>
                <c:pt idx="1">
                  <c:v>1-2季度</c:v>
                </c:pt>
                <c:pt idx="2">
                  <c:v>1-3季度</c:v>
                </c:pt>
                <c:pt idx="3">
                  <c:v>1-4季度</c:v>
                </c:pt>
              </c:strCache>
            </c:strRef>
          </c:cat>
          <c:val>
            <c:numRef>
              <c:f>Sheet1!$E$18:$H$18</c:f>
              <c:numCache>
                <c:formatCode>0_ </c:formatCode>
                <c:ptCount val="4"/>
                <c:pt idx="0">
                  <c:v>14178</c:v>
                </c:pt>
                <c:pt idx="1">
                  <c:v>26858</c:v>
                </c:pt>
              </c:numCache>
            </c:numRef>
          </c:val>
        </c:ser>
        <c:ser>
          <c:idx val="1"/>
          <c:order val="1"/>
          <c:tx>
            <c:strRef>
              <c:f>Sheet1!$D$19</c:f>
              <c:strCache>
                <c:ptCount val="1"/>
                <c:pt idx="0">
                  <c:v>2021年（元）</c:v>
                </c:pt>
              </c:strCache>
            </c:strRef>
          </c:tx>
          <c:spPr>
            <a:gradFill>
              <a:gsLst>
                <a:gs pos="0">
                  <a:srgbClr val="9EE256"/>
                </a:gs>
                <a:gs pos="100000">
                  <a:srgbClr val="52762D"/>
                </a:gs>
              </a:gsLst>
              <a:lin ang="0" scaled="0"/>
            </a:gradFill>
            <a:ln>
              <a:noFill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invertIfNegative val="0"/>
          <c:dLbls>
            <c:dLbl>
              <c:idx val="1"/>
              <c:layout>
                <c:manualLayout>
                  <c:x val="0.0206018229491822"/>
                  <c:y val="0.00280164363093015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Sheet1!$E$17:$H$17</c:f>
              <c:strCache>
                <c:ptCount val="4"/>
                <c:pt idx="0">
                  <c:v>1季度</c:v>
                </c:pt>
                <c:pt idx="1">
                  <c:v>1-2季度</c:v>
                </c:pt>
                <c:pt idx="2">
                  <c:v>1-3季度</c:v>
                </c:pt>
                <c:pt idx="3">
                  <c:v>1-4季度</c:v>
                </c:pt>
              </c:strCache>
            </c:strRef>
          </c:cat>
          <c:val>
            <c:numRef>
              <c:f>Sheet1!$E$19:$H$19</c:f>
              <c:numCache>
                <c:formatCode>0_ </c:formatCode>
                <c:ptCount val="4"/>
                <c:pt idx="0">
                  <c:v>13291</c:v>
                </c:pt>
                <c:pt idx="1">
                  <c:v>25780</c:v>
                </c:pt>
                <c:pt idx="2">
                  <c:v>38186</c:v>
                </c:pt>
                <c:pt idx="3">
                  <c:v>49695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76"/>
        <c:overlap val="-100"/>
        <c:axId val="452651223"/>
        <c:axId val="516392893"/>
      </c:barChart>
      <c:lineChart>
        <c:grouping val="standard"/>
        <c:varyColors val="0"/>
        <c:ser>
          <c:idx val="2"/>
          <c:order val="2"/>
          <c:tx>
            <c:strRef>
              <c:f>Sheet1!$D$20</c:f>
              <c:strCache>
                <c:ptCount val="1"/>
                <c:pt idx="0">
                  <c:v>2022年增速（%）</c:v>
                </c:pt>
              </c:strCache>
            </c:strRef>
          </c:tx>
          <c:spPr>
            <a:ln w="12700" cap="rnd">
              <a:solidFill>
                <a:srgbClr val="FFFF00"/>
              </a:solidFill>
              <a:round/>
              <a:headEnd type="oval"/>
              <a:tailEnd type="oval"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  <a:sp3d contourW="12700"/>
          </c:spPr>
          <c:marker>
            <c:symbol val="none"/>
          </c:marker>
          <c:dLbls>
            <c:dLbl>
              <c:idx val="0"/>
              <c:layout>
                <c:manualLayout>
                  <c:x val="-0.0375"/>
                  <c:y val="-0.0555555555555556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0.0394581695676586"/>
                  <c:y val="-0.0391186100549218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Sheet1!$E$17:$H$17</c:f>
              <c:strCache>
                <c:ptCount val="4"/>
                <c:pt idx="0">
                  <c:v>1季度</c:v>
                </c:pt>
                <c:pt idx="1">
                  <c:v>1-2季度</c:v>
                </c:pt>
                <c:pt idx="2">
                  <c:v>1-3季度</c:v>
                </c:pt>
                <c:pt idx="3">
                  <c:v>1-4季度</c:v>
                </c:pt>
              </c:strCache>
            </c:strRef>
          </c:cat>
          <c:val>
            <c:numRef>
              <c:f>Sheet1!$E$20:$H$20</c:f>
              <c:numCache>
                <c:formatCode>General</c:formatCode>
                <c:ptCount val="4"/>
                <c:pt idx="0">
                  <c:v>6.7</c:v>
                </c:pt>
                <c:pt idx="1">
                  <c:v>4.2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Sheet1!$D$21</c:f>
              <c:strCache>
                <c:ptCount val="1"/>
                <c:pt idx="0">
                  <c:v>2021年增速（%）</c:v>
                </c:pt>
              </c:strCache>
            </c:strRef>
          </c:tx>
          <c:spPr>
            <a:ln w="12700" cap="rnd">
              <a:solidFill>
                <a:srgbClr val="FF0000"/>
              </a:solidFill>
              <a:round/>
              <a:headEnd type="none"/>
              <a:tailEnd type="triangle"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  <a:sp3d contourW="12700"/>
          </c:spPr>
          <c:marker>
            <c:symbol val="none"/>
          </c:marker>
          <c:dLbls>
            <c:dLbl>
              <c:idx val="0"/>
              <c:layout>
                <c:manualLayout>
                  <c:x val="-0.0412036458983643"/>
                  <c:y val="-0.03922301083302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0.0524410038706455"/>
                  <c:y val="-0.0364213672020919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0.0449494318891247"/>
                  <c:y val="-0.0364213672020919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0.0524410038706455"/>
                  <c:y val="-0.0476279417258125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Sheet1!$E$17:$H$17</c:f>
              <c:strCache>
                <c:ptCount val="4"/>
                <c:pt idx="0">
                  <c:v>1季度</c:v>
                </c:pt>
                <c:pt idx="1">
                  <c:v>1-2季度</c:v>
                </c:pt>
                <c:pt idx="2">
                  <c:v>1-3季度</c:v>
                </c:pt>
                <c:pt idx="3">
                  <c:v>1-4季度</c:v>
                </c:pt>
              </c:strCache>
            </c:strRef>
          </c:cat>
          <c:val>
            <c:numRef>
              <c:f>Sheet1!$E$21:$H$21</c:f>
              <c:numCache>
                <c:formatCode>General</c:formatCode>
                <c:ptCount val="4"/>
                <c:pt idx="0">
                  <c:v>10.4</c:v>
                </c:pt>
                <c:pt idx="1">
                  <c:v>11.2</c:v>
                </c:pt>
                <c:pt idx="2">
                  <c:v>9.4</c:v>
                </c:pt>
                <c:pt idx="3">
                  <c:v>8.4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0"/>
        <c:smooth val="0"/>
        <c:axId val="484341086"/>
        <c:axId val="755928342"/>
      </c:lineChart>
      <c:catAx>
        <c:axId val="452651223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516392893"/>
        <c:crosses val="autoZero"/>
        <c:auto val="1"/>
        <c:lblAlgn val="ctr"/>
        <c:lblOffset val="100"/>
        <c:noMultiLvlLbl val="0"/>
      </c:catAx>
      <c:valAx>
        <c:axId val="516392893"/>
        <c:scaling>
          <c:orientation val="minMax"/>
        </c:scaling>
        <c:delete val="0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_ 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452651223"/>
        <c:crosses val="autoZero"/>
        <c:crossBetween val="between"/>
      </c:valAx>
      <c:catAx>
        <c:axId val="484341086"/>
        <c:scaling>
          <c:orientation val="minMax"/>
        </c:scaling>
        <c:delete val="1"/>
        <c:axPos val="b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755928342"/>
        <c:crosses val="autoZero"/>
        <c:auto val="1"/>
        <c:lblAlgn val="ctr"/>
        <c:lblOffset val="100"/>
        <c:noMultiLvlLbl val="0"/>
      </c:catAx>
      <c:valAx>
        <c:axId val="755928342"/>
        <c:scaling>
          <c:orientation val="minMax"/>
        </c:scaling>
        <c:delete val="0"/>
        <c:axPos val="r"/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484341086"/>
        <c:crosses val="max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08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sz="1080" b="1"/>
              <a:t>一般公共预算收入（累计）</a:t>
            </a:r>
            <a:endParaRPr sz="1080" b="1"/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Sheet1!$D$5</c:f>
              <c:strCache>
                <c:ptCount val="1"/>
                <c:pt idx="0">
                  <c:v>2022年（亿元）</c:v>
                </c:pt>
              </c:strCache>
            </c:strRef>
          </c:tx>
          <c:spPr>
            <a:gradFill>
              <a:gsLst>
                <a:gs pos="43000">
                  <a:srgbClr val="007BD3"/>
                </a:gs>
                <a:gs pos="85000">
                  <a:srgbClr val="034373"/>
                </a:gs>
              </a:gsLst>
              <a:lin ang="0" scaled="0"/>
            </a:gradFill>
            <a:ln>
              <a:noFill/>
            </a:ln>
            <a:effectLst/>
          </c:spPr>
          <c:invertIfNegative val="0"/>
          <c:dLbls>
            <c:dLbl>
              <c:idx val="3"/>
              <c:layout>
                <c:manualLayout>
                  <c:x val="0.0060794379897325"/>
                  <c:y val="0.0257250945775536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0.004816670015265"/>
                  <c:y val="0.0171872020956698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0.00148608484193461"/>
                  <c:y val="0.0171500630517024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Sheet1!$C$6:$C$17</c:f>
              <c:strCache>
                <c:ptCount val="12"/>
                <c:pt idx="0">
                  <c:v>1-1月</c:v>
                </c:pt>
                <c:pt idx="1">
                  <c:v>1-2月</c:v>
                </c:pt>
                <c:pt idx="2">
                  <c:v>1-3月</c:v>
                </c:pt>
                <c:pt idx="3">
                  <c:v>1-4月</c:v>
                </c:pt>
                <c:pt idx="4">
                  <c:v>1-5月</c:v>
                </c:pt>
                <c:pt idx="5">
                  <c:v>1-6月</c:v>
                </c:pt>
                <c:pt idx="6">
                  <c:v>1-7月</c:v>
                </c:pt>
                <c:pt idx="7">
                  <c:v>1-8月</c:v>
                </c:pt>
                <c:pt idx="8">
                  <c:v>1-9月</c:v>
                </c:pt>
                <c:pt idx="9">
                  <c:v>1-10月</c:v>
                </c:pt>
                <c:pt idx="10">
                  <c:v>1-11月</c:v>
                </c:pt>
                <c:pt idx="11">
                  <c:v>1-12月</c:v>
                </c:pt>
              </c:strCache>
            </c:strRef>
          </c:cat>
          <c:val>
            <c:numRef>
              <c:f>Sheet1!$D$6:$D$17</c:f>
              <c:numCache>
                <c:formatCode>General</c:formatCode>
                <c:ptCount val="12"/>
                <c:pt idx="0">
                  <c:v>10.8</c:v>
                </c:pt>
                <c:pt idx="1" c:formatCode="0.0_ ">
                  <c:v>18.8</c:v>
                </c:pt>
                <c:pt idx="2" c:formatCode="0.0_ ">
                  <c:v>31.8</c:v>
                </c:pt>
                <c:pt idx="3">
                  <c:v>42.7</c:v>
                </c:pt>
                <c:pt idx="4">
                  <c:v>48.5</c:v>
                </c:pt>
                <c:pt idx="5">
                  <c:v>65.5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63"/>
        <c:overlap val="-27"/>
        <c:axId val="662104926"/>
        <c:axId val="857388034"/>
      </c:barChart>
      <c:lineChart>
        <c:grouping val="standard"/>
        <c:varyColors val="0"/>
        <c:ser>
          <c:idx val="1"/>
          <c:order val="1"/>
          <c:tx>
            <c:strRef>
              <c:f>Sheet1!$E$5</c:f>
              <c:strCache>
                <c:ptCount val="1"/>
                <c:pt idx="0">
                  <c:v>2022年增速（%）</c:v>
                </c:pt>
              </c:strCache>
            </c:strRef>
          </c:tx>
          <c:spPr>
            <a:ln w="9525" cap="rnd">
              <a:solidFill>
                <a:srgbClr val="FFC000"/>
              </a:solidFill>
              <a:round/>
              <a:headEnd type="oval" w="sm" len="med"/>
              <a:tailEnd type="oval" w="sm" len="sm"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  <a:sp3d contourW="9525"/>
          </c:spPr>
          <c:marker>
            <c:symbol val="none"/>
          </c:marker>
          <c:dLbls>
            <c:dLbl>
              <c:idx val="0"/>
              <c:layout>
                <c:manualLayout>
                  <c:x val="-0.0386795437592519"/>
                  <c:y val="-0.029020192019368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0.0352607403404485"/>
                  <c:y val="-0.047567757587153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Sheet1!$C$6:$C$17</c:f>
              <c:strCache>
                <c:ptCount val="12"/>
                <c:pt idx="0">
                  <c:v>1-1月</c:v>
                </c:pt>
                <c:pt idx="1">
                  <c:v>1-2月</c:v>
                </c:pt>
                <c:pt idx="2">
                  <c:v>1-3月</c:v>
                </c:pt>
                <c:pt idx="3">
                  <c:v>1-4月</c:v>
                </c:pt>
                <c:pt idx="4">
                  <c:v>1-5月</c:v>
                </c:pt>
                <c:pt idx="5">
                  <c:v>1-6月</c:v>
                </c:pt>
                <c:pt idx="6">
                  <c:v>1-7月</c:v>
                </c:pt>
                <c:pt idx="7">
                  <c:v>1-8月</c:v>
                </c:pt>
                <c:pt idx="8">
                  <c:v>1-9月</c:v>
                </c:pt>
                <c:pt idx="9">
                  <c:v>1-10月</c:v>
                </c:pt>
                <c:pt idx="10">
                  <c:v>1-11月</c:v>
                </c:pt>
                <c:pt idx="11">
                  <c:v>1-12月</c:v>
                </c:pt>
              </c:strCache>
            </c:strRef>
          </c:cat>
          <c:val>
            <c:numRef>
              <c:f>Sheet1!$E$6:$E$17</c:f>
              <c:numCache>
                <c:formatCode>General</c:formatCode>
                <c:ptCount val="12"/>
                <c:pt idx="0">
                  <c:v>6.5</c:v>
                </c:pt>
                <c:pt idx="1">
                  <c:v>9.1</c:v>
                </c:pt>
                <c:pt idx="2" c:formatCode="0.0_ ">
                  <c:v>7.9</c:v>
                </c:pt>
                <c:pt idx="3" c:formatCode="0.0_ ">
                  <c:v>3</c:v>
                </c:pt>
                <c:pt idx="4" c:formatCode="0.0_ ">
                  <c:v>4</c:v>
                </c:pt>
                <c:pt idx="5" c:formatCode="0.0_ ">
                  <c:v>-5.7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Sheet1!$F$5</c:f>
              <c:strCache>
                <c:ptCount val="1"/>
                <c:pt idx="0">
                  <c:v>2021年增速（%）</c:v>
                </c:pt>
              </c:strCache>
            </c:strRef>
          </c:tx>
          <c:spPr>
            <a:ln w="9525" cap="rnd">
              <a:solidFill>
                <a:srgbClr val="B5098E"/>
              </a:solidFill>
              <a:round/>
              <a:headEnd type="none"/>
              <a:tailEnd type="triangle"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  <a:sp3d contourW="9525"/>
          </c:spPr>
          <c:marker>
            <c:symbol val="none"/>
          </c:marker>
          <c:dLbls>
            <c:delete val="1"/>
          </c:dLbls>
          <c:cat>
            <c:strRef>
              <c:f>Sheet1!$C$6:$C$17</c:f>
              <c:strCache>
                <c:ptCount val="12"/>
                <c:pt idx="0">
                  <c:v>1-1月</c:v>
                </c:pt>
                <c:pt idx="1">
                  <c:v>1-2月</c:v>
                </c:pt>
                <c:pt idx="2">
                  <c:v>1-3月</c:v>
                </c:pt>
                <c:pt idx="3">
                  <c:v>1-4月</c:v>
                </c:pt>
                <c:pt idx="4">
                  <c:v>1-5月</c:v>
                </c:pt>
                <c:pt idx="5">
                  <c:v>1-6月</c:v>
                </c:pt>
                <c:pt idx="6">
                  <c:v>1-7月</c:v>
                </c:pt>
                <c:pt idx="7">
                  <c:v>1-8月</c:v>
                </c:pt>
                <c:pt idx="8">
                  <c:v>1-9月</c:v>
                </c:pt>
                <c:pt idx="9">
                  <c:v>1-10月</c:v>
                </c:pt>
                <c:pt idx="10">
                  <c:v>1-11月</c:v>
                </c:pt>
                <c:pt idx="11">
                  <c:v>1-12月</c:v>
                </c:pt>
              </c:strCache>
            </c:strRef>
          </c:cat>
          <c:val>
            <c:numRef>
              <c:f>Sheet1!$F$6:$F$17</c:f>
              <c:numCache>
                <c:formatCode>General</c:formatCode>
                <c:ptCount val="12"/>
                <c:pt idx="0">
                  <c:v>0.8</c:v>
                </c:pt>
                <c:pt idx="1">
                  <c:v>0.4</c:v>
                </c:pt>
                <c:pt idx="2" c:formatCode="0.0_ ">
                  <c:v>8</c:v>
                </c:pt>
                <c:pt idx="3">
                  <c:v>18.9</c:v>
                </c:pt>
                <c:pt idx="4">
                  <c:v>22.3</c:v>
                </c:pt>
                <c:pt idx="5" c:formatCode="0.0_ ">
                  <c:v>19.5</c:v>
                </c:pt>
                <c:pt idx="6">
                  <c:v>20.4</c:v>
                </c:pt>
                <c:pt idx="7">
                  <c:v>21.4</c:v>
                </c:pt>
                <c:pt idx="8" c:formatCode="0.0_ ">
                  <c:v>22</c:v>
                </c:pt>
                <c:pt idx="9">
                  <c:v>21.6</c:v>
                </c:pt>
                <c:pt idx="10">
                  <c:v>21.5</c:v>
                </c:pt>
                <c:pt idx="11">
                  <c:v>20.5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0"/>
        <c:smooth val="0"/>
        <c:axId val="446800189"/>
        <c:axId val="162702792"/>
      </c:lineChart>
      <c:catAx>
        <c:axId val="662104926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857388034"/>
        <c:crosses val="autoZero"/>
        <c:auto val="1"/>
        <c:lblAlgn val="ctr"/>
        <c:lblOffset val="100"/>
        <c:noMultiLvlLbl val="0"/>
      </c:catAx>
      <c:valAx>
        <c:axId val="857388034"/>
        <c:scaling>
          <c:orientation val="minMax"/>
        </c:scaling>
        <c:delete val="0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662104926"/>
        <c:crosses val="autoZero"/>
        <c:crossBetween val="between"/>
      </c:valAx>
      <c:catAx>
        <c:axId val="446800189"/>
        <c:scaling>
          <c:orientation val="minMax"/>
        </c:scaling>
        <c:delete val="1"/>
        <c:axPos val="b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62702792"/>
        <c:crosses val="autoZero"/>
        <c:auto val="1"/>
        <c:lblAlgn val="ctr"/>
        <c:lblOffset val="100"/>
        <c:noMultiLvlLbl val="0"/>
      </c:catAx>
      <c:valAx>
        <c:axId val="162702792"/>
        <c:scaling>
          <c:orientation val="minMax"/>
        </c:scaling>
        <c:delete val="0"/>
        <c:axPos val="r"/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446800189"/>
        <c:crosses val="max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legendEntry>
      <c:legendEntry>
        <c:idx val="1"/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legendEntry>
      <c:legendEntry>
        <c:idx val="2"/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legendEntry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lang="zh-CN" sz="900"/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</Words>
  <Characters>1</Characters>
  <Lines>1</Lines>
  <Paragraphs>1</Paragraphs>
  <TotalTime>109</TotalTime>
  <ScaleCrop>false</ScaleCrop>
  <LinksUpToDate>false</LinksUpToDate>
  <CharactersWithSpaces>2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2020-03-24T14:36:00Z</dcterms:created>
  <dc:creator>fanfan</dc:creator>
  <cp:lastModifiedBy>fanfan</cp:lastModifiedBy>
  <dcterms:modified xsi:type="dcterms:W3CDTF">2022-09-20T03:01:48Z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179D673A067849FDB83DBE9D2A0B9D9F</vt:lpwstr>
  </property>
</Properties>
</file>