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66399">
      <w:pPr>
        <w:adjustRightInd w:val="0"/>
        <w:snapToGrid w:val="0"/>
        <w:spacing w:line="440" w:lineRule="exact"/>
        <w:jc w:val="center"/>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北京市通州区市场监督管理局</w:t>
      </w:r>
    </w:p>
    <w:p w14:paraId="28955E61">
      <w:pPr>
        <w:adjustRightInd w:val="0"/>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lang w:val="en-US" w:eastAsia="zh-CN"/>
        </w:rPr>
        <w:t>成人</w:t>
      </w:r>
      <w:r>
        <w:rPr>
          <w:rFonts w:hint="eastAsia" w:ascii="宋体" w:hAnsi="宋体" w:eastAsia="宋体" w:cs="宋体"/>
          <w:color w:val="000000"/>
          <w:sz w:val="32"/>
          <w:szCs w:val="32"/>
        </w:rPr>
        <w:t>鞋产品质量监督抽查实施细则</w:t>
      </w:r>
    </w:p>
    <w:p w14:paraId="08D709DA">
      <w:pPr>
        <w:adjustRightInd w:val="0"/>
        <w:snapToGrid w:val="0"/>
        <w:spacing w:line="440" w:lineRule="exact"/>
        <w:rPr>
          <w:rFonts w:hint="eastAsia" w:ascii="宋体" w:hAnsi="宋体" w:eastAsia="宋体" w:cs="宋体"/>
          <w:color w:val="000000"/>
          <w:sz w:val="32"/>
          <w:szCs w:val="32"/>
        </w:rPr>
      </w:pPr>
    </w:p>
    <w:p w14:paraId="40F6F945">
      <w:pPr>
        <w:tabs>
          <w:tab w:val="left" w:pos="3295"/>
        </w:tabs>
        <w:adjustRightInd w:val="0"/>
        <w:snapToGrid w:val="0"/>
        <w:spacing w:line="440" w:lineRule="exact"/>
        <w:rPr>
          <w:rFonts w:hint="eastAsia" w:ascii="Times New Roman" w:hAnsi="Times New Roman" w:eastAsia="黑体"/>
          <w:color w:val="000000"/>
          <w:szCs w:val="21"/>
          <w:lang w:eastAsia="zh-CN"/>
        </w:rPr>
      </w:pPr>
      <w:r>
        <w:rPr>
          <w:rFonts w:ascii="Times New Roman" w:hAnsi="Times New Roman" w:eastAsia="黑体"/>
          <w:color w:val="000000"/>
          <w:szCs w:val="21"/>
        </w:rPr>
        <w:t>1 抽样方法</w:t>
      </w:r>
      <w:r>
        <w:rPr>
          <w:rFonts w:hint="eastAsia" w:ascii="Times New Roman" w:hAnsi="Times New Roman" w:eastAsia="黑体"/>
          <w:color w:val="000000"/>
          <w:szCs w:val="21"/>
          <w:lang w:eastAsia="zh-CN"/>
        </w:rPr>
        <w:tab/>
      </w:r>
    </w:p>
    <w:p w14:paraId="5DD23051">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0E48CCB8">
      <w:pPr>
        <w:adjustRightInd w:val="0"/>
        <w:snapToGrid w:val="0"/>
        <w:spacing w:line="440" w:lineRule="exact"/>
        <w:ind w:firstLine="420" w:firstLineChars="200"/>
        <w:rPr>
          <w:rFonts w:ascii="Times New Roman" w:hAnsi="Times New Roman" w:eastAsia="黑体"/>
          <w:color w:val="000000"/>
          <w:szCs w:val="21"/>
        </w:rPr>
      </w:pPr>
      <w:r>
        <w:rPr>
          <w:rFonts w:ascii="Times New Roman" w:hAnsi="Times New Roman"/>
          <w:szCs w:val="21"/>
        </w:rPr>
        <w:t>随机数一般可使用随机数表等方法产生。</w:t>
      </w:r>
    </w:p>
    <w:p w14:paraId="1F9ECA79">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每批次抽样数量详见表1。</w:t>
      </w:r>
    </w:p>
    <w:p w14:paraId="53C0A540">
      <w:pPr>
        <w:snapToGrid w:val="0"/>
        <w:spacing w:line="300" w:lineRule="exact"/>
        <w:jc w:val="center"/>
        <w:rPr>
          <w:rFonts w:ascii="Times New Roman" w:hAnsi="Times New Roman"/>
          <w:color w:val="000000"/>
          <w:szCs w:val="21"/>
        </w:rPr>
      </w:pPr>
      <w:r>
        <w:rPr>
          <w:rFonts w:ascii="Times New Roman" w:hAnsi="Times New Roman"/>
          <w:color w:val="000000"/>
          <w:szCs w:val="21"/>
        </w:rPr>
        <w:t>表1 抽取样品数量</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2410"/>
        <w:gridCol w:w="1701"/>
        <w:gridCol w:w="2126"/>
        <w:gridCol w:w="2120"/>
      </w:tblGrid>
      <w:tr w14:paraId="6AC2D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46D95A50">
            <w:pPr>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2410" w:type="dxa"/>
            <w:noWrap w:val="0"/>
            <w:vAlign w:val="center"/>
          </w:tcPr>
          <w:p w14:paraId="2A342E13">
            <w:pPr>
              <w:snapToGrid w:val="0"/>
              <w:spacing w:line="300" w:lineRule="exact"/>
              <w:jc w:val="center"/>
              <w:rPr>
                <w:rFonts w:ascii="Times New Roman" w:hAnsi="Times New Roman"/>
                <w:color w:val="000000"/>
                <w:szCs w:val="21"/>
              </w:rPr>
            </w:pPr>
            <w:r>
              <w:rPr>
                <w:rFonts w:ascii="Times New Roman" w:hAnsi="Times New Roman"/>
                <w:color w:val="000000"/>
                <w:szCs w:val="21"/>
              </w:rPr>
              <w:t>产品种类</w:t>
            </w:r>
          </w:p>
        </w:tc>
        <w:tc>
          <w:tcPr>
            <w:tcW w:w="1701" w:type="dxa"/>
            <w:noWrap w:val="0"/>
            <w:vAlign w:val="center"/>
          </w:tcPr>
          <w:p w14:paraId="7B1F6EEB">
            <w:pPr>
              <w:snapToGrid w:val="0"/>
              <w:spacing w:line="300" w:lineRule="exact"/>
              <w:jc w:val="center"/>
              <w:rPr>
                <w:rFonts w:ascii="Times New Roman" w:hAnsi="Times New Roman"/>
                <w:color w:val="000000"/>
                <w:szCs w:val="21"/>
              </w:rPr>
            </w:pPr>
            <w:r>
              <w:rPr>
                <w:rFonts w:ascii="Times New Roman" w:hAnsi="Times New Roman"/>
                <w:color w:val="000000"/>
                <w:szCs w:val="21"/>
              </w:rPr>
              <w:t>抽样数量（双）</w:t>
            </w:r>
          </w:p>
        </w:tc>
        <w:tc>
          <w:tcPr>
            <w:tcW w:w="2126" w:type="dxa"/>
            <w:noWrap w:val="0"/>
            <w:vAlign w:val="center"/>
          </w:tcPr>
          <w:p w14:paraId="3BBAF6E1">
            <w:pPr>
              <w:snapToGrid w:val="0"/>
              <w:spacing w:line="300" w:lineRule="exact"/>
              <w:jc w:val="center"/>
              <w:rPr>
                <w:rFonts w:ascii="Times New Roman" w:hAnsi="Times New Roman"/>
                <w:color w:val="000000"/>
                <w:szCs w:val="21"/>
              </w:rPr>
            </w:pPr>
            <w:r>
              <w:rPr>
                <w:rFonts w:ascii="Times New Roman" w:hAnsi="Times New Roman"/>
                <w:color w:val="000000"/>
                <w:szCs w:val="21"/>
              </w:rPr>
              <w:t>检验样品数量（双）</w:t>
            </w:r>
          </w:p>
        </w:tc>
        <w:tc>
          <w:tcPr>
            <w:tcW w:w="2120" w:type="dxa"/>
            <w:noWrap w:val="0"/>
            <w:vAlign w:val="center"/>
          </w:tcPr>
          <w:p w14:paraId="4A5C62C5">
            <w:pPr>
              <w:snapToGrid w:val="0"/>
              <w:spacing w:line="300" w:lineRule="exact"/>
              <w:jc w:val="center"/>
              <w:rPr>
                <w:rFonts w:ascii="Times New Roman" w:hAnsi="Times New Roman"/>
                <w:color w:val="000000"/>
                <w:szCs w:val="21"/>
              </w:rPr>
            </w:pPr>
            <w:r>
              <w:rPr>
                <w:rFonts w:ascii="Times New Roman" w:hAnsi="Times New Roman"/>
                <w:color w:val="000000"/>
                <w:szCs w:val="21"/>
              </w:rPr>
              <w:t>备用样品数量（双）</w:t>
            </w:r>
          </w:p>
        </w:tc>
      </w:tr>
      <w:tr w14:paraId="4AD3B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31B2A53F">
            <w:pPr>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2410" w:type="dxa"/>
            <w:noWrap w:val="0"/>
            <w:vAlign w:val="center"/>
          </w:tcPr>
          <w:p w14:paraId="29C3E9C6">
            <w:pPr>
              <w:snapToGrid w:val="0"/>
              <w:spacing w:line="300" w:lineRule="exact"/>
              <w:jc w:val="center"/>
              <w:rPr>
                <w:rFonts w:hint="eastAsia" w:ascii="Times New Roman" w:hAnsi="Times New Roman" w:eastAsia="宋体"/>
                <w:color w:val="000000"/>
                <w:szCs w:val="21"/>
                <w:lang w:eastAsia="zh-CN"/>
              </w:rPr>
            </w:pPr>
            <w:r>
              <w:rPr>
                <w:rFonts w:hint="eastAsia" w:ascii="Times New Roman" w:hAnsi="Times New Roman"/>
                <w:color w:val="000000"/>
                <w:szCs w:val="21"/>
                <w:lang w:val="en-US" w:eastAsia="zh-CN"/>
              </w:rPr>
              <w:t>皮鞋</w:t>
            </w:r>
          </w:p>
        </w:tc>
        <w:tc>
          <w:tcPr>
            <w:tcW w:w="1701" w:type="dxa"/>
            <w:vMerge w:val="restart"/>
            <w:noWrap w:val="0"/>
            <w:vAlign w:val="center"/>
          </w:tcPr>
          <w:p w14:paraId="1954E74F">
            <w:pPr>
              <w:snapToGrid w:val="0"/>
              <w:spacing w:line="300" w:lineRule="exact"/>
              <w:jc w:val="center"/>
              <w:rPr>
                <w:rFonts w:hint="eastAsia" w:ascii="Times New Roman" w:hAnsi="Times New Roman" w:eastAsia="宋体"/>
                <w:color w:val="000000"/>
                <w:szCs w:val="21"/>
                <w:lang w:eastAsia="zh-CN"/>
              </w:rPr>
            </w:pPr>
            <w:r>
              <w:rPr>
                <w:rFonts w:hint="eastAsia" w:ascii="Times New Roman" w:hAnsi="Times New Roman"/>
                <w:color w:val="000000"/>
                <w:szCs w:val="21"/>
                <w:lang w:val="en-US" w:eastAsia="zh-CN"/>
              </w:rPr>
              <w:t>2</w:t>
            </w:r>
          </w:p>
        </w:tc>
        <w:tc>
          <w:tcPr>
            <w:tcW w:w="2126" w:type="dxa"/>
            <w:vMerge w:val="restart"/>
            <w:noWrap w:val="0"/>
            <w:vAlign w:val="center"/>
          </w:tcPr>
          <w:p w14:paraId="103262D0">
            <w:pPr>
              <w:snapToGrid w:val="0"/>
              <w:spacing w:line="300" w:lineRule="exact"/>
              <w:jc w:val="center"/>
              <w:rPr>
                <w:rFonts w:hint="eastAsia" w:ascii="Times New Roman" w:hAnsi="Times New Roman" w:eastAsia="宋体"/>
                <w:color w:val="000000"/>
                <w:szCs w:val="21"/>
                <w:lang w:eastAsia="zh-CN"/>
              </w:rPr>
            </w:pPr>
            <w:r>
              <w:rPr>
                <w:rFonts w:hint="eastAsia" w:ascii="Times New Roman" w:hAnsi="Times New Roman"/>
                <w:color w:val="000000"/>
                <w:szCs w:val="21"/>
                <w:lang w:val="en-US" w:eastAsia="zh-CN"/>
              </w:rPr>
              <w:t>1</w:t>
            </w:r>
          </w:p>
        </w:tc>
        <w:tc>
          <w:tcPr>
            <w:tcW w:w="2120" w:type="dxa"/>
            <w:vMerge w:val="restart"/>
            <w:noWrap w:val="0"/>
            <w:vAlign w:val="center"/>
          </w:tcPr>
          <w:p w14:paraId="45DD1837">
            <w:pPr>
              <w:snapToGrid w:val="0"/>
              <w:spacing w:line="300" w:lineRule="exact"/>
              <w:jc w:val="center"/>
              <w:rPr>
                <w:rFonts w:ascii="Times New Roman" w:hAnsi="Times New Roman"/>
                <w:color w:val="000000"/>
                <w:szCs w:val="21"/>
              </w:rPr>
            </w:pPr>
            <w:r>
              <w:rPr>
                <w:rFonts w:ascii="Times New Roman" w:hAnsi="Times New Roman"/>
                <w:color w:val="000000"/>
                <w:szCs w:val="21"/>
              </w:rPr>
              <w:t>1</w:t>
            </w:r>
          </w:p>
        </w:tc>
      </w:tr>
      <w:tr w14:paraId="263A2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0C625A87">
            <w:pPr>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410" w:type="dxa"/>
            <w:noWrap w:val="0"/>
            <w:vAlign w:val="center"/>
          </w:tcPr>
          <w:p w14:paraId="72755286">
            <w:pPr>
              <w:snapToGrid w:val="0"/>
              <w:spacing w:line="300" w:lineRule="exact"/>
              <w:jc w:val="center"/>
              <w:rPr>
                <w:rFonts w:hint="default" w:ascii="Times New Roman" w:hAnsi="Times New Roman" w:eastAsia="宋体"/>
                <w:color w:val="000000"/>
                <w:szCs w:val="21"/>
                <w:lang w:val="en-US" w:eastAsia="zh-CN"/>
              </w:rPr>
            </w:pPr>
            <w:r>
              <w:rPr>
                <w:rFonts w:hint="eastAsia" w:ascii="Times New Roman" w:hAnsi="Times New Roman"/>
                <w:color w:val="000000"/>
                <w:szCs w:val="21"/>
                <w:lang w:val="en-US" w:eastAsia="zh-CN"/>
              </w:rPr>
              <w:t>旅游鞋</w:t>
            </w:r>
          </w:p>
        </w:tc>
        <w:tc>
          <w:tcPr>
            <w:tcW w:w="1701" w:type="dxa"/>
            <w:vMerge w:val="continue"/>
            <w:noWrap w:val="0"/>
            <w:vAlign w:val="center"/>
          </w:tcPr>
          <w:p w14:paraId="184F5742">
            <w:pPr>
              <w:snapToGrid w:val="0"/>
              <w:spacing w:line="300" w:lineRule="exact"/>
              <w:jc w:val="center"/>
              <w:rPr>
                <w:rFonts w:ascii="Times New Roman" w:hAnsi="Times New Roman"/>
                <w:color w:val="000000"/>
                <w:szCs w:val="21"/>
              </w:rPr>
            </w:pPr>
          </w:p>
        </w:tc>
        <w:tc>
          <w:tcPr>
            <w:tcW w:w="2126" w:type="dxa"/>
            <w:vMerge w:val="continue"/>
            <w:noWrap w:val="0"/>
            <w:vAlign w:val="center"/>
          </w:tcPr>
          <w:p w14:paraId="754036B6">
            <w:pPr>
              <w:snapToGrid w:val="0"/>
              <w:spacing w:line="300" w:lineRule="exact"/>
              <w:jc w:val="center"/>
              <w:rPr>
                <w:rFonts w:ascii="Times New Roman" w:hAnsi="Times New Roman"/>
                <w:color w:val="000000"/>
                <w:szCs w:val="21"/>
              </w:rPr>
            </w:pPr>
          </w:p>
        </w:tc>
        <w:tc>
          <w:tcPr>
            <w:tcW w:w="2120" w:type="dxa"/>
            <w:vMerge w:val="continue"/>
            <w:noWrap w:val="0"/>
            <w:vAlign w:val="center"/>
          </w:tcPr>
          <w:p w14:paraId="0B849FF5">
            <w:pPr>
              <w:snapToGrid w:val="0"/>
              <w:spacing w:line="300" w:lineRule="exact"/>
              <w:jc w:val="center"/>
              <w:rPr>
                <w:rFonts w:ascii="Times New Roman" w:hAnsi="Times New Roman"/>
                <w:color w:val="000000"/>
                <w:szCs w:val="21"/>
              </w:rPr>
            </w:pPr>
          </w:p>
        </w:tc>
      </w:tr>
      <w:tr w14:paraId="2535E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0AEF08C4">
            <w:pPr>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410" w:type="dxa"/>
            <w:noWrap w:val="0"/>
            <w:vAlign w:val="center"/>
          </w:tcPr>
          <w:p w14:paraId="7F3DE5CE">
            <w:pPr>
              <w:snapToGrid w:val="0"/>
              <w:spacing w:line="300" w:lineRule="exact"/>
              <w:jc w:val="center"/>
              <w:rPr>
                <w:rFonts w:hint="default" w:ascii="Times New Roman" w:hAnsi="Times New Roman" w:eastAsia="宋体"/>
                <w:color w:val="000000"/>
                <w:szCs w:val="21"/>
                <w:lang w:val="en-US" w:eastAsia="zh-CN"/>
              </w:rPr>
            </w:pPr>
            <w:r>
              <w:rPr>
                <w:rFonts w:hint="eastAsia" w:ascii="Times New Roman" w:hAnsi="Times New Roman"/>
                <w:color w:val="000000"/>
                <w:szCs w:val="21"/>
                <w:lang w:val="en-US" w:eastAsia="zh-CN"/>
              </w:rPr>
              <w:t>休闲鞋</w:t>
            </w:r>
          </w:p>
        </w:tc>
        <w:tc>
          <w:tcPr>
            <w:tcW w:w="1701" w:type="dxa"/>
            <w:vMerge w:val="continue"/>
            <w:noWrap w:val="0"/>
            <w:vAlign w:val="center"/>
          </w:tcPr>
          <w:p w14:paraId="3EE8A050">
            <w:pPr>
              <w:snapToGrid w:val="0"/>
              <w:spacing w:line="300" w:lineRule="exact"/>
              <w:jc w:val="center"/>
              <w:rPr>
                <w:rFonts w:ascii="Times New Roman" w:hAnsi="Times New Roman"/>
                <w:color w:val="000000"/>
                <w:szCs w:val="21"/>
              </w:rPr>
            </w:pPr>
          </w:p>
        </w:tc>
        <w:tc>
          <w:tcPr>
            <w:tcW w:w="2126" w:type="dxa"/>
            <w:vMerge w:val="continue"/>
            <w:noWrap w:val="0"/>
            <w:vAlign w:val="center"/>
          </w:tcPr>
          <w:p w14:paraId="79852C37">
            <w:pPr>
              <w:snapToGrid w:val="0"/>
              <w:spacing w:line="300" w:lineRule="exact"/>
              <w:jc w:val="center"/>
              <w:rPr>
                <w:rFonts w:ascii="Times New Roman" w:hAnsi="Times New Roman"/>
                <w:color w:val="000000"/>
                <w:szCs w:val="21"/>
              </w:rPr>
            </w:pPr>
          </w:p>
        </w:tc>
        <w:tc>
          <w:tcPr>
            <w:tcW w:w="2120" w:type="dxa"/>
            <w:vMerge w:val="continue"/>
            <w:noWrap w:val="0"/>
            <w:vAlign w:val="center"/>
          </w:tcPr>
          <w:p w14:paraId="6F0231C0">
            <w:pPr>
              <w:snapToGrid w:val="0"/>
              <w:spacing w:line="300" w:lineRule="exact"/>
              <w:jc w:val="center"/>
              <w:rPr>
                <w:rFonts w:ascii="Times New Roman" w:hAnsi="Times New Roman"/>
                <w:color w:val="000000"/>
                <w:szCs w:val="21"/>
              </w:rPr>
            </w:pPr>
          </w:p>
        </w:tc>
      </w:tr>
      <w:tr w14:paraId="694CB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5BB7FD9F">
            <w:pPr>
              <w:snapToGrid w:val="0"/>
              <w:spacing w:line="300" w:lineRule="exact"/>
              <w:jc w:val="center"/>
              <w:rPr>
                <w:rFonts w:hint="eastAsia" w:ascii="Times New Roman" w:hAnsi="Times New Roman" w:eastAsia="宋体"/>
                <w:color w:val="000000"/>
                <w:szCs w:val="21"/>
                <w:lang w:val="en-US" w:eastAsia="zh-CN"/>
              </w:rPr>
            </w:pPr>
            <w:r>
              <w:rPr>
                <w:rFonts w:hint="eastAsia" w:ascii="Times New Roman" w:hAnsi="Times New Roman"/>
                <w:color w:val="000000"/>
                <w:szCs w:val="21"/>
                <w:lang w:val="en-US" w:eastAsia="zh-CN"/>
              </w:rPr>
              <w:t>4</w:t>
            </w:r>
          </w:p>
        </w:tc>
        <w:tc>
          <w:tcPr>
            <w:tcW w:w="2410" w:type="dxa"/>
            <w:noWrap w:val="0"/>
            <w:vAlign w:val="center"/>
          </w:tcPr>
          <w:p w14:paraId="741908CE">
            <w:pPr>
              <w:snapToGrid w:val="0"/>
              <w:spacing w:line="300" w:lineRule="exact"/>
              <w:jc w:val="center"/>
              <w:rPr>
                <w:rFonts w:hint="default" w:ascii="Times New Roman" w:hAnsi="Times New Roman"/>
                <w:color w:val="000000"/>
                <w:szCs w:val="21"/>
                <w:lang w:val="en-US" w:eastAsia="zh-CN"/>
              </w:rPr>
            </w:pPr>
            <w:r>
              <w:rPr>
                <w:rFonts w:hint="eastAsia" w:ascii="Times New Roman" w:hAnsi="Times New Roman"/>
                <w:color w:val="000000"/>
                <w:szCs w:val="21"/>
                <w:lang w:val="en-US" w:eastAsia="zh-CN"/>
              </w:rPr>
              <w:t>皮凉鞋</w:t>
            </w:r>
          </w:p>
        </w:tc>
        <w:tc>
          <w:tcPr>
            <w:tcW w:w="1701" w:type="dxa"/>
            <w:vMerge w:val="continue"/>
            <w:noWrap w:val="0"/>
            <w:vAlign w:val="center"/>
          </w:tcPr>
          <w:p w14:paraId="7052C864">
            <w:pPr>
              <w:snapToGrid w:val="0"/>
              <w:spacing w:line="300" w:lineRule="exact"/>
              <w:jc w:val="center"/>
              <w:rPr>
                <w:rFonts w:ascii="Times New Roman" w:hAnsi="Times New Roman"/>
                <w:color w:val="000000"/>
                <w:szCs w:val="21"/>
              </w:rPr>
            </w:pPr>
          </w:p>
        </w:tc>
        <w:tc>
          <w:tcPr>
            <w:tcW w:w="2126" w:type="dxa"/>
            <w:vMerge w:val="continue"/>
            <w:noWrap w:val="0"/>
            <w:vAlign w:val="center"/>
          </w:tcPr>
          <w:p w14:paraId="3063EBD8">
            <w:pPr>
              <w:snapToGrid w:val="0"/>
              <w:spacing w:line="300" w:lineRule="exact"/>
              <w:jc w:val="center"/>
              <w:rPr>
                <w:rFonts w:ascii="Times New Roman" w:hAnsi="Times New Roman"/>
                <w:color w:val="000000"/>
                <w:szCs w:val="21"/>
              </w:rPr>
            </w:pPr>
          </w:p>
        </w:tc>
        <w:tc>
          <w:tcPr>
            <w:tcW w:w="2120" w:type="dxa"/>
            <w:vMerge w:val="continue"/>
            <w:noWrap w:val="0"/>
            <w:vAlign w:val="center"/>
          </w:tcPr>
          <w:p w14:paraId="6D7E8613">
            <w:pPr>
              <w:snapToGrid w:val="0"/>
              <w:spacing w:line="300" w:lineRule="exact"/>
              <w:jc w:val="center"/>
              <w:rPr>
                <w:rFonts w:ascii="Times New Roman" w:hAnsi="Times New Roman"/>
                <w:color w:val="000000"/>
                <w:szCs w:val="21"/>
              </w:rPr>
            </w:pPr>
          </w:p>
        </w:tc>
      </w:tr>
    </w:tbl>
    <w:p w14:paraId="4AAB39C0">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14:paraId="71E649AA">
      <w:pPr>
        <w:snapToGrid w:val="0"/>
        <w:spacing w:line="300" w:lineRule="exact"/>
        <w:ind w:firstLine="2730" w:firstLineChars="1300"/>
        <w:jc w:val="both"/>
        <w:rPr>
          <w:rFonts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lang w:val="en-US" w:eastAsia="zh-CN"/>
        </w:rPr>
        <w:t>1皮鞋</w:t>
      </w:r>
      <w:r>
        <w:rPr>
          <w:rFonts w:ascii="Times New Roman" w:hAnsi="Times New Roman"/>
          <w:szCs w:val="21"/>
        </w:rPr>
        <w:t>（</w:t>
      </w:r>
      <w:r>
        <w:rPr>
          <w:rFonts w:hint="eastAsia" w:ascii="Times New Roman" w:hAnsi="Times New Roman"/>
          <w:szCs w:val="21"/>
          <w:lang w:val="en-US" w:eastAsia="zh-CN"/>
        </w:rPr>
        <w:t>QB/T1002-2015</w:t>
      </w:r>
      <w:r>
        <w:rPr>
          <w:rFonts w:ascii="Times New Roman" w:hAnsi="Times New Roman"/>
          <w:szCs w:val="21"/>
        </w:rPr>
        <w:t>）</w:t>
      </w:r>
    </w:p>
    <w:tbl>
      <w:tblPr>
        <w:tblStyle w:val="8"/>
        <w:tblpPr w:leftFromText="180" w:rightFromText="180" w:vertAnchor="text" w:horzAnchor="page" w:tblpX="1521" w:tblpY="253"/>
        <w:tblOverlap w:val="never"/>
        <w:tblW w:w="87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46"/>
        <w:gridCol w:w="4343"/>
        <w:gridCol w:w="2799"/>
      </w:tblGrid>
      <w:tr w14:paraId="3B322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354E">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序号</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B0B33">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检验项目</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021C">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检验方法</w:t>
            </w:r>
          </w:p>
        </w:tc>
      </w:tr>
      <w:tr w14:paraId="4ADDC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C9A0">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8F4B9">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标识</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093B">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2673</w:t>
            </w:r>
          </w:p>
        </w:tc>
      </w:tr>
      <w:tr w14:paraId="47C3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93F0">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2</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8F388">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帮底剥离强度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2ED4">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GB/T 3903.3</w:t>
            </w:r>
          </w:p>
        </w:tc>
      </w:tr>
      <w:tr w14:paraId="7BB13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7C272">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3</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A8A7A">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鞋帮拉出强度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8138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1002</w:t>
            </w:r>
          </w:p>
        </w:tc>
      </w:tr>
      <w:tr w14:paraId="2A3B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9259">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4</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68D2">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成鞋耐折性能</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CD4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1002</w:t>
            </w:r>
          </w:p>
        </w:tc>
      </w:tr>
      <w:tr w14:paraId="63B8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CC11B">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9A7D5">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外底耐磨性能</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23BA">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1002</w:t>
            </w:r>
          </w:p>
        </w:tc>
      </w:tr>
      <w:tr w14:paraId="15BF0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B4FEA">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6</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4A64">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鞋跟结合力</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CF40">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 xml:space="preserve">GB/T 11413  </w:t>
            </w:r>
          </w:p>
        </w:tc>
      </w:tr>
      <w:tr w14:paraId="51DAC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A4CC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7</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82594">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成型底鞋跟硬度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998E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1002</w:t>
            </w:r>
          </w:p>
        </w:tc>
      </w:tr>
      <w:tr w14:paraId="1EA77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1B8C">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8</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2AE66">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衬里和內垫材料的耐摩擦色牢度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B7BB">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QB/T 2882 A法</w:t>
            </w:r>
          </w:p>
        </w:tc>
      </w:tr>
      <w:tr w14:paraId="3050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9D31">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9</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919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勾心长度下限值</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F6DF">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GB/T 28011</w:t>
            </w:r>
          </w:p>
        </w:tc>
      </w:tr>
      <w:tr w14:paraId="65002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78FA">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10</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6531">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勾心纵向刚度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28B3">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 xml:space="preserve"> GB/T 3903.34</w:t>
            </w:r>
          </w:p>
        </w:tc>
      </w:tr>
      <w:tr w14:paraId="72341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0F8C">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11</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166E">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勾心硬度</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4ED9">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GB/T 230.1</w:t>
            </w:r>
          </w:p>
        </w:tc>
      </w:tr>
      <w:tr w14:paraId="7DD20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851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12</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8A377">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勾心弯曲性能</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BAFE">
            <w:pPr>
              <w:adjustRightInd w:val="0"/>
              <w:snapToGrid w:val="0"/>
              <w:spacing w:line="30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GB/T 28011</w:t>
            </w:r>
          </w:p>
        </w:tc>
      </w:tr>
      <w:tr w14:paraId="2ECD1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141D">
            <w:pPr>
              <w:adjustRightInd w:val="0"/>
              <w:snapToGrid w:val="0"/>
              <w:spacing w:line="30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13</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4098">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可分解致癌芳香胺染料</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A361">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GB/T 17592—2011</w:t>
            </w:r>
          </w:p>
          <w:p w14:paraId="3FE52F36">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GB/T 19942—2005</w:t>
            </w:r>
          </w:p>
          <w:p w14:paraId="3A14BA0B">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GB/T 23344—2009</w:t>
            </w:r>
          </w:p>
        </w:tc>
      </w:tr>
      <w:tr w14:paraId="6FB27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D27D4">
            <w:pPr>
              <w:adjustRightInd w:val="0"/>
              <w:snapToGrid w:val="0"/>
              <w:spacing w:line="30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14</w:t>
            </w:r>
          </w:p>
        </w:tc>
        <w:tc>
          <w:tcPr>
            <w:tcW w:w="4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E6F53">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游离或可部分水解的甲醛</w:t>
            </w:r>
          </w:p>
        </w:tc>
        <w:tc>
          <w:tcPr>
            <w:tcW w:w="2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13C4">
            <w:pPr>
              <w:adjustRightInd w:val="0"/>
              <w:snapToGrid w:val="0"/>
              <w:spacing w:line="300" w:lineRule="exact"/>
              <w:jc w:val="center"/>
              <w:rPr>
                <w:rFonts w:ascii="Times New Roman" w:hAnsi="Times New Roman" w:eastAsia="宋体" w:cs="Times New Roman"/>
                <w:szCs w:val="21"/>
              </w:rPr>
            </w:pPr>
            <w:r>
              <w:rPr>
                <w:rFonts w:ascii="Times New Roman" w:hAnsi="Times New Roman" w:eastAsia="宋体" w:cs="Times New Roman"/>
                <w:szCs w:val="21"/>
              </w:rPr>
              <w:t>GB/T 2912.1—2009</w:t>
            </w:r>
          </w:p>
          <w:p w14:paraId="2A4E0E11">
            <w:pPr>
              <w:adjustRightInd w:val="0"/>
              <w:snapToGrid w:val="0"/>
              <w:spacing w:line="300" w:lineRule="exact"/>
              <w:jc w:val="center"/>
              <w:rPr>
                <w:rFonts w:hint="eastAsia" w:ascii="Times New Roman" w:hAnsi="Times New Roman" w:eastAsia="宋体" w:cs="Times New Roman"/>
                <w:szCs w:val="21"/>
              </w:rPr>
            </w:pPr>
            <w:r>
              <w:rPr>
                <w:rFonts w:ascii="Times New Roman" w:hAnsi="Times New Roman" w:eastAsia="宋体" w:cs="Times New Roman"/>
                <w:szCs w:val="21"/>
              </w:rPr>
              <w:t>GB/T 19941—2005</w:t>
            </w:r>
          </w:p>
        </w:tc>
      </w:tr>
    </w:tbl>
    <w:p w14:paraId="0FBC55F5">
      <w:pPr>
        <w:snapToGrid w:val="0"/>
        <w:spacing w:line="300" w:lineRule="exact"/>
        <w:jc w:val="center"/>
        <w:rPr>
          <w:rFonts w:ascii="Times New Roman" w:hAnsi="Times New Roman" w:eastAsia="黑体"/>
          <w:color w:val="000000"/>
          <w:szCs w:val="21"/>
        </w:rPr>
      </w:pPr>
    </w:p>
    <w:p w14:paraId="183179A9">
      <w:pPr>
        <w:snapToGrid w:val="0"/>
        <w:spacing w:line="300" w:lineRule="exact"/>
        <w:jc w:val="both"/>
        <w:rPr>
          <w:rFonts w:ascii="Times New Roman" w:hAnsi="Times New Roman"/>
          <w:color w:val="000000"/>
          <w:szCs w:val="21"/>
        </w:rPr>
      </w:pPr>
    </w:p>
    <w:p w14:paraId="5238BB28">
      <w:pPr>
        <w:snapToGrid w:val="0"/>
        <w:spacing w:line="300" w:lineRule="exact"/>
        <w:ind w:firstLine="2730" w:firstLineChars="1300"/>
        <w:jc w:val="both"/>
        <w:rPr>
          <w:rFonts w:ascii="Times New Roman" w:hAnsi="Times New Roman"/>
          <w:color w:val="000000"/>
          <w:szCs w:val="21"/>
        </w:rPr>
      </w:pPr>
    </w:p>
    <w:p w14:paraId="2205F18E">
      <w:pPr>
        <w:snapToGrid w:val="0"/>
        <w:spacing w:line="300" w:lineRule="exact"/>
        <w:ind w:firstLine="2730" w:firstLineChars="1300"/>
        <w:jc w:val="both"/>
        <w:rPr>
          <w:rFonts w:ascii="Times New Roman" w:hAnsi="Times New Roman"/>
          <w:color w:val="000000"/>
          <w:szCs w:val="21"/>
        </w:rPr>
      </w:pPr>
    </w:p>
    <w:p w14:paraId="7CA8D4A9">
      <w:pPr>
        <w:snapToGrid w:val="0"/>
        <w:spacing w:line="300" w:lineRule="exact"/>
        <w:ind w:firstLine="2730" w:firstLineChars="1300"/>
        <w:jc w:val="both"/>
        <w:rPr>
          <w:rFonts w:ascii="Times New Roman" w:hAnsi="Times New Roman"/>
          <w:color w:val="000000"/>
          <w:szCs w:val="21"/>
        </w:rPr>
      </w:pPr>
    </w:p>
    <w:p w14:paraId="69706456">
      <w:pPr>
        <w:snapToGrid w:val="0"/>
        <w:spacing w:line="300" w:lineRule="exact"/>
        <w:ind w:firstLine="2730" w:firstLineChars="1300"/>
        <w:jc w:val="both"/>
        <w:rPr>
          <w:rFonts w:ascii="Times New Roman" w:hAnsi="Times New Roman"/>
          <w:color w:val="000000"/>
          <w:szCs w:val="21"/>
        </w:rPr>
      </w:pPr>
      <w:r>
        <w:rPr>
          <w:rFonts w:ascii="Times New Roman" w:hAnsi="Times New Roman"/>
          <w:color w:val="000000"/>
          <w:szCs w:val="21"/>
        </w:rPr>
        <w:t>表</w:t>
      </w:r>
      <w:r>
        <w:rPr>
          <w:rFonts w:hint="eastAsia" w:ascii="Times New Roman" w:hAnsi="Times New Roman"/>
          <w:color w:val="000000"/>
          <w:szCs w:val="21"/>
          <w:lang w:val="en-US" w:eastAsia="zh-CN"/>
        </w:rPr>
        <w:t>2</w:t>
      </w:r>
      <w:r>
        <w:rPr>
          <w:rFonts w:ascii="Times New Roman" w:hAnsi="Times New Roman"/>
          <w:color w:val="000000"/>
          <w:szCs w:val="21"/>
        </w:rPr>
        <w:t xml:space="preserve"> </w:t>
      </w:r>
      <w:r>
        <w:rPr>
          <w:rFonts w:ascii="Times New Roman" w:hAnsi="Times New Roman"/>
          <w:szCs w:val="21"/>
        </w:rPr>
        <w:t>旅游鞋（GB/T 15107—2013）</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3648"/>
        <w:gridCol w:w="4385"/>
      </w:tblGrid>
      <w:tr w14:paraId="061AA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5F0C390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1988" w:type="pct"/>
            <w:noWrap w:val="0"/>
            <w:vAlign w:val="center"/>
          </w:tcPr>
          <w:p w14:paraId="3E242786">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390" w:type="pct"/>
            <w:noWrap w:val="0"/>
            <w:vAlign w:val="center"/>
          </w:tcPr>
          <w:p w14:paraId="1BF0AEA8">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6301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0D4D2B3E">
            <w:pPr>
              <w:adjustRightInd w:val="0"/>
              <w:snapToGrid w:val="0"/>
              <w:spacing w:line="300" w:lineRule="exact"/>
              <w:jc w:val="center"/>
              <w:rPr>
                <w:rFonts w:ascii="Times New Roman" w:hAnsi="Times New Roman"/>
                <w:color w:val="000000"/>
                <w:szCs w:val="21"/>
              </w:rPr>
            </w:pPr>
            <w:r>
              <w:rPr>
                <w:rFonts w:ascii="Times New Roman" w:hAnsi="Times New Roman"/>
                <w:szCs w:val="21"/>
              </w:rPr>
              <w:t>1</w:t>
            </w:r>
          </w:p>
        </w:tc>
        <w:tc>
          <w:tcPr>
            <w:tcW w:w="1988" w:type="pct"/>
            <w:noWrap w:val="0"/>
            <w:vAlign w:val="center"/>
          </w:tcPr>
          <w:p w14:paraId="1CAB5DA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帮底剥离强度或</w:t>
            </w:r>
          </w:p>
          <w:p w14:paraId="0746847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底墙与帮面剥离强度</w:t>
            </w:r>
          </w:p>
        </w:tc>
        <w:tc>
          <w:tcPr>
            <w:tcW w:w="2390" w:type="pct"/>
            <w:noWrap w:val="0"/>
            <w:vAlign w:val="center"/>
          </w:tcPr>
          <w:p w14:paraId="7402571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3903.3—2011</w:t>
            </w:r>
          </w:p>
          <w:p w14:paraId="1F4054DF">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00E2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2A08DFD4">
            <w:pPr>
              <w:adjustRightInd w:val="0"/>
              <w:snapToGrid w:val="0"/>
              <w:spacing w:line="300" w:lineRule="exact"/>
              <w:jc w:val="center"/>
              <w:rPr>
                <w:rFonts w:ascii="Times New Roman" w:hAnsi="Times New Roman"/>
                <w:color w:val="000000"/>
                <w:szCs w:val="21"/>
              </w:rPr>
            </w:pPr>
            <w:r>
              <w:rPr>
                <w:rFonts w:ascii="Times New Roman" w:hAnsi="Times New Roman"/>
                <w:szCs w:val="21"/>
              </w:rPr>
              <w:t>2</w:t>
            </w:r>
          </w:p>
        </w:tc>
        <w:tc>
          <w:tcPr>
            <w:tcW w:w="1988" w:type="pct"/>
            <w:noWrap w:val="0"/>
            <w:vAlign w:val="center"/>
          </w:tcPr>
          <w:p w14:paraId="4D2ED69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成鞋耐折性能</w:t>
            </w:r>
          </w:p>
        </w:tc>
        <w:tc>
          <w:tcPr>
            <w:tcW w:w="2390" w:type="pct"/>
            <w:noWrap w:val="0"/>
            <w:vAlign w:val="center"/>
          </w:tcPr>
          <w:p w14:paraId="06B3D15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3903.1—2008</w:t>
            </w:r>
          </w:p>
          <w:p w14:paraId="5B86EDD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0D9F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4AB68298">
            <w:pPr>
              <w:adjustRightInd w:val="0"/>
              <w:snapToGrid w:val="0"/>
              <w:spacing w:line="300" w:lineRule="exact"/>
              <w:jc w:val="center"/>
              <w:rPr>
                <w:rFonts w:ascii="Times New Roman" w:hAnsi="Times New Roman"/>
                <w:color w:val="000000"/>
                <w:szCs w:val="21"/>
              </w:rPr>
            </w:pPr>
            <w:r>
              <w:rPr>
                <w:rFonts w:ascii="Times New Roman" w:hAnsi="Times New Roman"/>
                <w:szCs w:val="21"/>
              </w:rPr>
              <w:t>3</w:t>
            </w:r>
          </w:p>
        </w:tc>
        <w:tc>
          <w:tcPr>
            <w:tcW w:w="1988" w:type="pct"/>
            <w:noWrap w:val="0"/>
            <w:vAlign w:val="center"/>
          </w:tcPr>
          <w:p w14:paraId="792B5B5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外底耐磨性能</w:t>
            </w:r>
          </w:p>
        </w:tc>
        <w:tc>
          <w:tcPr>
            <w:tcW w:w="2390" w:type="pct"/>
            <w:noWrap w:val="0"/>
            <w:vAlign w:val="center"/>
          </w:tcPr>
          <w:p w14:paraId="47213D13">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3903.2—2008</w:t>
            </w:r>
          </w:p>
          <w:p w14:paraId="3774ADF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748E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4068B061">
            <w:pPr>
              <w:adjustRightInd w:val="0"/>
              <w:snapToGrid w:val="0"/>
              <w:spacing w:line="300" w:lineRule="exact"/>
              <w:jc w:val="center"/>
              <w:rPr>
                <w:rFonts w:ascii="Times New Roman" w:hAnsi="Times New Roman"/>
                <w:color w:val="000000"/>
                <w:szCs w:val="21"/>
              </w:rPr>
            </w:pPr>
            <w:r>
              <w:rPr>
                <w:rFonts w:ascii="Times New Roman" w:hAnsi="Times New Roman"/>
                <w:szCs w:val="21"/>
              </w:rPr>
              <w:t>4</w:t>
            </w:r>
          </w:p>
        </w:tc>
        <w:tc>
          <w:tcPr>
            <w:tcW w:w="1988" w:type="pct"/>
            <w:noWrap w:val="0"/>
            <w:vAlign w:val="center"/>
          </w:tcPr>
          <w:p w14:paraId="6F9658E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外底与外中底粘合强度</w:t>
            </w:r>
          </w:p>
        </w:tc>
        <w:tc>
          <w:tcPr>
            <w:tcW w:w="2390" w:type="pct"/>
            <w:noWrap w:val="0"/>
            <w:vAlign w:val="center"/>
          </w:tcPr>
          <w:p w14:paraId="031CAA2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2886—2007</w:t>
            </w:r>
          </w:p>
        </w:tc>
      </w:tr>
      <w:tr w14:paraId="3C07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546DD27B">
            <w:pPr>
              <w:adjustRightInd w:val="0"/>
              <w:snapToGrid w:val="0"/>
              <w:spacing w:line="300" w:lineRule="exact"/>
              <w:jc w:val="center"/>
              <w:rPr>
                <w:rFonts w:ascii="Times New Roman" w:hAnsi="Times New Roman"/>
                <w:color w:val="000000"/>
                <w:szCs w:val="21"/>
              </w:rPr>
            </w:pPr>
            <w:r>
              <w:rPr>
                <w:rFonts w:ascii="Times New Roman" w:hAnsi="Times New Roman"/>
                <w:szCs w:val="21"/>
              </w:rPr>
              <w:t>5</w:t>
            </w:r>
          </w:p>
        </w:tc>
        <w:tc>
          <w:tcPr>
            <w:tcW w:w="1988" w:type="pct"/>
            <w:noWrap w:val="0"/>
            <w:vAlign w:val="center"/>
          </w:tcPr>
          <w:p w14:paraId="107C0FC4">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衬里</w:t>
            </w:r>
            <w:r>
              <w:rPr>
                <w:rFonts w:ascii="Times New Roman" w:hAnsi="Times New Roman"/>
                <w:color w:val="000000"/>
                <w:szCs w:val="21"/>
              </w:rPr>
              <w:t>和内垫耐摩擦色牢度</w:t>
            </w:r>
          </w:p>
        </w:tc>
        <w:tc>
          <w:tcPr>
            <w:tcW w:w="2390" w:type="pct"/>
            <w:noWrap w:val="0"/>
            <w:vAlign w:val="center"/>
          </w:tcPr>
          <w:p w14:paraId="4B556C71">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QB/T</w:t>
            </w:r>
            <w:r>
              <w:rPr>
                <w:rFonts w:ascii="Times New Roman" w:hAnsi="Times New Roman"/>
                <w:color w:val="000000"/>
                <w:szCs w:val="21"/>
              </w:rPr>
              <w:t xml:space="preserve"> 2882—2007</w:t>
            </w:r>
            <w:r>
              <w:rPr>
                <w:rFonts w:hint="eastAsia" w:ascii="Times New Roman" w:hAnsi="Times New Roman"/>
                <w:color w:val="000000"/>
                <w:szCs w:val="21"/>
              </w:rPr>
              <w:t>方法</w:t>
            </w:r>
            <w:r>
              <w:rPr>
                <w:rFonts w:ascii="Times New Roman" w:hAnsi="Times New Roman"/>
                <w:color w:val="000000"/>
                <w:szCs w:val="21"/>
              </w:rPr>
              <w:t>A</w:t>
            </w:r>
          </w:p>
          <w:p w14:paraId="73406DC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15107—2013</w:t>
            </w:r>
          </w:p>
        </w:tc>
      </w:tr>
      <w:tr w14:paraId="0413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422F90A3">
            <w:pPr>
              <w:adjustRightInd w:val="0"/>
              <w:snapToGrid w:val="0"/>
              <w:spacing w:line="300" w:lineRule="exact"/>
              <w:jc w:val="center"/>
              <w:rPr>
                <w:rFonts w:ascii="Times New Roman" w:hAnsi="Times New Roman"/>
                <w:color w:val="000000"/>
                <w:szCs w:val="21"/>
              </w:rPr>
            </w:pPr>
            <w:r>
              <w:rPr>
                <w:rFonts w:ascii="Times New Roman" w:hAnsi="Times New Roman"/>
                <w:szCs w:val="21"/>
              </w:rPr>
              <w:t>6</w:t>
            </w:r>
          </w:p>
        </w:tc>
        <w:tc>
          <w:tcPr>
            <w:tcW w:w="1988" w:type="pct"/>
            <w:noWrap w:val="0"/>
            <w:vAlign w:val="center"/>
          </w:tcPr>
          <w:p w14:paraId="5294011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可分解致癌芳香胺染料</w:t>
            </w:r>
          </w:p>
        </w:tc>
        <w:tc>
          <w:tcPr>
            <w:tcW w:w="2390" w:type="pct"/>
            <w:noWrap w:val="0"/>
            <w:vAlign w:val="center"/>
          </w:tcPr>
          <w:p w14:paraId="52CBEC09">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17592—2011</w:t>
            </w:r>
          </w:p>
          <w:p w14:paraId="6EEC3EDD">
            <w:pPr>
              <w:adjustRightInd w:val="0"/>
              <w:snapToGrid w:val="0"/>
              <w:spacing w:line="300" w:lineRule="exact"/>
              <w:jc w:val="center"/>
              <w:rPr>
                <w:rFonts w:ascii="Times New Roman" w:hAnsi="Times New Roman"/>
                <w:szCs w:val="21"/>
              </w:rPr>
            </w:pPr>
            <w:r>
              <w:rPr>
                <w:rFonts w:ascii="Times New Roman" w:hAnsi="Times New Roman"/>
                <w:color w:val="000000"/>
                <w:szCs w:val="21"/>
              </w:rPr>
              <w:t>GB/T 1</w:t>
            </w:r>
            <w:r>
              <w:rPr>
                <w:rFonts w:ascii="Times New Roman" w:hAnsi="Times New Roman"/>
                <w:szCs w:val="21"/>
              </w:rPr>
              <w:t>9942—2005</w:t>
            </w:r>
          </w:p>
          <w:p w14:paraId="75E2CED9">
            <w:pPr>
              <w:adjustRightInd w:val="0"/>
              <w:snapToGrid w:val="0"/>
              <w:spacing w:line="300" w:lineRule="exact"/>
              <w:jc w:val="center"/>
              <w:rPr>
                <w:rFonts w:ascii="Times New Roman" w:hAnsi="Times New Roman"/>
                <w:color w:val="FF0000"/>
                <w:szCs w:val="21"/>
              </w:rPr>
            </w:pPr>
            <w:r>
              <w:rPr>
                <w:rFonts w:ascii="Times New Roman" w:hAnsi="Times New Roman"/>
                <w:szCs w:val="21"/>
              </w:rPr>
              <w:t>GB/T 23344—2009</w:t>
            </w:r>
          </w:p>
        </w:tc>
      </w:tr>
      <w:tr w14:paraId="180B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2" w:type="pct"/>
            <w:noWrap w:val="0"/>
            <w:vAlign w:val="center"/>
          </w:tcPr>
          <w:p w14:paraId="736CF059">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7</w:t>
            </w:r>
          </w:p>
        </w:tc>
        <w:tc>
          <w:tcPr>
            <w:tcW w:w="1988" w:type="pct"/>
            <w:noWrap w:val="0"/>
            <w:vAlign w:val="center"/>
          </w:tcPr>
          <w:p w14:paraId="3388364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游离或可部分水解的甲醛</w:t>
            </w:r>
          </w:p>
        </w:tc>
        <w:tc>
          <w:tcPr>
            <w:tcW w:w="2390" w:type="pct"/>
            <w:noWrap w:val="0"/>
            <w:vAlign w:val="center"/>
          </w:tcPr>
          <w:p w14:paraId="27C406BC">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2912.1—2009</w:t>
            </w:r>
          </w:p>
          <w:p w14:paraId="63CD661F">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19941—2005</w:t>
            </w:r>
          </w:p>
        </w:tc>
      </w:tr>
    </w:tbl>
    <w:p w14:paraId="4BD4B9CE">
      <w:pPr>
        <w:snapToGrid w:val="0"/>
        <w:spacing w:line="440" w:lineRule="exact"/>
        <w:jc w:val="center"/>
        <w:rPr>
          <w:rFonts w:ascii="Times New Roman" w:hAnsi="Times New Roman"/>
          <w:szCs w:val="21"/>
        </w:rPr>
      </w:pPr>
    </w:p>
    <w:p w14:paraId="19FB945F">
      <w:pPr>
        <w:snapToGrid w:val="0"/>
        <w:spacing w:line="30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lang w:val="en-US" w:eastAsia="zh-CN"/>
        </w:rPr>
        <w:t>3</w:t>
      </w:r>
      <w:r>
        <w:rPr>
          <w:rFonts w:ascii="Times New Roman" w:hAnsi="Times New Roman"/>
          <w:szCs w:val="21"/>
        </w:rPr>
        <w:t xml:space="preserve"> 休闲鞋（QB/T 2955—2017）</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725"/>
        <w:gridCol w:w="4400"/>
      </w:tblGrid>
      <w:tr w14:paraId="2779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572" w:type="pct"/>
            <w:noWrap w:val="0"/>
            <w:vAlign w:val="center"/>
          </w:tcPr>
          <w:p w14:paraId="4BB3A4D4">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序号</w:t>
            </w:r>
          </w:p>
        </w:tc>
        <w:tc>
          <w:tcPr>
            <w:tcW w:w="2030" w:type="pct"/>
            <w:noWrap w:val="0"/>
            <w:vAlign w:val="center"/>
          </w:tcPr>
          <w:p w14:paraId="75826F1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检验项目</w:t>
            </w:r>
          </w:p>
        </w:tc>
        <w:tc>
          <w:tcPr>
            <w:tcW w:w="2398" w:type="pct"/>
            <w:noWrap w:val="0"/>
            <w:vAlign w:val="center"/>
          </w:tcPr>
          <w:p w14:paraId="681CFB1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检验方法</w:t>
            </w:r>
          </w:p>
        </w:tc>
      </w:tr>
      <w:tr w14:paraId="3ED7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1F722E1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2030" w:type="pct"/>
            <w:noWrap w:val="0"/>
            <w:vAlign w:val="center"/>
          </w:tcPr>
          <w:p w14:paraId="6B14C23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耐折性能</w:t>
            </w:r>
          </w:p>
        </w:tc>
        <w:tc>
          <w:tcPr>
            <w:tcW w:w="2398" w:type="pct"/>
            <w:noWrap w:val="0"/>
            <w:vAlign w:val="center"/>
          </w:tcPr>
          <w:p w14:paraId="13F150B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3903.1—2017</w:t>
            </w:r>
          </w:p>
          <w:p w14:paraId="3337A2A9">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71BB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6451F76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030" w:type="pct"/>
            <w:noWrap w:val="0"/>
            <w:vAlign w:val="center"/>
          </w:tcPr>
          <w:p w14:paraId="54F003E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外底耐磨性能</w:t>
            </w:r>
          </w:p>
        </w:tc>
        <w:tc>
          <w:tcPr>
            <w:tcW w:w="2398" w:type="pct"/>
            <w:noWrap w:val="0"/>
            <w:vAlign w:val="center"/>
          </w:tcPr>
          <w:p w14:paraId="1ADDE90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3903.2—2017</w:t>
            </w:r>
          </w:p>
          <w:p w14:paraId="6E66A664">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501B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2298BE6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030" w:type="pct"/>
            <w:noWrap w:val="0"/>
            <w:vAlign w:val="center"/>
          </w:tcPr>
          <w:p w14:paraId="647FEBEE">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剥离强度</w:t>
            </w:r>
          </w:p>
        </w:tc>
        <w:tc>
          <w:tcPr>
            <w:tcW w:w="2398" w:type="pct"/>
            <w:noWrap w:val="0"/>
            <w:vAlign w:val="center"/>
          </w:tcPr>
          <w:p w14:paraId="3EA9BD3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3903.3—2011</w:t>
            </w:r>
          </w:p>
          <w:p w14:paraId="70727531">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4D8F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6CA42D1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4</w:t>
            </w:r>
          </w:p>
        </w:tc>
        <w:tc>
          <w:tcPr>
            <w:tcW w:w="2030" w:type="pct"/>
            <w:noWrap w:val="0"/>
            <w:vAlign w:val="center"/>
          </w:tcPr>
          <w:p w14:paraId="53B79D5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鞋帮拉出强度</w:t>
            </w:r>
          </w:p>
        </w:tc>
        <w:tc>
          <w:tcPr>
            <w:tcW w:w="2398" w:type="pct"/>
            <w:noWrap w:val="0"/>
            <w:vAlign w:val="center"/>
          </w:tcPr>
          <w:p w14:paraId="1FA29217">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2955—2017</w:t>
            </w:r>
          </w:p>
        </w:tc>
      </w:tr>
      <w:tr w14:paraId="285D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1A2C850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5</w:t>
            </w:r>
          </w:p>
        </w:tc>
        <w:tc>
          <w:tcPr>
            <w:tcW w:w="2030" w:type="pct"/>
            <w:noWrap w:val="0"/>
            <w:vAlign w:val="center"/>
          </w:tcPr>
          <w:p w14:paraId="13087D6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外底与外中底粘合强度</w:t>
            </w:r>
          </w:p>
        </w:tc>
        <w:tc>
          <w:tcPr>
            <w:tcW w:w="2398" w:type="pct"/>
            <w:noWrap w:val="0"/>
            <w:vAlign w:val="center"/>
          </w:tcPr>
          <w:p w14:paraId="32DC99B3">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21396—2008</w:t>
            </w:r>
          </w:p>
        </w:tc>
      </w:tr>
      <w:tr w14:paraId="6A6F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77E499E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6</w:t>
            </w:r>
          </w:p>
        </w:tc>
        <w:tc>
          <w:tcPr>
            <w:tcW w:w="2030" w:type="pct"/>
            <w:noWrap w:val="0"/>
            <w:vAlign w:val="center"/>
          </w:tcPr>
          <w:p w14:paraId="33FD1B9D">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衬里和内垫摩擦色牢度</w:t>
            </w:r>
          </w:p>
        </w:tc>
        <w:tc>
          <w:tcPr>
            <w:tcW w:w="2398" w:type="pct"/>
            <w:noWrap w:val="0"/>
            <w:vAlign w:val="center"/>
          </w:tcPr>
          <w:p w14:paraId="2D4B5C8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QB/T 2882—2007</w:t>
            </w:r>
            <w:r>
              <w:rPr>
                <w:rFonts w:hint="eastAsia" w:ascii="Times New Roman" w:hAnsi="Times New Roman"/>
                <w:color w:val="000000"/>
                <w:szCs w:val="21"/>
              </w:rPr>
              <w:t>方法</w:t>
            </w:r>
            <w:r>
              <w:rPr>
                <w:rFonts w:ascii="Times New Roman" w:hAnsi="Times New Roman"/>
                <w:color w:val="000000"/>
                <w:szCs w:val="21"/>
              </w:rPr>
              <w:t>A</w:t>
            </w:r>
          </w:p>
          <w:p w14:paraId="13FFE75C">
            <w:pPr>
              <w:adjustRightInd w:val="0"/>
              <w:snapToGrid w:val="0"/>
              <w:spacing w:line="300" w:lineRule="exact"/>
              <w:jc w:val="center"/>
              <w:rPr>
                <w:rFonts w:ascii="Times New Roman" w:hAnsi="Times New Roman"/>
                <w:color w:val="000000"/>
                <w:szCs w:val="21"/>
              </w:rPr>
            </w:pPr>
            <w:r>
              <w:rPr>
                <w:rFonts w:ascii="Times New Roman" w:hAnsi="Times New Roman"/>
                <w:szCs w:val="21"/>
              </w:rPr>
              <w:t>QB/T 2955</w:t>
            </w:r>
            <w:r>
              <w:rPr>
                <w:rFonts w:ascii="Times New Roman" w:hAnsi="Times New Roman"/>
                <w:color w:val="000000"/>
                <w:szCs w:val="21"/>
              </w:rPr>
              <w:t>—</w:t>
            </w:r>
            <w:r>
              <w:rPr>
                <w:rFonts w:ascii="Times New Roman" w:hAnsi="Times New Roman"/>
                <w:szCs w:val="21"/>
              </w:rPr>
              <w:t>2017</w:t>
            </w:r>
          </w:p>
        </w:tc>
      </w:tr>
      <w:tr w14:paraId="0BE66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74A559ED">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7</w:t>
            </w:r>
          </w:p>
        </w:tc>
        <w:tc>
          <w:tcPr>
            <w:tcW w:w="2030" w:type="pct"/>
            <w:noWrap w:val="0"/>
            <w:vAlign w:val="center"/>
          </w:tcPr>
          <w:p w14:paraId="499729B6">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可分解有害芳香胺</w:t>
            </w:r>
          </w:p>
        </w:tc>
        <w:tc>
          <w:tcPr>
            <w:tcW w:w="2398" w:type="pct"/>
            <w:noWrap w:val="0"/>
            <w:vAlign w:val="center"/>
          </w:tcPr>
          <w:p w14:paraId="77E3FA81">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17592—2011</w:t>
            </w:r>
          </w:p>
          <w:p w14:paraId="6067946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19942—2005</w:t>
            </w:r>
          </w:p>
          <w:p w14:paraId="2B3204FC">
            <w:pPr>
              <w:adjustRightInd w:val="0"/>
              <w:snapToGrid w:val="0"/>
              <w:spacing w:line="300" w:lineRule="exact"/>
              <w:jc w:val="center"/>
              <w:rPr>
                <w:rFonts w:ascii="Times New Roman" w:hAnsi="Times New Roman"/>
                <w:szCs w:val="21"/>
              </w:rPr>
            </w:pPr>
            <w:r>
              <w:rPr>
                <w:rFonts w:ascii="Times New Roman" w:hAnsi="Times New Roman"/>
                <w:szCs w:val="21"/>
              </w:rPr>
              <w:t>GB/T 23344—2009</w:t>
            </w:r>
          </w:p>
        </w:tc>
      </w:tr>
      <w:tr w14:paraId="61BE8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72" w:type="pct"/>
            <w:noWrap w:val="0"/>
            <w:vAlign w:val="center"/>
          </w:tcPr>
          <w:p w14:paraId="672D99F2">
            <w:pPr>
              <w:adjustRightInd w:val="0"/>
              <w:snapToGrid w:val="0"/>
              <w:spacing w:line="300" w:lineRule="exact"/>
              <w:jc w:val="center"/>
              <w:rPr>
                <w:rFonts w:ascii="Times New Roman" w:hAnsi="Times New Roman"/>
                <w:color w:val="000000"/>
                <w:szCs w:val="21"/>
              </w:rPr>
            </w:pPr>
            <w:r>
              <w:rPr>
                <w:rFonts w:hint="eastAsia" w:ascii="Times New Roman" w:hAnsi="Times New Roman"/>
                <w:color w:val="000000"/>
                <w:szCs w:val="21"/>
              </w:rPr>
              <w:t>8</w:t>
            </w:r>
          </w:p>
        </w:tc>
        <w:tc>
          <w:tcPr>
            <w:tcW w:w="2030" w:type="pct"/>
            <w:noWrap w:val="0"/>
            <w:vAlign w:val="center"/>
          </w:tcPr>
          <w:p w14:paraId="5F9742B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游离或可部分水解的甲醛</w:t>
            </w:r>
          </w:p>
        </w:tc>
        <w:tc>
          <w:tcPr>
            <w:tcW w:w="2398" w:type="pct"/>
            <w:noWrap w:val="0"/>
            <w:vAlign w:val="center"/>
          </w:tcPr>
          <w:p w14:paraId="57EA5CC6">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2912.1—2009</w:t>
            </w:r>
          </w:p>
          <w:p w14:paraId="35F15AB2">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GB/T 19941—2005</w:t>
            </w:r>
          </w:p>
        </w:tc>
      </w:tr>
    </w:tbl>
    <w:p w14:paraId="54AF3A07">
      <w:pPr>
        <w:snapToGrid w:val="0"/>
        <w:spacing w:line="440" w:lineRule="exact"/>
        <w:jc w:val="center"/>
        <w:rPr>
          <w:rFonts w:hint="eastAsia" w:ascii="Times New Roman" w:hAnsi="Times New Roman"/>
          <w:color w:val="000000"/>
          <w:szCs w:val="21"/>
        </w:rPr>
      </w:pPr>
    </w:p>
    <w:p w14:paraId="5C47B72E">
      <w:pPr>
        <w:snapToGrid w:val="0"/>
        <w:spacing w:line="440" w:lineRule="exact"/>
        <w:jc w:val="center"/>
        <w:rPr>
          <w:rFonts w:hint="eastAsia" w:ascii="Times New Roman" w:hAnsi="Times New Roman"/>
          <w:color w:val="000000"/>
          <w:szCs w:val="21"/>
        </w:rPr>
      </w:pPr>
    </w:p>
    <w:p w14:paraId="52070616">
      <w:pPr>
        <w:snapToGrid w:val="0"/>
        <w:spacing w:line="440" w:lineRule="exact"/>
        <w:jc w:val="center"/>
        <w:rPr>
          <w:rFonts w:hint="eastAsia" w:ascii="Times New Roman" w:hAnsi="Times New Roman"/>
          <w:color w:val="000000"/>
          <w:szCs w:val="21"/>
        </w:rPr>
      </w:pPr>
    </w:p>
    <w:p w14:paraId="4A3946AE">
      <w:pPr>
        <w:snapToGrid w:val="0"/>
        <w:spacing w:line="440" w:lineRule="exact"/>
        <w:jc w:val="center"/>
        <w:rPr>
          <w:rFonts w:hint="eastAsia" w:ascii="Times New Roman" w:hAnsi="Times New Roman"/>
          <w:color w:val="000000"/>
          <w:szCs w:val="21"/>
        </w:rPr>
      </w:pPr>
    </w:p>
    <w:p w14:paraId="0611D73F">
      <w:pPr>
        <w:snapToGrid w:val="0"/>
        <w:spacing w:line="440" w:lineRule="exact"/>
        <w:jc w:val="center"/>
        <w:rPr>
          <w:rFonts w:hint="eastAsia" w:ascii="Times New Roman" w:hAnsi="Times New Roman"/>
          <w:color w:val="000000"/>
          <w:szCs w:val="21"/>
        </w:rPr>
      </w:pPr>
    </w:p>
    <w:tbl>
      <w:tblPr>
        <w:tblStyle w:val="8"/>
        <w:tblpPr w:leftFromText="180" w:rightFromText="180" w:vertAnchor="text" w:horzAnchor="page" w:tblpX="1462" w:tblpY="440"/>
        <w:tblOverlap w:val="never"/>
        <w:tblW w:w="92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7"/>
        <w:gridCol w:w="3707"/>
        <w:gridCol w:w="4480"/>
      </w:tblGrid>
      <w:tr w14:paraId="6FD7E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0F05C">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序号</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A9ED">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检验项目</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DDC70">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检验方法</w:t>
            </w:r>
          </w:p>
        </w:tc>
      </w:tr>
      <w:tr w14:paraId="15061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10D0">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1</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0519">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耐折性能</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1877B">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22756</w:t>
            </w:r>
          </w:p>
        </w:tc>
      </w:tr>
      <w:tr w14:paraId="58D22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8EF6">
            <w:pPr>
              <w:adjustRightInd w:val="0"/>
              <w:snapToGrid w:val="0"/>
              <w:spacing w:line="300" w:lineRule="exact"/>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2</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3D60">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外底耐磨性能</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6B2AB">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22756</w:t>
            </w:r>
          </w:p>
        </w:tc>
      </w:tr>
      <w:tr w14:paraId="2807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9F65">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3</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D150">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帮底剥离强度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1C5F">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3903.3</w:t>
            </w:r>
          </w:p>
        </w:tc>
      </w:tr>
      <w:tr w14:paraId="5CCA1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D277">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4</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5CB3">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帮带拉出强度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7FAE5">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22756</w:t>
            </w:r>
          </w:p>
        </w:tc>
      </w:tr>
      <w:tr w14:paraId="2970D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69E5">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5</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7CB2">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成型底鞋跟硬度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498F">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22756</w:t>
            </w:r>
          </w:p>
        </w:tc>
      </w:tr>
      <w:tr w14:paraId="0F55E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EEB68">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6</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41B74">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鞋跟结合力</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B9A3">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11413</w:t>
            </w:r>
          </w:p>
        </w:tc>
      </w:tr>
      <w:tr w14:paraId="44DD6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04AE">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7</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5B485">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勾心长度下限值</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AADF">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28011</w:t>
            </w:r>
          </w:p>
        </w:tc>
      </w:tr>
      <w:tr w14:paraId="2F4B4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4F20">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8</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F381A">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勾心纵向刚度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E5068">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3903.34</w:t>
            </w:r>
          </w:p>
        </w:tc>
      </w:tr>
      <w:tr w14:paraId="34DB3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9709">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9</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7D9F3">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勾心硬度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9206">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230.1</w:t>
            </w:r>
          </w:p>
        </w:tc>
      </w:tr>
      <w:tr w14:paraId="76F5A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7D5F3">
            <w:pPr>
              <w:adjustRightInd w:val="0"/>
              <w:snapToGrid w:val="0"/>
              <w:spacing w:line="300" w:lineRule="exact"/>
              <w:jc w:val="center"/>
              <w:rPr>
                <w:rFonts w:hint="default" w:ascii="Times New Roman" w:hAnsi="Times New Roman" w:eastAsia="宋体" w:cs="Times New Roman"/>
                <w:color w:val="000000"/>
                <w:szCs w:val="21"/>
                <w:lang w:val="en-US"/>
              </w:rPr>
            </w:pPr>
            <w:r>
              <w:rPr>
                <w:rFonts w:hint="eastAsia" w:ascii="Times New Roman" w:hAnsi="Times New Roman" w:eastAsia="宋体" w:cs="Times New Roman"/>
                <w:color w:val="000000"/>
                <w:szCs w:val="21"/>
                <w:lang w:val="en-US" w:eastAsia="zh-CN"/>
              </w:rPr>
              <w:t>10</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F6594">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勾心弯曲性能</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034F">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GB/T 28011</w:t>
            </w:r>
          </w:p>
        </w:tc>
      </w:tr>
      <w:tr w14:paraId="387BE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263D">
            <w:pPr>
              <w:adjustRightInd w:val="0"/>
              <w:snapToGrid w:val="0"/>
              <w:spacing w:line="300" w:lineRule="exact"/>
              <w:jc w:val="center"/>
              <w:rPr>
                <w:rFonts w:hint="default" w:ascii="Times New Roman" w:hAnsi="Times New Roman" w:eastAsia="宋体" w:cs="Times New Roman"/>
                <w:color w:val="000000"/>
                <w:szCs w:val="21"/>
                <w:lang w:val="en-US"/>
              </w:rPr>
            </w:pPr>
            <w:r>
              <w:rPr>
                <w:rFonts w:hint="eastAsia" w:ascii="Times New Roman" w:hAnsi="Times New Roman" w:eastAsia="宋体" w:cs="Times New Roman"/>
                <w:color w:val="000000"/>
                <w:szCs w:val="21"/>
                <w:lang w:val="en-US" w:eastAsia="zh-CN"/>
              </w:rPr>
              <w:t>11</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54ED">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衬里和內垫耐摩擦色牢度</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7EEE">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QB/T 2882 A法</w:t>
            </w:r>
          </w:p>
        </w:tc>
      </w:tr>
      <w:tr w14:paraId="2F64F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D9B9">
            <w:pPr>
              <w:adjustRightInd w:val="0"/>
              <w:snapToGrid w:val="0"/>
              <w:spacing w:line="300" w:lineRule="exact"/>
              <w:jc w:val="center"/>
              <w:rPr>
                <w:rFonts w:hint="default" w:ascii="Times New Roman" w:hAnsi="Times New Roman" w:eastAsia="宋体" w:cs="Times New Roman"/>
                <w:color w:val="000000"/>
                <w:szCs w:val="21"/>
                <w:lang w:val="en-US"/>
              </w:rPr>
            </w:pPr>
            <w:r>
              <w:rPr>
                <w:rFonts w:hint="eastAsia" w:ascii="Times New Roman" w:hAnsi="Times New Roman" w:eastAsia="宋体" w:cs="Times New Roman"/>
                <w:color w:val="000000"/>
                <w:szCs w:val="21"/>
                <w:lang w:val="en-US" w:eastAsia="zh-CN"/>
              </w:rPr>
              <w:t>12</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19D66">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可分解有害芳香胺染料</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DAAD6">
            <w:pPr>
              <w:adjustRightInd w:val="0"/>
              <w:snapToGrid w:val="0"/>
              <w:spacing w:line="30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GB/T 17592—2011</w:t>
            </w:r>
          </w:p>
          <w:p w14:paraId="0BC89154">
            <w:pPr>
              <w:adjustRightInd w:val="0"/>
              <w:snapToGrid w:val="0"/>
              <w:spacing w:line="30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GB/T 19942—2005</w:t>
            </w:r>
          </w:p>
          <w:p w14:paraId="4741CF08">
            <w:pPr>
              <w:adjustRightInd w:val="0"/>
              <w:snapToGrid w:val="0"/>
              <w:spacing w:line="300" w:lineRule="exact"/>
              <w:jc w:val="center"/>
              <w:rPr>
                <w:rFonts w:hint="eastAsia" w:ascii="Times New Roman" w:hAnsi="Times New Roman" w:eastAsia="宋体" w:cs="Times New Roman"/>
                <w:color w:val="000000"/>
                <w:szCs w:val="21"/>
              </w:rPr>
            </w:pPr>
            <w:r>
              <w:rPr>
                <w:rFonts w:ascii="Times New Roman" w:hAnsi="Times New Roman" w:eastAsia="宋体" w:cs="Times New Roman"/>
                <w:color w:val="000000"/>
                <w:szCs w:val="21"/>
              </w:rPr>
              <w:t>GB/T 23344—2009</w:t>
            </w:r>
          </w:p>
        </w:tc>
      </w:tr>
      <w:tr w14:paraId="72B6C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0E846">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16</w:t>
            </w:r>
          </w:p>
        </w:tc>
        <w:tc>
          <w:tcPr>
            <w:tcW w:w="37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758D">
            <w:pPr>
              <w:adjustRightInd w:val="0"/>
              <w:snapToGrid w:val="0"/>
              <w:spacing w:line="30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val="en-US" w:eastAsia="zh-CN"/>
              </w:rPr>
              <w:t>甲醛</w:t>
            </w:r>
          </w:p>
        </w:tc>
        <w:tc>
          <w:tcPr>
            <w:tcW w:w="4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8C5B">
            <w:pPr>
              <w:adjustRightInd w:val="0"/>
              <w:snapToGrid w:val="0"/>
              <w:spacing w:line="30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GB/T 2912.1—2009</w:t>
            </w:r>
          </w:p>
          <w:p w14:paraId="53065582">
            <w:pPr>
              <w:adjustRightInd w:val="0"/>
              <w:snapToGrid w:val="0"/>
              <w:spacing w:line="300" w:lineRule="exact"/>
              <w:jc w:val="center"/>
              <w:rPr>
                <w:rFonts w:hint="eastAsia" w:ascii="Times New Roman" w:hAnsi="Times New Roman" w:eastAsia="宋体" w:cs="Times New Roman"/>
                <w:color w:val="000000"/>
                <w:szCs w:val="21"/>
              </w:rPr>
            </w:pPr>
            <w:r>
              <w:rPr>
                <w:rFonts w:ascii="Times New Roman" w:hAnsi="Times New Roman" w:eastAsia="宋体" w:cs="Times New Roman"/>
                <w:color w:val="000000"/>
                <w:szCs w:val="21"/>
              </w:rPr>
              <w:t>GB/T 19941—2005</w:t>
            </w:r>
          </w:p>
        </w:tc>
      </w:tr>
    </w:tbl>
    <w:p w14:paraId="021D35D7">
      <w:pPr>
        <w:snapToGrid w:val="0"/>
        <w:spacing w:line="440" w:lineRule="exact"/>
        <w:ind w:firstLine="2310" w:firstLineChars="1100"/>
        <w:rPr>
          <w:rFonts w:hint="default" w:eastAsia="宋体" w:cs="Times New Roman"/>
          <w:color w:val="000000"/>
          <w:lang w:val="en-US" w:eastAsia="zh-CN"/>
        </w:rPr>
      </w:pPr>
      <w:r>
        <w:rPr>
          <w:rFonts w:ascii="Times New Roman" w:hAnsi="Times New Roman"/>
          <w:szCs w:val="21"/>
        </w:rPr>
        <w:t>表</w:t>
      </w:r>
      <w:r>
        <w:rPr>
          <w:rFonts w:hint="eastAsia" w:ascii="Times New Roman" w:hAnsi="Times New Roman"/>
          <w:szCs w:val="21"/>
          <w:lang w:val="en-US" w:eastAsia="zh-CN"/>
        </w:rPr>
        <w:t>4皮凉鞋</w:t>
      </w:r>
      <w:r>
        <w:rPr>
          <w:rFonts w:ascii="Times New Roman" w:hAnsi="Times New Roman"/>
          <w:szCs w:val="21"/>
        </w:rPr>
        <w:t>（</w:t>
      </w:r>
      <w:r>
        <w:rPr>
          <w:rFonts w:hint="eastAsia" w:cs="Times New Roman"/>
          <w:color w:val="000000"/>
        </w:rPr>
        <w:t>QB/T</w:t>
      </w:r>
      <w:r>
        <w:rPr>
          <w:rFonts w:hint="eastAsia" w:cs="Times New Roman"/>
          <w:color w:val="000000"/>
          <w:lang w:val="en-US" w:eastAsia="zh-CN"/>
        </w:rPr>
        <w:t xml:space="preserve"> 22756-2017 皮凉鞋）</w:t>
      </w:r>
    </w:p>
    <w:p w14:paraId="7F8CFE94">
      <w:pPr>
        <w:snapToGrid w:val="0"/>
        <w:spacing w:line="440" w:lineRule="exact"/>
        <w:jc w:val="center"/>
        <w:rPr>
          <w:rFonts w:ascii="Times New Roman" w:hAnsi="Times New Roman"/>
          <w:color w:val="000000"/>
          <w:szCs w:val="21"/>
        </w:rPr>
      </w:pPr>
    </w:p>
    <w:p w14:paraId="47A4D135">
      <w:pPr>
        <w:snapToGrid w:val="0"/>
        <w:spacing w:line="30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lang w:val="en-US" w:eastAsia="zh-CN"/>
        </w:rPr>
        <w:t>5</w:t>
      </w:r>
      <w:r>
        <w:rPr>
          <w:rFonts w:hint="eastAsia" w:ascii="Times New Roman" w:hAnsi="Times New Roman"/>
        </w:rPr>
        <w:t>鞋类通用安全要求（</w:t>
      </w:r>
      <w:r>
        <w:rPr>
          <w:rFonts w:ascii="Times New Roman" w:hAnsi="Times New Roman"/>
        </w:rPr>
        <w:t>GB 25038</w:t>
      </w:r>
      <w:r>
        <w:rPr>
          <w:rFonts w:ascii="Times New Roman" w:hAnsi="Times New Roman"/>
          <w:szCs w:val="21"/>
        </w:rPr>
        <w:t>—</w:t>
      </w:r>
      <w:r>
        <w:rPr>
          <w:rFonts w:ascii="Times New Roman" w:hAnsi="Times New Roman"/>
        </w:rPr>
        <w:t>2024</w:t>
      </w:r>
      <w:r>
        <w:rPr>
          <w:rFonts w:hint="eastAsia" w:ascii="Times New Roman" w:hAnsi="Times New Roman"/>
        </w:rPr>
        <w:t>）</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3795"/>
        <w:gridCol w:w="4305"/>
      </w:tblGrid>
      <w:tr w14:paraId="6B3D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5C9DB01F">
            <w:pPr>
              <w:adjustRightInd w:val="0"/>
              <w:snapToGrid w:val="0"/>
              <w:spacing w:line="300" w:lineRule="exact"/>
              <w:jc w:val="center"/>
              <w:rPr>
                <w:rFonts w:ascii="Times New Roman" w:hAnsi="Times New Roman"/>
                <w:szCs w:val="21"/>
              </w:rPr>
            </w:pPr>
            <w:r>
              <w:rPr>
                <w:rFonts w:ascii="Times New Roman" w:hAnsi="Times New Roman"/>
                <w:szCs w:val="21"/>
              </w:rPr>
              <w:t>序号</w:t>
            </w:r>
          </w:p>
        </w:tc>
        <w:tc>
          <w:tcPr>
            <w:tcW w:w="2068" w:type="pct"/>
            <w:noWrap w:val="0"/>
            <w:vAlign w:val="center"/>
          </w:tcPr>
          <w:p w14:paraId="49EDCD2D">
            <w:pPr>
              <w:adjustRightInd w:val="0"/>
              <w:snapToGrid w:val="0"/>
              <w:spacing w:line="300" w:lineRule="exact"/>
              <w:jc w:val="center"/>
              <w:rPr>
                <w:rFonts w:ascii="Times New Roman" w:hAnsi="Times New Roman"/>
                <w:szCs w:val="21"/>
              </w:rPr>
            </w:pPr>
            <w:r>
              <w:rPr>
                <w:rFonts w:ascii="Times New Roman" w:hAnsi="Times New Roman"/>
                <w:szCs w:val="21"/>
              </w:rPr>
              <w:t>检验项目</w:t>
            </w:r>
          </w:p>
        </w:tc>
        <w:tc>
          <w:tcPr>
            <w:tcW w:w="2346" w:type="pct"/>
            <w:noWrap w:val="0"/>
            <w:vAlign w:val="center"/>
          </w:tcPr>
          <w:p w14:paraId="26A4DA4C">
            <w:pPr>
              <w:adjustRightInd w:val="0"/>
              <w:snapToGrid w:val="0"/>
              <w:spacing w:line="300" w:lineRule="exact"/>
              <w:jc w:val="center"/>
              <w:rPr>
                <w:rFonts w:ascii="Times New Roman" w:hAnsi="Times New Roman"/>
                <w:szCs w:val="21"/>
              </w:rPr>
            </w:pPr>
            <w:r>
              <w:rPr>
                <w:rFonts w:ascii="Times New Roman" w:hAnsi="Times New Roman"/>
                <w:szCs w:val="21"/>
              </w:rPr>
              <w:t>检验方法</w:t>
            </w:r>
          </w:p>
        </w:tc>
      </w:tr>
      <w:tr w14:paraId="79C4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0A7FCEC1">
            <w:pPr>
              <w:adjustRightInd w:val="0"/>
              <w:snapToGrid w:val="0"/>
              <w:spacing w:line="300" w:lineRule="exact"/>
              <w:jc w:val="center"/>
              <w:rPr>
                <w:rFonts w:ascii="Times New Roman" w:hAnsi="Times New Roman"/>
                <w:szCs w:val="21"/>
              </w:rPr>
            </w:pPr>
            <w:r>
              <w:rPr>
                <w:rFonts w:hint="eastAsia" w:ascii="Times New Roman" w:hAnsi="Times New Roman"/>
                <w:szCs w:val="21"/>
              </w:rPr>
              <w:t>1</w:t>
            </w:r>
          </w:p>
        </w:tc>
        <w:tc>
          <w:tcPr>
            <w:tcW w:w="2068" w:type="pct"/>
            <w:noWrap w:val="0"/>
            <w:vAlign w:val="center"/>
          </w:tcPr>
          <w:p w14:paraId="023CE6DE">
            <w:pPr>
              <w:adjustRightInd w:val="0"/>
              <w:snapToGrid w:val="0"/>
              <w:spacing w:line="300" w:lineRule="exact"/>
              <w:jc w:val="center"/>
              <w:rPr>
                <w:rFonts w:ascii="Times New Roman" w:hAnsi="Times New Roman"/>
                <w:szCs w:val="21"/>
              </w:rPr>
            </w:pPr>
            <w:r>
              <w:rPr>
                <w:rFonts w:hint="eastAsia" w:ascii="Times New Roman" w:hAnsi="Times New Roman"/>
                <w:szCs w:val="21"/>
              </w:rPr>
              <w:t>钉尖和断针要求</w:t>
            </w:r>
          </w:p>
        </w:tc>
        <w:tc>
          <w:tcPr>
            <w:tcW w:w="2346" w:type="pct"/>
            <w:noWrap w:val="0"/>
            <w:vAlign w:val="center"/>
          </w:tcPr>
          <w:p w14:paraId="537E683C">
            <w:pPr>
              <w:adjustRightInd w:val="0"/>
              <w:snapToGrid w:val="0"/>
              <w:spacing w:line="300" w:lineRule="exact"/>
              <w:jc w:val="center"/>
              <w:rPr>
                <w:rFonts w:ascii="Times New Roman" w:hAnsi="Times New Roman"/>
                <w:szCs w:val="21"/>
              </w:rPr>
            </w:pPr>
            <w:r>
              <w:rPr>
                <w:rFonts w:ascii="Times New Roman" w:hAnsi="Times New Roman"/>
              </w:rPr>
              <w:t>GB 25038</w:t>
            </w:r>
            <w:r>
              <w:rPr>
                <w:rFonts w:ascii="Times New Roman" w:hAnsi="Times New Roman"/>
                <w:szCs w:val="21"/>
              </w:rPr>
              <w:t>—</w:t>
            </w:r>
            <w:r>
              <w:rPr>
                <w:rFonts w:ascii="Times New Roman" w:hAnsi="Times New Roman"/>
              </w:rPr>
              <w:t>2024</w:t>
            </w:r>
          </w:p>
        </w:tc>
      </w:tr>
      <w:tr w14:paraId="3A1E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78BC4209">
            <w:pPr>
              <w:adjustRightInd w:val="0"/>
              <w:snapToGrid w:val="0"/>
              <w:spacing w:line="300" w:lineRule="exact"/>
              <w:jc w:val="center"/>
              <w:rPr>
                <w:rFonts w:ascii="Times New Roman" w:hAnsi="Times New Roman"/>
                <w:szCs w:val="21"/>
              </w:rPr>
            </w:pPr>
            <w:r>
              <w:rPr>
                <w:rFonts w:hint="eastAsia" w:ascii="Times New Roman" w:hAnsi="Times New Roman"/>
                <w:szCs w:val="21"/>
              </w:rPr>
              <w:t>2</w:t>
            </w:r>
          </w:p>
        </w:tc>
        <w:tc>
          <w:tcPr>
            <w:tcW w:w="2068" w:type="pct"/>
            <w:noWrap w:val="0"/>
            <w:vAlign w:val="center"/>
          </w:tcPr>
          <w:p w14:paraId="47773B90">
            <w:pPr>
              <w:adjustRightInd w:val="0"/>
              <w:snapToGrid w:val="0"/>
              <w:spacing w:line="300" w:lineRule="exact"/>
              <w:jc w:val="center"/>
              <w:rPr>
                <w:rFonts w:ascii="Times New Roman" w:hAnsi="Times New Roman"/>
                <w:szCs w:val="21"/>
              </w:rPr>
            </w:pPr>
            <w:r>
              <w:rPr>
                <w:rFonts w:ascii="Times New Roman" w:hAnsi="Times New Roman"/>
                <w:szCs w:val="21"/>
              </w:rPr>
              <w:t>六价铬</w:t>
            </w:r>
          </w:p>
        </w:tc>
        <w:tc>
          <w:tcPr>
            <w:tcW w:w="2346" w:type="pct"/>
            <w:noWrap w:val="0"/>
            <w:vAlign w:val="center"/>
          </w:tcPr>
          <w:p w14:paraId="4378B5A6">
            <w:pPr>
              <w:adjustRightInd w:val="0"/>
              <w:snapToGrid w:val="0"/>
              <w:spacing w:line="300" w:lineRule="exact"/>
              <w:jc w:val="center"/>
              <w:rPr>
                <w:rFonts w:ascii="Times New Roman" w:hAnsi="Times New Roman"/>
              </w:rPr>
            </w:pPr>
            <w:r>
              <w:rPr>
                <w:rFonts w:ascii="Times New Roman" w:hAnsi="Times New Roman"/>
              </w:rPr>
              <w:t>GB/T 38402</w:t>
            </w:r>
            <w:r>
              <w:rPr>
                <w:rFonts w:ascii="Times New Roman" w:hAnsi="Times New Roman"/>
                <w:szCs w:val="21"/>
              </w:rPr>
              <w:t>—</w:t>
            </w:r>
            <w:r>
              <w:rPr>
                <w:rFonts w:ascii="Times New Roman" w:hAnsi="Times New Roman"/>
              </w:rPr>
              <w:t>2019</w:t>
            </w:r>
          </w:p>
        </w:tc>
      </w:tr>
      <w:tr w14:paraId="5CB0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404B2C7D">
            <w:pPr>
              <w:adjustRightInd w:val="0"/>
              <w:snapToGrid w:val="0"/>
              <w:spacing w:line="300" w:lineRule="exact"/>
              <w:jc w:val="center"/>
              <w:rPr>
                <w:rFonts w:ascii="Times New Roman" w:hAnsi="Times New Roman"/>
                <w:szCs w:val="21"/>
              </w:rPr>
            </w:pPr>
            <w:r>
              <w:rPr>
                <w:rFonts w:hint="eastAsia" w:ascii="Times New Roman" w:hAnsi="Times New Roman"/>
                <w:szCs w:val="21"/>
              </w:rPr>
              <w:t>3</w:t>
            </w:r>
          </w:p>
        </w:tc>
        <w:tc>
          <w:tcPr>
            <w:tcW w:w="2068" w:type="pct"/>
            <w:noWrap w:val="0"/>
            <w:vAlign w:val="center"/>
          </w:tcPr>
          <w:p w14:paraId="21EDB888">
            <w:pPr>
              <w:adjustRightInd w:val="0"/>
              <w:snapToGrid w:val="0"/>
              <w:spacing w:line="300" w:lineRule="exact"/>
              <w:jc w:val="center"/>
              <w:rPr>
                <w:rFonts w:ascii="Times New Roman" w:hAnsi="Times New Roman"/>
                <w:szCs w:val="21"/>
              </w:rPr>
            </w:pPr>
            <w:r>
              <w:rPr>
                <w:rFonts w:ascii="Times New Roman" w:hAnsi="Times New Roman"/>
                <w:szCs w:val="21"/>
              </w:rPr>
              <w:t>可分解</w:t>
            </w:r>
            <w:r>
              <w:rPr>
                <w:rFonts w:hint="eastAsia" w:ascii="Times New Roman" w:hAnsi="Times New Roman"/>
                <w:szCs w:val="21"/>
              </w:rPr>
              <w:t>致癌</w:t>
            </w:r>
            <w:r>
              <w:rPr>
                <w:rFonts w:ascii="Times New Roman" w:hAnsi="Times New Roman"/>
                <w:szCs w:val="21"/>
              </w:rPr>
              <w:t>芳香胺染料</w:t>
            </w:r>
          </w:p>
        </w:tc>
        <w:tc>
          <w:tcPr>
            <w:tcW w:w="2346" w:type="pct"/>
            <w:noWrap w:val="0"/>
            <w:vAlign w:val="center"/>
          </w:tcPr>
          <w:p w14:paraId="377E991D">
            <w:pPr>
              <w:adjustRightInd w:val="0"/>
              <w:snapToGrid w:val="0"/>
              <w:spacing w:line="300" w:lineRule="exact"/>
              <w:jc w:val="center"/>
              <w:rPr>
                <w:rFonts w:ascii="Times New Roman" w:hAnsi="Times New Roman"/>
              </w:rPr>
            </w:pPr>
            <w:r>
              <w:rPr>
                <w:rFonts w:ascii="Times New Roman" w:hAnsi="Times New Roman"/>
              </w:rPr>
              <w:t>GB/T 17592—20</w:t>
            </w:r>
            <w:r>
              <w:rPr>
                <w:rFonts w:hint="eastAsia" w:ascii="Times New Roman" w:hAnsi="Times New Roman"/>
              </w:rPr>
              <w:t>24</w:t>
            </w:r>
          </w:p>
          <w:p w14:paraId="2BFFD31C">
            <w:pPr>
              <w:adjustRightInd w:val="0"/>
              <w:snapToGrid w:val="0"/>
              <w:spacing w:line="300" w:lineRule="exact"/>
              <w:jc w:val="center"/>
              <w:rPr>
                <w:rFonts w:ascii="Times New Roman" w:hAnsi="Times New Roman"/>
              </w:rPr>
            </w:pPr>
            <w:r>
              <w:rPr>
                <w:rFonts w:ascii="Times New Roman" w:hAnsi="Times New Roman"/>
              </w:rPr>
              <w:t>GB/T 19942—2019</w:t>
            </w:r>
          </w:p>
          <w:p w14:paraId="75C7CD24">
            <w:pPr>
              <w:adjustRightInd w:val="0"/>
              <w:snapToGrid w:val="0"/>
              <w:spacing w:line="300" w:lineRule="exact"/>
              <w:jc w:val="center"/>
              <w:rPr>
                <w:rFonts w:ascii="Times New Roman" w:hAnsi="Times New Roman"/>
              </w:rPr>
            </w:pPr>
            <w:r>
              <w:rPr>
                <w:rFonts w:ascii="Times New Roman" w:hAnsi="Times New Roman"/>
              </w:rPr>
              <w:t>GB/T 23344—2009</w:t>
            </w:r>
          </w:p>
          <w:p w14:paraId="4C21D479">
            <w:pPr>
              <w:adjustRightInd w:val="0"/>
              <w:snapToGrid w:val="0"/>
              <w:spacing w:line="300" w:lineRule="exact"/>
              <w:jc w:val="center"/>
              <w:rPr>
                <w:rFonts w:ascii="Times New Roman" w:hAnsi="Times New Roman"/>
              </w:rPr>
            </w:pPr>
            <w:r>
              <w:rPr>
                <w:rFonts w:ascii="Times New Roman" w:hAnsi="Times New Roman"/>
              </w:rPr>
              <w:t>GB/T 33392—2016</w:t>
            </w:r>
          </w:p>
        </w:tc>
      </w:tr>
      <w:tr w14:paraId="59CC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3D3BBB46">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4</w:t>
            </w:r>
          </w:p>
        </w:tc>
        <w:tc>
          <w:tcPr>
            <w:tcW w:w="2068" w:type="pct"/>
            <w:noWrap w:val="0"/>
            <w:vAlign w:val="center"/>
          </w:tcPr>
          <w:p w14:paraId="67A8DD95">
            <w:pPr>
              <w:adjustRightInd w:val="0"/>
              <w:snapToGrid w:val="0"/>
              <w:spacing w:line="300" w:lineRule="exact"/>
              <w:jc w:val="center"/>
              <w:rPr>
                <w:rFonts w:ascii="Times New Roman" w:hAnsi="Times New Roman"/>
                <w:szCs w:val="21"/>
              </w:rPr>
            </w:pPr>
            <w:r>
              <w:rPr>
                <w:rFonts w:ascii="Times New Roman" w:hAnsi="Times New Roman"/>
                <w:szCs w:val="21"/>
              </w:rPr>
              <w:t>甲醛</w:t>
            </w:r>
          </w:p>
        </w:tc>
        <w:tc>
          <w:tcPr>
            <w:tcW w:w="2346" w:type="pct"/>
            <w:noWrap w:val="0"/>
            <w:vAlign w:val="center"/>
          </w:tcPr>
          <w:p w14:paraId="310AD91A">
            <w:pPr>
              <w:adjustRightInd w:val="0"/>
              <w:snapToGrid w:val="0"/>
              <w:spacing w:line="300" w:lineRule="exact"/>
              <w:jc w:val="center"/>
              <w:rPr>
                <w:rFonts w:ascii="Times New Roman" w:hAnsi="Times New Roman"/>
              </w:rPr>
            </w:pPr>
            <w:r>
              <w:rPr>
                <w:rFonts w:ascii="Times New Roman" w:hAnsi="Times New Roman"/>
              </w:rPr>
              <w:t>GB/T 2912.1—2009</w:t>
            </w:r>
          </w:p>
          <w:p w14:paraId="11ABCF48">
            <w:pPr>
              <w:adjustRightInd w:val="0"/>
              <w:snapToGrid w:val="0"/>
              <w:spacing w:line="300" w:lineRule="exact"/>
              <w:jc w:val="center"/>
              <w:rPr>
                <w:rFonts w:hint="eastAsia" w:ascii="Times New Roman" w:hAnsi="Times New Roman"/>
              </w:rPr>
            </w:pPr>
            <w:r>
              <w:rPr>
                <w:rFonts w:ascii="Times New Roman" w:hAnsi="Times New Roman"/>
              </w:rPr>
              <w:t>GB/T 19941.1—2019</w:t>
            </w:r>
          </w:p>
        </w:tc>
      </w:tr>
      <w:tr w14:paraId="43DF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3124CA8F">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5</w:t>
            </w:r>
          </w:p>
        </w:tc>
        <w:tc>
          <w:tcPr>
            <w:tcW w:w="2068" w:type="pct"/>
            <w:noWrap w:val="0"/>
            <w:vAlign w:val="center"/>
          </w:tcPr>
          <w:p w14:paraId="12ECCE0A">
            <w:pPr>
              <w:adjustRightInd w:val="0"/>
              <w:snapToGrid w:val="0"/>
              <w:spacing w:line="300" w:lineRule="exact"/>
              <w:jc w:val="center"/>
              <w:rPr>
                <w:rFonts w:ascii="Times New Roman" w:hAnsi="Times New Roman"/>
                <w:szCs w:val="21"/>
              </w:rPr>
            </w:pPr>
            <w:r>
              <w:rPr>
                <w:rFonts w:ascii="Times New Roman" w:hAnsi="Times New Roman"/>
                <w:szCs w:val="21"/>
              </w:rPr>
              <w:t>富马酸二甲酯</w:t>
            </w:r>
          </w:p>
        </w:tc>
        <w:tc>
          <w:tcPr>
            <w:tcW w:w="2346" w:type="pct"/>
            <w:noWrap w:val="0"/>
            <w:vAlign w:val="center"/>
          </w:tcPr>
          <w:p w14:paraId="779B87DE">
            <w:pPr>
              <w:adjustRightInd w:val="0"/>
              <w:snapToGrid w:val="0"/>
              <w:spacing w:line="300" w:lineRule="exact"/>
              <w:jc w:val="center"/>
              <w:rPr>
                <w:rFonts w:ascii="Times New Roman" w:hAnsi="Times New Roman"/>
              </w:rPr>
            </w:pPr>
            <w:r>
              <w:rPr>
                <w:rFonts w:ascii="Times New Roman" w:hAnsi="Times New Roman"/>
              </w:rPr>
              <w:t>GB/T 26713—2011</w:t>
            </w:r>
          </w:p>
          <w:p w14:paraId="48E099E4">
            <w:pPr>
              <w:adjustRightInd w:val="0"/>
              <w:snapToGrid w:val="0"/>
              <w:spacing w:line="300" w:lineRule="exact"/>
              <w:jc w:val="center"/>
              <w:rPr>
                <w:rFonts w:hint="eastAsia" w:ascii="Times New Roman" w:hAnsi="Times New Roman"/>
              </w:rPr>
            </w:pPr>
            <w:bookmarkStart w:id="0" w:name="_GoBack"/>
            <w:bookmarkEnd w:id="0"/>
            <w:r>
              <w:rPr>
                <w:rFonts w:ascii="Times New Roman" w:hAnsi="Times New Roman"/>
              </w:rPr>
              <w:t>GB/T 26713—20</w:t>
            </w:r>
            <w:r>
              <w:rPr>
                <w:rFonts w:hint="eastAsia" w:ascii="Times New Roman" w:hAnsi="Times New Roman"/>
              </w:rPr>
              <w:t>25</w:t>
            </w:r>
          </w:p>
        </w:tc>
      </w:tr>
      <w:tr w14:paraId="4211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721E867B">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6</w:t>
            </w:r>
          </w:p>
        </w:tc>
        <w:tc>
          <w:tcPr>
            <w:tcW w:w="2068" w:type="pct"/>
            <w:noWrap w:val="0"/>
            <w:vAlign w:val="center"/>
          </w:tcPr>
          <w:p w14:paraId="5358B85A">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含氯苯酚</w:t>
            </w:r>
          </w:p>
        </w:tc>
        <w:tc>
          <w:tcPr>
            <w:tcW w:w="2346" w:type="pct"/>
            <w:noWrap w:val="0"/>
            <w:vAlign w:val="center"/>
          </w:tcPr>
          <w:p w14:paraId="22557A76">
            <w:pPr>
              <w:adjustRightInd w:val="0"/>
              <w:snapToGrid w:val="0"/>
              <w:spacing w:line="300" w:lineRule="exact"/>
              <w:jc w:val="center"/>
              <w:rPr>
                <w:rFonts w:hint="eastAsia" w:ascii="Times New Roman" w:hAnsi="Times New Roman"/>
              </w:rPr>
            </w:pPr>
            <w:r>
              <w:rPr>
                <w:rFonts w:ascii="Times New Roman" w:hAnsi="Times New Roman"/>
              </w:rPr>
              <w:t>GB/T 18414.1</w:t>
            </w:r>
            <w:r>
              <w:rPr>
                <w:rFonts w:ascii="Times New Roman" w:hAnsi="Times New Roman"/>
                <w:szCs w:val="21"/>
              </w:rPr>
              <w:t>—</w:t>
            </w:r>
            <w:r>
              <w:rPr>
                <w:rFonts w:ascii="Times New Roman" w:hAnsi="Times New Roman"/>
              </w:rPr>
              <w:t>2006</w:t>
            </w:r>
          </w:p>
          <w:p w14:paraId="17F8392D">
            <w:pPr>
              <w:adjustRightInd w:val="0"/>
              <w:snapToGrid w:val="0"/>
              <w:spacing w:line="300" w:lineRule="exact"/>
              <w:jc w:val="center"/>
              <w:rPr>
                <w:rFonts w:ascii="Times New Roman" w:hAnsi="Times New Roman"/>
              </w:rPr>
            </w:pPr>
            <w:r>
              <w:rPr>
                <w:rFonts w:ascii="Times New Roman" w:hAnsi="Times New Roman"/>
              </w:rPr>
              <w:t>GB/T 22808</w:t>
            </w:r>
            <w:r>
              <w:rPr>
                <w:rFonts w:ascii="Times New Roman" w:hAnsi="Times New Roman"/>
                <w:szCs w:val="21"/>
              </w:rPr>
              <w:t>—</w:t>
            </w:r>
            <w:r>
              <w:rPr>
                <w:rFonts w:ascii="Times New Roman" w:hAnsi="Times New Roman"/>
              </w:rPr>
              <w:t>2021</w:t>
            </w:r>
          </w:p>
        </w:tc>
      </w:tr>
      <w:tr w14:paraId="739C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85" w:type="pct"/>
            <w:noWrap w:val="0"/>
            <w:vAlign w:val="center"/>
          </w:tcPr>
          <w:p w14:paraId="0B325B17">
            <w:pPr>
              <w:adjustRightInd w:val="0"/>
              <w:snapToGrid w:val="0"/>
              <w:spacing w:line="300" w:lineRule="exact"/>
              <w:jc w:val="center"/>
              <w:rPr>
                <w:rFonts w:hint="eastAsia" w:ascii="Times New Roman" w:hAnsi="Times New Roman"/>
                <w:szCs w:val="21"/>
              </w:rPr>
            </w:pPr>
            <w:r>
              <w:rPr>
                <w:rFonts w:hint="eastAsia" w:ascii="Times New Roman" w:hAnsi="Times New Roman"/>
                <w:szCs w:val="21"/>
              </w:rPr>
              <w:t>7</w:t>
            </w:r>
          </w:p>
        </w:tc>
        <w:tc>
          <w:tcPr>
            <w:tcW w:w="2068" w:type="pct"/>
            <w:noWrap w:val="0"/>
            <w:vAlign w:val="center"/>
          </w:tcPr>
          <w:p w14:paraId="34C3CFAC">
            <w:pPr>
              <w:adjustRightInd w:val="0"/>
              <w:snapToGrid w:val="0"/>
              <w:spacing w:line="300" w:lineRule="exact"/>
              <w:jc w:val="center"/>
              <w:rPr>
                <w:rFonts w:ascii="Times New Roman" w:hAnsi="Times New Roman"/>
                <w:szCs w:val="21"/>
              </w:rPr>
            </w:pPr>
            <w:r>
              <w:rPr>
                <w:rFonts w:ascii="Times New Roman" w:hAnsi="Times New Roman"/>
                <w:szCs w:val="21"/>
              </w:rPr>
              <w:t>邻苯二甲酸酯</w:t>
            </w:r>
          </w:p>
        </w:tc>
        <w:tc>
          <w:tcPr>
            <w:tcW w:w="2346" w:type="pct"/>
            <w:noWrap w:val="0"/>
            <w:vAlign w:val="center"/>
          </w:tcPr>
          <w:p w14:paraId="00C49A8D">
            <w:pPr>
              <w:adjustRightInd w:val="0"/>
              <w:snapToGrid w:val="0"/>
              <w:spacing w:line="300" w:lineRule="exact"/>
              <w:jc w:val="center"/>
              <w:rPr>
                <w:rFonts w:ascii="Times New Roman" w:hAnsi="Times New Roman"/>
              </w:rPr>
            </w:pPr>
            <w:r>
              <w:rPr>
                <w:rFonts w:ascii="Times New Roman" w:hAnsi="Times New Roman"/>
              </w:rPr>
              <w:t>GB/T 32440.1</w:t>
            </w:r>
            <w:r>
              <w:rPr>
                <w:rFonts w:ascii="Times New Roman" w:hAnsi="Times New Roman"/>
                <w:szCs w:val="21"/>
              </w:rPr>
              <w:t>—</w:t>
            </w:r>
            <w:r>
              <w:rPr>
                <w:rFonts w:ascii="Times New Roman" w:hAnsi="Times New Roman"/>
              </w:rPr>
              <w:t>2023</w:t>
            </w:r>
          </w:p>
        </w:tc>
      </w:tr>
    </w:tbl>
    <w:p w14:paraId="2EE3E28B">
      <w:pPr>
        <w:widowControl/>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2BF240B7">
      <w:pPr>
        <w:adjustRightInd w:val="0"/>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5FA8C189">
      <w:pPr>
        <w:adjustRightInd w:val="0"/>
        <w:snapToGrid w:val="0"/>
        <w:spacing w:line="440" w:lineRule="exact"/>
        <w:rPr>
          <w:rFonts w:ascii="Times New Roman" w:hAnsi="Times New Roman"/>
          <w:szCs w:val="21"/>
        </w:rPr>
      </w:pPr>
      <w:r>
        <w:rPr>
          <w:rFonts w:ascii="Times New Roman" w:hAnsi="Times New Roman"/>
          <w:color w:val="000000"/>
          <w:szCs w:val="21"/>
        </w:rPr>
        <w:t>3.1</w:t>
      </w:r>
      <w:r>
        <w:rPr>
          <w:rFonts w:ascii="Times New Roman" w:hAnsi="Times New Roman"/>
          <w:szCs w:val="21"/>
        </w:rPr>
        <w:t>依据标准</w:t>
      </w:r>
    </w:p>
    <w:p w14:paraId="69FD239C">
      <w:pPr>
        <w:snapToGrid w:val="0"/>
        <w:spacing w:line="440" w:lineRule="exact"/>
        <w:ind w:firstLine="420" w:firstLineChars="200"/>
        <w:rPr>
          <w:rFonts w:hint="eastAsia" w:ascii="Times New Roman" w:hAnsi="Times New Roman"/>
        </w:rPr>
      </w:pPr>
      <w:r>
        <w:rPr>
          <w:rFonts w:ascii="Times New Roman" w:hAnsi="Times New Roman"/>
        </w:rPr>
        <w:t>GB 25038</w:t>
      </w:r>
      <w:r>
        <w:rPr>
          <w:rFonts w:ascii="Times New Roman" w:hAnsi="Times New Roman"/>
          <w:szCs w:val="21"/>
        </w:rPr>
        <w:t>—</w:t>
      </w:r>
      <w:r>
        <w:rPr>
          <w:rFonts w:ascii="Times New Roman" w:hAnsi="Times New Roman"/>
        </w:rPr>
        <w:t>2024</w:t>
      </w:r>
      <w:r>
        <w:rPr>
          <w:rFonts w:hint="eastAsia" w:ascii="Times New Roman" w:hAnsi="Times New Roman"/>
        </w:rPr>
        <w:t>鞋类通用安全要求</w:t>
      </w:r>
    </w:p>
    <w:p w14:paraId="64CEAC41">
      <w:pPr>
        <w:snapToGrid w:val="0"/>
        <w:spacing w:line="440" w:lineRule="exact"/>
        <w:ind w:firstLine="420" w:firstLineChars="200"/>
        <w:rPr>
          <w:rFonts w:ascii="Times New Roman" w:hAnsi="Times New Roman"/>
          <w:szCs w:val="21"/>
        </w:rPr>
      </w:pPr>
      <w:r>
        <w:rPr>
          <w:rFonts w:ascii="Times New Roman" w:hAnsi="Times New Roman"/>
          <w:szCs w:val="21"/>
        </w:rPr>
        <w:t>GB/T 15107</w:t>
      </w:r>
      <w:r>
        <w:rPr>
          <w:rFonts w:ascii="Times New Roman" w:hAnsi="Times New Roman"/>
          <w:color w:val="000000"/>
          <w:szCs w:val="21"/>
        </w:rPr>
        <w:t>—</w:t>
      </w:r>
      <w:r>
        <w:rPr>
          <w:rFonts w:ascii="Times New Roman" w:hAnsi="Times New Roman"/>
          <w:szCs w:val="21"/>
        </w:rPr>
        <w:t>2013 旅游鞋</w:t>
      </w:r>
    </w:p>
    <w:p w14:paraId="6C3D5BA3">
      <w:pPr>
        <w:snapToGrid w:val="0"/>
        <w:spacing w:line="440" w:lineRule="exact"/>
        <w:ind w:firstLine="420" w:firstLineChars="200"/>
        <w:rPr>
          <w:rFonts w:ascii="Times New Roman" w:hAnsi="Times New Roman"/>
          <w:szCs w:val="21"/>
        </w:rPr>
      </w:pPr>
      <w:r>
        <w:rPr>
          <w:rFonts w:ascii="Times New Roman" w:hAnsi="Times New Roman"/>
          <w:szCs w:val="21"/>
        </w:rPr>
        <w:t>QB/T 2955—2017休闲鞋</w:t>
      </w:r>
    </w:p>
    <w:p w14:paraId="38C3F3EB">
      <w:pPr>
        <w:snapToGrid w:val="0"/>
        <w:spacing w:line="44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QB/T1002-2015皮鞋</w:t>
      </w:r>
    </w:p>
    <w:p w14:paraId="127ED1C0">
      <w:pPr>
        <w:snapToGrid w:val="0"/>
        <w:spacing w:line="44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QB/T</w:t>
      </w:r>
      <w:r>
        <w:rPr>
          <w:rFonts w:hint="eastAsia" w:ascii="Times New Roman" w:hAnsi="Times New Roman" w:eastAsia="宋体" w:cs="Times New Roman"/>
          <w:szCs w:val="21"/>
          <w:lang w:val="en-US" w:eastAsia="zh-CN"/>
        </w:rPr>
        <w:t xml:space="preserve"> 22756-2017 皮凉鞋</w:t>
      </w:r>
    </w:p>
    <w:p w14:paraId="1CD9B824">
      <w:pPr>
        <w:snapToGrid w:val="0"/>
        <w:spacing w:line="440" w:lineRule="exact"/>
        <w:ind w:firstLine="420" w:firstLineChars="200"/>
        <w:rPr>
          <w:rFonts w:ascii="Times New Roman" w:hAnsi="Times New Roman"/>
          <w:color w:val="000000"/>
          <w:szCs w:val="21"/>
        </w:rPr>
      </w:pPr>
      <w:r>
        <w:rPr>
          <w:rFonts w:ascii="Times New Roman" w:hAnsi="Times New Roman" w:eastAsia="宋体" w:cs="Times New Roman"/>
          <w:szCs w:val="21"/>
        </w:rPr>
        <w:t>现行有效的企业标准、团体标准、</w:t>
      </w:r>
      <w:r>
        <w:rPr>
          <w:rFonts w:ascii="Times New Roman" w:hAnsi="Times New Roman"/>
          <w:color w:val="000000"/>
          <w:szCs w:val="21"/>
        </w:rPr>
        <w:t>地方标准及产品明示质量要求</w:t>
      </w:r>
    </w:p>
    <w:p w14:paraId="737A4677">
      <w:pPr>
        <w:adjustRightInd w:val="0"/>
        <w:snapToGrid w:val="0"/>
        <w:spacing w:line="440" w:lineRule="exact"/>
        <w:rPr>
          <w:rFonts w:ascii="Times New Roman" w:hAnsi="Times New Roman"/>
          <w:color w:val="000000"/>
          <w:szCs w:val="21"/>
        </w:rPr>
      </w:pPr>
      <w:r>
        <w:rPr>
          <w:rFonts w:ascii="Times New Roman" w:hAnsi="Times New Roman"/>
          <w:color w:val="000000"/>
          <w:szCs w:val="21"/>
        </w:rPr>
        <w:t>3.2判定原则</w:t>
      </w:r>
    </w:p>
    <w:p w14:paraId="21A4D94F">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14A909C1">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14:paraId="4586F28F">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14:paraId="529294D9">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14:paraId="6FF6D7E8">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14:paraId="31BCE4BA">
      <w:pPr>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若被检产品明示的质量要求缺少本细则中检验项目依据的推荐性标准要求时，该项目不参与判定。</w:t>
      </w:r>
    </w:p>
    <w:p w14:paraId="5BFFB10F">
      <w:pPr>
        <w:adjustRightInd w:val="0"/>
        <w:snapToGrid w:val="0"/>
        <w:spacing w:line="440" w:lineRule="exact"/>
        <w:ind w:firstLine="420" w:firstLineChars="200"/>
        <w:rPr>
          <w:rFonts w:hint="eastAsia" w:ascii="Times New Roman" w:hAnsi="Times New Roman"/>
          <w:color w:val="000000"/>
          <w:szCs w:val="21"/>
        </w:rPr>
      </w:pPr>
    </w:p>
    <w:p w14:paraId="31D65842">
      <w:pPr>
        <w:adjustRightInd w:val="0"/>
        <w:snapToGrid w:val="0"/>
        <w:spacing w:line="440" w:lineRule="exact"/>
        <w:ind w:firstLine="420" w:firstLineChars="200"/>
        <w:rPr>
          <w:rFonts w:ascii="Times New Roman" w:hAnsi="Times New Roman"/>
          <w:color w:val="000000"/>
          <w:szCs w:val="21"/>
        </w:rPr>
      </w:pPr>
    </w:p>
    <w:sectPr>
      <w:headerReference r:id="rId3" w:type="default"/>
      <w:pgSz w:w="11906" w:h="16838"/>
      <w:pgMar w:top="1985" w:right="1474" w:bottom="1644" w:left="1474" w:header="851" w:footer="1191"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A1EA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14C58"/>
    <w:rsid w:val="00024483"/>
    <w:rsid w:val="00042242"/>
    <w:rsid w:val="00050375"/>
    <w:rsid w:val="00051A44"/>
    <w:rsid w:val="00060068"/>
    <w:rsid w:val="00063CF9"/>
    <w:rsid w:val="00074A39"/>
    <w:rsid w:val="000770D4"/>
    <w:rsid w:val="00081CBD"/>
    <w:rsid w:val="000836E2"/>
    <w:rsid w:val="000846B4"/>
    <w:rsid w:val="00085C24"/>
    <w:rsid w:val="00093AA8"/>
    <w:rsid w:val="0009435B"/>
    <w:rsid w:val="00096733"/>
    <w:rsid w:val="000976DE"/>
    <w:rsid w:val="0009795C"/>
    <w:rsid w:val="000A7017"/>
    <w:rsid w:val="000C53CB"/>
    <w:rsid w:val="000C5816"/>
    <w:rsid w:val="000D232B"/>
    <w:rsid w:val="000D2692"/>
    <w:rsid w:val="000D4BE1"/>
    <w:rsid w:val="000D7383"/>
    <w:rsid w:val="000E0FF3"/>
    <w:rsid w:val="000F0CB9"/>
    <w:rsid w:val="00107832"/>
    <w:rsid w:val="001137D6"/>
    <w:rsid w:val="00115175"/>
    <w:rsid w:val="00115799"/>
    <w:rsid w:val="001173AB"/>
    <w:rsid w:val="00120E40"/>
    <w:rsid w:val="00160E4D"/>
    <w:rsid w:val="00162D76"/>
    <w:rsid w:val="00166D1E"/>
    <w:rsid w:val="00167D81"/>
    <w:rsid w:val="00172268"/>
    <w:rsid w:val="001738F1"/>
    <w:rsid w:val="001809DD"/>
    <w:rsid w:val="00182EDF"/>
    <w:rsid w:val="00185B1F"/>
    <w:rsid w:val="001905D1"/>
    <w:rsid w:val="00191D24"/>
    <w:rsid w:val="00197A8A"/>
    <w:rsid w:val="001A7415"/>
    <w:rsid w:val="001B125B"/>
    <w:rsid w:val="001C1F31"/>
    <w:rsid w:val="001D3F9D"/>
    <w:rsid w:val="0021022C"/>
    <w:rsid w:val="0022298B"/>
    <w:rsid w:val="00253624"/>
    <w:rsid w:val="0025381B"/>
    <w:rsid w:val="002549C7"/>
    <w:rsid w:val="00256C84"/>
    <w:rsid w:val="0026054B"/>
    <w:rsid w:val="00260C13"/>
    <w:rsid w:val="00282A95"/>
    <w:rsid w:val="00284715"/>
    <w:rsid w:val="0029528C"/>
    <w:rsid w:val="002A009C"/>
    <w:rsid w:val="002B2E20"/>
    <w:rsid w:val="002B6764"/>
    <w:rsid w:val="002C35B5"/>
    <w:rsid w:val="002C7BBE"/>
    <w:rsid w:val="002D0629"/>
    <w:rsid w:val="002D4739"/>
    <w:rsid w:val="002D7F8A"/>
    <w:rsid w:val="002E0D1D"/>
    <w:rsid w:val="002E4D67"/>
    <w:rsid w:val="002E608C"/>
    <w:rsid w:val="0030030D"/>
    <w:rsid w:val="00306433"/>
    <w:rsid w:val="00312885"/>
    <w:rsid w:val="0031456D"/>
    <w:rsid w:val="003151BD"/>
    <w:rsid w:val="003203A3"/>
    <w:rsid w:val="0033078F"/>
    <w:rsid w:val="00345497"/>
    <w:rsid w:val="003650FA"/>
    <w:rsid w:val="0038667B"/>
    <w:rsid w:val="00391569"/>
    <w:rsid w:val="003B255B"/>
    <w:rsid w:val="003C388C"/>
    <w:rsid w:val="003C612A"/>
    <w:rsid w:val="003D1100"/>
    <w:rsid w:val="003D62AC"/>
    <w:rsid w:val="003E093A"/>
    <w:rsid w:val="003E61BF"/>
    <w:rsid w:val="003E79E0"/>
    <w:rsid w:val="003F4110"/>
    <w:rsid w:val="00405ED9"/>
    <w:rsid w:val="00413196"/>
    <w:rsid w:val="00413A2D"/>
    <w:rsid w:val="00415292"/>
    <w:rsid w:val="00416641"/>
    <w:rsid w:val="00423973"/>
    <w:rsid w:val="00443FFB"/>
    <w:rsid w:val="00445E86"/>
    <w:rsid w:val="00450D97"/>
    <w:rsid w:val="00466605"/>
    <w:rsid w:val="00474220"/>
    <w:rsid w:val="00474730"/>
    <w:rsid w:val="00474E04"/>
    <w:rsid w:val="00482E8F"/>
    <w:rsid w:val="00484B3D"/>
    <w:rsid w:val="00493463"/>
    <w:rsid w:val="004970A8"/>
    <w:rsid w:val="004A3FC8"/>
    <w:rsid w:val="004A78A6"/>
    <w:rsid w:val="004C48AD"/>
    <w:rsid w:val="004C597C"/>
    <w:rsid w:val="004C75A5"/>
    <w:rsid w:val="004D0C5A"/>
    <w:rsid w:val="004D3E0C"/>
    <w:rsid w:val="004E1396"/>
    <w:rsid w:val="004E5B04"/>
    <w:rsid w:val="004E792B"/>
    <w:rsid w:val="00507D8C"/>
    <w:rsid w:val="005179DE"/>
    <w:rsid w:val="00524C25"/>
    <w:rsid w:val="0054400A"/>
    <w:rsid w:val="00544C1F"/>
    <w:rsid w:val="00546887"/>
    <w:rsid w:val="00547A49"/>
    <w:rsid w:val="00562978"/>
    <w:rsid w:val="00563EBC"/>
    <w:rsid w:val="00570302"/>
    <w:rsid w:val="005741B9"/>
    <w:rsid w:val="0058614A"/>
    <w:rsid w:val="00590F37"/>
    <w:rsid w:val="00593BF4"/>
    <w:rsid w:val="005D34F9"/>
    <w:rsid w:val="005D614E"/>
    <w:rsid w:val="005E78D2"/>
    <w:rsid w:val="00615F71"/>
    <w:rsid w:val="006177C5"/>
    <w:rsid w:val="00625EF2"/>
    <w:rsid w:val="00637E75"/>
    <w:rsid w:val="006411DC"/>
    <w:rsid w:val="00641481"/>
    <w:rsid w:val="00652321"/>
    <w:rsid w:val="006546BF"/>
    <w:rsid w:val="00657147"/>
    <w:rsid w:val="0066130C"/>
    <w:rsid w:val="0066148F"/>
    <w:rsid w:val="006B0761"/>
    <w:rsid w:val="006C6618"/>
    <w:rsid w:val="006C71AA"/>
    <w:rsid w:val="006C7F8E"/>
    <w:rsid w:val="006D524D"/>
    <w:rsid w:val="006E0C8A"/>
    <w:rsid w:val="006E14A6"/>
    <w:rsid w:val="006E15A6"/>
    <w:rsid w:val="006E292D"/>
    <w:rsid w:val="006E635B"/>
    <w:rsid w:val="006F0971"/>
    <w:rsid w:val="006F1BB1"/>
    <w:rsid w:val="006F4C2F"/>
    <w:rsid w:val="006F7642"/>
    <w:rsid w:val="00707F7E"/>
    <w:rsid w:val="00710D33"/>
    <w:rsid w:val="00722107"/>
    <w:rsid w:val="0072334C"/>
    <w:rsid w:val="00723CCA"/>
    <w:rsid w:val="007273F7"/>
    <w:rsid w:val="00772DA9"/>
    <w:rsid w:val="0078015E"/>
    <w:rsid w:val="00781565"/>
    <w:rsid w:val="00781C84"/>
    <w:rsid w:val="00786BFB"/>
    <w:rsid w:val="0078713C"/>
    <w:rsid w:val="00794BEE"/>
    <w:rsid w:val="007A5482"/>
    <w:rsid w:val="007A56AF"/>
    <w:rsid w:val="007A5E69"/>
    <w:rsid w:val="007B0002"/>
    <w:rsid w:val="007C042A"/>
    <w:rsid w:val="007C3A7C"/>
    <w:rsid w:val="007C71B2"/>
    <w:rsid w:val="007D0EC9"/>
    <w:rsid w:val="007D3B00"/>
    <w:rsid w:val="007D4A89"/>
    <w:rsid w:val="007D568E"/>
    <w:rsid w:val="007E0241"/>
    <w:rsid w:val="00804588"/>
    <w:rsid w:val="008233CC"/>
    <w:rsid w:val="00824B93"/>
    <w:rsid w:val="00831226"/>
    <w:rsid w:val="008472F9"/>
    <w:rsid w:val="008545B0"/>
    <w:rsid w:val="00860B46"/>
    <w:rsid w:val="00861FC9"/>
    <w:rsid w:val="00864080"/>
    <w:rsid w:val="00867E94"/>
    <w:rsid w:val="00875983"/>
    <w:rsid w:val="0088691A"/>
    <w:rsid w:val="00894FCF"/>
    <w:rsid w:val="008956EE"/>
    <w:rsid w:val="00895BEA"/>
    <w:rsid w:val="008A3497"/>
    <w:rsid w:val="008C1AAD"/>
    <w:rsid w:val="008D11EE"/>
    <w:rsid w:val="008D52A7"/>
    <w:rsid w:val="008D58B0"/>
    <w:rsid w:val="008E2720"/>
    <w:rsid w:val="008E78C2"/>
    <w:rsid w:val="00902DF5"/>
    <w:rsid w:val="00905FEF"/>
    <w:rsid w:val="00910D38"/>
    <w:rsid w:val="00914937"/>
    <w:rsid w:val="00915F35"/>
    <w:rsid w:val="00917A54"/>
    <w:rsid w:val="009241B1"/>
    <w:rsid w:val="009243F7"/>
    <w:rsid w:val="00925868"/>
    <w:rsid w:val="0093338A"/>
    <w:rsid w:val="009458FC"/>
    <w:rsid w:val="0095122B"/>
    <w:rsid w:val="0095339B"/>
    <w:rsid w:val="00972AE2"/>
    <w:rsid w:val="00976699"/>
    <w:rsid w:val="00977D2A"/>
    <w:rsid w:val="00986851"/>
    <w:rsid w:val="00991528"/>
    <w:rsid w:val="009A1263"/>
    <w:rsid w:val="009B05B2"/>
    <w:rsid w:val="009C24AF"/>
    <w:rsid w:val="009E1D7A"/>
    <w:rsid w:val="009E4D7B"/>
    <w:rsid w:val="009E7B98"/>
    <w:rsid w:val="009F1CDC"/>
    <w:rsid w:val="009F3566"/>
    <w:rsid w:val="00A33295"/>
    <w:rsid w:val="00A332D0"/>
    <w:rsid w:val="00A43553"/>
    <w:rsid w:val="00A475B9"/>
    <w:rsid w:val="00A50DD4"/>
    <w:rsid w:val="00A5478A"/>
    <w:rsid w:val="00A62BEB"/>
    <w:rsid w:val="00A66395"/>
    <w:rsid w:val="00A73FF5"/>
    <w:rsid w:val="00A758AA"/>
    <w:rsid w:val="00A8114E"/>
    <w:rsid w:val="00A85D57"/>
    <w:rsid w:val="00A95791"/>
    <w:rsid w:val="00A95C21"/>
    <w:rsid w:val="00AB3597"/>
    <w:rsid w:val="00AC7A06"/>
    <w:rsid w:val="00AD5DB1"/>
    <w:rsid w:val="00AE1410"/>
    <w:rsid w:val="00AE5A5D"/>
    <w:rsid w:val="00B00584"/>
    <w:rsid w:val="00B040A9"/>
    <w:rsid w:val="00B141F0"/>
    <w:rsid w:val="00B245BE"/>
    <w:rsid w:val="00B33096"/>
    <w:rsid w:val="00B33435"/>
    <w:rsid w:val="00B36F7D"/>
    <w:rsid w:val="00B538CF"/>
    <w:rsid w:val="00B61277"/>
    <w:rsid w:val="00B7086E"/>
    <w:rsid w:val="00B7203F"/>
    <w:rsid w:val="00B76A9B"/>
    <w:rsid w:val="00B82ED7"/>
    <w:rsid w:val="00B90D43"/>
    <w:rsid w:val="00B91007"/>
    <w:rsid w:val="00B92B8F"/>
    <w:rsid w:val="00B92D0A"/>
    <w:rsid w:val="00B9346B"/>
    <w:rsid w:val="00B948B9"/>
    <w:rsid w:val="00B967A5"/>
    <w:rsid w:val="00B97034"/>
    <w:rsid w:val="00BA598F"/>
    <w:rsid w:val="00BB098E"/>
    <w:rsid w:val="00BB0A3C"/>
    <w:rsid w:val="00BC48F6"/>
    <w:rsid w:val="00BC4956"/>
    <w:rsid w:val="00BD43A8"/>
    <w:rsid w:val="00BD64A8"/>
    <w:rsid w:val="00BF2561"/>
    <w:rsid w:val="00BF3FB4"/>
    <w:rsid w:val="00BF4689"/>
    <w:rsid w:val="00C0747E"/>
    <w:rsid w:val="00C100A2"/>
    <w:rsid w:val="00C26074"/>
    <w:rsid w:val="00C354C6"/>
    <w:rsid w:val="00C4086B"/>
    <w:rsid w:val="00C419E0"/>
    <w:rsid w:val="00C50147"/>
    <w:rsid w:val="00C61E39"/>
    <w:rsid w:val="00C626A2"/>
    <w:rsid w:val="00C706AD"/>
    <w:rsid w:val="00C70A2A"/>
    <w:rsid w:val="00C81417"/>
    <w:rsid w:val="00C82B0E"/>
    <w:rsid w:val="00C83B0A"/>
    <w:rsid w:val="00C859C4"/>
    <w:rsid w:val="00C91752"/>
    <w:rsid w:val="00C9359A"/>
    <w:rsid w:val="00CA3A0D"/>
    <w:rsid w:val="00CB16B6"/>
    <w:rsid w:val="00CB1941"/>
    <w:rsid w:val="00CB3BC5"/>
    <w:rsid w:val="00CB5002"/>
    <w:rsid w:val="00CB5049"/>
    <w:rsid w:val="00CC11BE"/>
    <w:rsid w:val="00CC2293"/>
    <w:rsid w:val="00CD0D01"/>
    <w:rsid w:val="00CE1E0C"/>
    <w:rsid w:val="00CE277E"/>
    <w:rsid w:val="00CE3444"/>
    <w:rsid w:val="00CF64C5"/>
    <w:rsid w:val="00CF7EF7"/>
    <w:rsid w:val="00D167F1"/>
    <w:rsid w:val="00D16DF9"/>
    <w:rsid w:val="00D2763B"/>
    <w:rsid w:val="00D34177"/>
    <w:rsid w:val="00D5004B"/>
    <w:rsid w:val="00D5393B"/>
    <w:rsid w:val="00D55CB2"/>
    <w:rsid w:val="00D56867"/>
    <w:rsid w:val="00D56DD4"/>
    <w:rsid w:val="00D576F6"/>
    <w:rsid w:val="00D57AD6"/>
    <w:rsid w:val="00D62BD4"/>
    <w:rsid w:val="00D648D7"/>
    <w:rsid w:val="00D6595C"/>
    <w:rsid w:val="00D86777"/>
    <w:rsid w:val="00DB1095"/>
    <w:rsid w:val="00DB5F4D"/>
    <w:rsid w:val="00DB65AC"/>
    <w:rsid w:val="00DD3510"/>
    <w:rsid w:val="00DF42B9"/>
    <w:rsid w:val="00E02A7F"/>
    <w:rsid w:val="00E075E9"/>
    <w:rsid w:val="00E07880"/>
    <w:rsid w:val="00E22E12"/>
    <w:rsid w:val="00E30486"/>
    <w:rsid w:val="00E35A03"/>
    <w:rsid w:val="00E52153"/>
    <w:rsid w:val="00E57E01"/>
    <w:rsid w:val="00E76AD7"/>
    <w:rsid w:val="00E814D9"/>
    <w:rsid w:val="00E82621"/>
    <w:rsid w:val="00E826DB"/>
    <w:rsid w:val="00E84E1B"/>
    <w:rsid w:val="00E850CF"/>
    <w:rsid w:val="00EA5322"/>
    <w:rsid w:val="00EB3601"/>
    <w:rsid w:val="00EB542B"/>
    <w:rsid w:val="00EB695B"/>
    <w:rsid w:val="00EC5970"/>
    <w:rsid w:val="00ED2962"/>
    <w:rsid w:val="00ED7DB8"/>
    <w:rsid w:val="00EF5952"/>
    <w:rsid w:val="00EF7D20"/>
    <w:rsid w:val="00F1606B"/>
    <w:rsid w:val="00F16CBA"/>
    <w:rsid w:val="00F348B9"/>
    <w:rsid w:val="00F4041A"/>
    <w:rsid w:val="00F44CC8"/>
    <w:rsid w:val="00F60966"/>
    <w:rsid w:val="00F67246"/>
    <w:rsid w:val="00F70A19"/>
    <w:rsid w:val="00F77C9A"/>
    <w:rsid w:val="00F82431"/>
    <w:rsid w:val="00F85C78"/>
    <w:rsid w:val="00F8678E"/>
    <w:rsid w:val="00F95D39"/>
    <w:rsid w:val="00FA34BB"/>
    <w:rsid w:val="00FA5143"/>
    <w:rsid w:val="00FB1BAE"/>
    <w:rsid w:val="00FB576C"/>
    <w:rsid w:val="00FB63C1"/>
    <w:rsid w:val="00FC386C"/>
    <w:rsid w:val="00FD2AA6"/>
    <w:rsid w:val="00FD3CF4"/>
    <w:rsid w:val="00FE127C"/>
    <w:rsid w:val="00FE28B4"/>
    <w:rsid w:val="00FE6B16"/>
    <w:rsid w:val="00FE7E8A"/>
    <w:rsid w:val="00FF054B"/>
    <w:rsid w:val="00FF1947"/>
    <w:rsid w:val="00FF4D3C"/>
    <w:rsid w:val="02FC4366"/>
    <w:rsid w:val="05DE3F30"/>
    <w:rsid w:val="06467512"/>
    <w:rsid w:val="0A1356D0"/>
    <w:rsid w:val="0DB619BD"/>
    <w:rsid w:val="11B02501"/>
    <w:rsid w:val="15470F2A"/>
    <w:rsid w:val="16222AD4"/>
    <w:rsid w:val="16750D3C"/>
    <w:rsid w:val="25953C91"/>
    <w:rsid w:val="26122479"/>
    <w:rsid w:val="2B23715B"/>
    <w:rsid w:val="34CF323B"/>
    <w:rsid w:val="34EC25A6"/>
    <w:rsid w:val="3634678C"/>
    <w:rsid w:val="3B751A20"/>
    <w:rsid w:val="3B86218A"/>
    <w:rsid w:val="3F893AF7"/>
    <w:rsid w:val="46275DF5"/>
    <w:rsid w:val="4D362E69"/>
    <w:rsid w:val="4D4D2734"/>
    <w:rsid w:val="4DFF2FB0"/>
    <w:rsid w:val="54F853F3"/>
    <w:rsid w:val="5542638F"/>
    <w:rsid w:val="56402161"/>
    <w:rsid w:val="5745535F"/>
    <w:rsid w:val="59613C78"/>
    <w:rsid w:val="5A5A2317"/>
    <w:rsid w:val="5BC50341"/>
    <w:rsid w:val="5D08277E"/>
    <w:rsid w:val="620B7DE6"/>
    <w:rsid w:val="62250D3D"/>
    <w:rsid w:val="674478F7"/>
    <w:rsid w:val="6C20558F"/>
    <w:rsid w:val="718A118E"/>
    <w:rsid w:val="72031E81"/>
    <w:rsid w:val="73FDCC5C"/>
    <w:rsid w:val="776E23A9"/>
    <w:rsid w:val="792B7D47"/>
    <w:rsid w:val="7CE1580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character" w:customStyle="1" w:styleId="11">
    <w:name w:val="标题 1 Char"/>
    <w:link w:val="2"/>
    <w:qFormat/>
    <w:uiPriority w:val="9"/>
    <w:rPr>
      <w:b/>
      <w:bCs/>
      <w:kern w:val="44"/>
      <w:sz w:val="44"/>
      <w:szCs w:val="44"/>
    </w:rPr>
  </w:style>
  <w:style w:type="character" w:customStyle="1" w:styleId="12">
    <w:name w:val="批注框文本 Char"/>
    <w:link w:val="4"/>
    <w:semiHidden/>
    <w:qFormat/>
    <w:uiPriority w:val="99"/>
    <w:rPr>
      <w:kern w:val="2"/>
      <w:sz w:val="18"/>
      <w:szCs w:val="18"/>
    </w:rPr>
  </w:style>
  <w:style w:type="character" w:customStyle="1" w:styleId="13">
    <w:name w:val="页脚 Char"/>
    <w:link w:val="5"/>
    <w:qFormat/>
    <w:uiPriority w:val="99"/>
    <w:rPr>
      <w:kern w:val="2"/>
      <w:sz w:val="18"/>
      <w:szCs w:val="18"/>
    </w:rPr>
  </w:style>
  <w:style w:type="character" w:customStyle="1" w:styleId="14">
    <w:name w:val="页眉 Char"/>
    <w:link w:val="6"/>
    <w:semiHidden/>
    <w:qFormat/>
    <w:uiPriority w:val="99"/>
    <w:rPr>
      <w:kern w:val="2"/>
      <w:sz w:val="18"/>
      <w:szCs w:val="18"/>
    </w:rPr>
  </w:style>
  <w:style w:type="paragraph" w:customStyle="1" w:styleId="15">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443</Words>
  <Characters>784</Characters>
  <Lines>22</Lines>
  <Paragraphs>6</Paragraphs>
  <TotalTime>7</TotalTime>
  <ScaleCrop>false</ScaleCrop>
  <LinksUpToDate>false</LinksUpToDate>
  <CharactersWithSpaces>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2025-03-07T01:24:00Z</dcterms:created>
  <dc:creator>oa</dc:creator>
  <cp:lastModifiedBy>张莉</cp:lastModifiedBy>
  <cp:lastPrinted>2019-12-27T02:14:00Z</cp:lastPrinted>
  <dcterms:modified xsi:type="dcterms:W3CDTF">2026-05-14T03:43:59Z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AEAB141806384377956729E46996B813_13</vt:lpwstr>
  </property>
  <property fmtid="{D5CDD505-2E9C-101B-9397-08002B2CF9AE}" pid="4" name="KSOTemplateDocerSaveRecord">
    <vt:lpwstr>eyJoZGlkIjoiZGFjMzgyMTBkMDE2Zjg4ZjQ1YzMzYmFjYTVlOWNkYzMiLCJ1c2VySWQiOiI0NDkzNzcxNjIifQ==</vt:lpwstr>
  </property>
</Properties>
</file>