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lang w:val="en-US" w:eastAsia="zh-CN"/>
        </w:rPr>
      </w:pPr>
      <w:bookmarkStart w:id="1" w:name="_GoBack"/>
      <w:bookmarkEnd w:id="1"/>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adjustRightInd w:val="0"/>
        <w:snapToGrid w:val="0"/>
        <w:spacing w:line="560" w:lineRule="exact"/>
        <w:rPr>
          <w:rFonts w:ascii="Times New Roman" w:hAnsi="Times New Roman" w:eastAsia="黑体" w:cs="Times New Roman"/>
          <w:sz w:val="32"/>
          <w:szCs w:val="32"/>
        </w:rPr>
      </w:pPr>
    </w:p>
    <w:p>
      <w:pPr>
        <w:adjustRightInd w:val="0"/>
        <w:snapToGrid w:val="0"/>
        <w:spacing w:line="960" w:lineRule="exact"/>
        <w:rPr>
          <w:rFonts w:ascii="Times New Roman" w:hAnsi="Times New Roman" w:eastAsia="仿宋_GB2312" w:cs="Times New Roman"/>
          <w:sz w:val="40"/>
          <w:szCs w:val="32"/>
        </w:rPr>
      </w:pPr>
    </w:p>
    <w:p>
      <w:pPr>
        <w:snapToGrid w:val="0"/>
        <w:spacing w:line="960" w:lineRule="exact"/>
        <w:jc w:val="center"/>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北京市通州区人民政府</w:t>
      </w:r>
    </w:p>
    <w:p>
      <w:pPr>
        <w:snapToGrid w:val="0"/>
        <w:spacing w:line="960" w:lineRule="exact"/>
        <w:jc w:val="center"/>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与</w:t>
      </w:r>
    </w:p>
    <w:p>
      <w:pPr>
        <w:pStyle w:val="5"/>
        <w:spacing w:line="960" w:lineRule="exact"/>
        <w:jc w:val="center"/>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首程控股有限公司</w:t>
      </w:r>
    </w:p>
    <w:p>
      <w:pPr>
        <w:pStyle w:val="5"/>
        <w:spacing w:line="960" w:lineRule="exact"/>
        <w:rPr>
          <w:rFonts w:hint="eastAsia" w:ascii="方正小标宋简体" w:hAnsi="方正小标宋简体" w:eastAsia="方正小标宋简体" w:cs="方正小标宋简体"/>
          <w:sz w:val="40"/>
          <w:szCs w:val="32"/>
        </w:rPr>
      </w:pPr>
    </w:p>
    <w:p>
      <w:pPr>
        <w:snapToGrid w:val="0"/>
        <w:jc w:val="center"/>
        <w:rPr>
          <w:rFonts w:hint="eastAsia"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战略合作框架协议</w:t>
      </w:r>
    </w:p>
    <w:p>
      <w:pPr>
        <w:pStyle w:val="7"/>
        <w:rPr>
          <w:rFonts w:hint="eastAsia"/>
          <w:b w:val="0"/>
        </w:rPr>
      </w:pPr>
    </w:p>
    <w:p>
      <w:pPr>
        <w:pStyle w:val="8"/>
        <w:spacing w:after="156"/>
        <w:rPr>
          <w:rFonts w:hint="eastAsia"/>
        </w:rPr>
      </w:pPr>
    </w:p>
    <w:p/>
    <w:p>
      <w:pPr>
        <w:pStyle w:val="7"/>
        <w:rPr>
          <w:b w:val="0"/>
        </w:rPr>
      </w:pPr>
    </w:p>
    <w:p>
      <w:pPr>
        <w:pStyle w:val="8"/>
        <w:spacing w:after="156"/>
        <w:rPr>
          <w:rFonts w:hint="eastAsia"/>
        </w:rPr>
      </w:pPr>
    </w:p>
    <w:p/>
    <w:p>
      <w:pPr>
        <w:pStyle w:val="7"/>
        <w:rPr>
          <w:rFonts w:hint="eastAsia" w:ascii="楷体_GB2312" w:hAnsi="楷体_GB2312" w:eastAsia="楷体_GB2312" w:cs="楷体_GB2312"/>
          <w:b w:val="0"/>
        </w:rPr>
      </w:pPr>
    </w:p>
    <w:p>
      <w:pPr>
        <w:snapToGrid w:val="0"/>
        <w:jc w:val="center"/>
        <w:rPr>
          <w:rFonts w:hint="eastAsia" w:ascii="楷体_GB2312" w:hAnsi="楷体_GB2312" w:eastAsia="楷体_GB2312" w:cs="楷体_GB2312"/>
          <w:sz w:val="40"/>
          <w:szCs w:val="32"/>
        </w:rPr>
      </w:pPr>
      <w:r>
        <w:rPr>
          <w:rFonts w:hint="eastAsia" w:ascii="楷体_GB2312" w:hAnsi="楷体_GB2312" w:eastAsia="楷体_GB2312" w:cs="楷体_GB2312"/>
          <w:sz w:val="40"/>
          <w:szCs w:val="32"/>
        </w:rPr>
        <w:t>202</w:t>
      </w:r>
      <w:r>
        <w:rPr>
          <w:rFonts w:hint="eastAsia" w:ascii="楷体_GB2312" w:hAnsi="楷体_GB2312" w:eastAsia="楷体_GB2312" w:cs="楷体_GB2312"/>
          <w:sz w:val="40"/>
          <w:szCs w:val="32"/>
          <w:lang w:val="en-US" w:eastAsia="zh-CN"/>
        </w:rPr>
        <w:t>6</w:t>
      </w:r>
      <w:r>
        <w:rPr>
          <w:rFonts w:hint="eastAsia" w:ascii="楷体_GB2312" w:hAnsi="楷体_GB2312" w:eastAsia="楷体_GB2312" w:cs="楷体_GB2312"/>
          <w:sz w:val="40"/>
          <w:szCs w:val="32"/>
        </w:rPr>
        <w:t>年</w:t>
      </w:r>
      <w:r>
        <w:rPr>
          <w:rFonts w:hint="eastAsia" w:ascii="楷体_GB2312" w:hAnsi="楷体_GB2312" w:eastAsia="楷体_GB2312" w:cs="楷体_GB2312"/>
          <w:sz w:val="40"/>
          <w:szCs w:val="32"/>
          <w:lang w:val="en-US" w:eastAsia="zh-CN"/>
        </w:rPr>
        <w:t>02</w:t>
      </w:r>
      <w:r>
        <w:rPr>
          <w:rFonts w:hint="eastAsia" w:ascii="楷体_GB2312" w:hAnsi="楷体_GB2312" w:eastAsia="楷体_GB2312" w:cs="楷体_GB2312"/>
          <w:sz w:val="40"/>
          <w:szCs w:val="32"/>
        </w:rPr>
        <w:t>月</w:t>
      </w:r>
    </w:p>
    <w:p>
      <w:pPr>
        <w:pStyle w:val="5"/>
        <w:rPr>
          <w:rFonts w:ascii="Times New Roman" w:hAnsi="Times New Roman" w:eastAsia="方正小标宋简体" w:cs="Times New Roman"/>
          <w:sz w:val="44"/>
          <w:szCs w:val="44"/>
        </w:rPr>
      </w:pPr>
    </w:p>
    <w:p>
      <w:pPr>
        <w:snapToGrid w:val="0"/>
        <w:jc w:val="center"/>
        <w:rPr>
          <w:rFonts w:ascii="Times New Roman" w:hAnsi="Times New Roman" w:eastAsia="方正小标宋简体" w:cs="Times New Roman"/>
          <w:sz w:val="44"/>
          <w:szCs w:val="44"/>
        </w:rPr>
        <w:sectPr>
          <w:footerReference r:id="rId3" w:type="default"/>
          <w:pgSz w:w="11906" w:h="16838"/>
          <w:pgMar w:top="1701" w:right="1474" w:bottom="1417" w:left="1587"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北京市通州区人民政府</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与首程控股有限公司战略合作框架协议</w:t>
      </w:r>
    </w:p>
    <w:p>
      <w:pPr>
        <w:pStyle w:val="7"/>
        <w:jc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（报审稿）</w:t>
      </w:r>
    </w:p>
    <w:p>
      <w:pPr>
        <w:keepNext w:val="0"/>
        <w:keepLines w:val="0"/>
        <w:pageBreakBefore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spacing w:val="-20"/>
          <w:sz w:val="44"/>
          <w:szCs w:val="44"/>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为加强</w:t>
      </w:r>
      <w:r>
        <w:rPr>
          <w:rFonts w:hint="eastAsia" w:ascii="Times New Roman" w:hAnsi="Times New Roman" w:eastAsia="仿宋_GB2312" w:cs="Times New Roman"/>
          <w:sz w:val="32"/>
          <w:szCs w:val="32"/>
        </w:rPr>
        <w:t>北京市通州区人民政府与首程控股有限公司</w:t>
      </w:r>
      <w:r>
        <w:rPr>
          <w:rFonts w:ascii="Times New Roman" w:hAnsi="Times New Roman" w:eastAsia="仿宋_GB2312" w:cs="Times New Roman"/>
          <w:sz w:val="32"/>
          <w:szCs w:val="32"/>
        </w:rPr>
        <w:t>的合作关系，经过友好协商达成以下合作协议。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rPr>
        <w:t>甲方：</w:t>
      </w:r>
      <w:r>
        <w:rPr>
          <w:rFonts w:hint="eastAsia" w:ascii="Times New Roman" w:hAnsi="Times New Roman" w:eastAsia="仿宋_GB2312" w:cs="Times New Roman"/>
          <w:sz w:val="32"/>
          <w:szCs w:val="32"/>
        </w:rPr>
        <w:t>北京市通州区人民政府</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地址：北京市通州区新华街道吉祥路13号</w:t>
      </w:r>
    </w:p>
    <w:p>
      <w:pPr>
        <w:keepNext w:val="0"/>
        <w:keepLines w:val="0"/>
        <w:pageBreakBefore w:val="0"/>
        <w:kinsoku/>
        <w:wordWrap/>
        <w:overflowPunct/>
        <w:topLinePunct w:val="0"/>
        <w:autoSpaceDE/>
        <w:autoSpaceDN/>
        <w:bidi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乙方：首程控股有限公司</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地址：香港北角电气道183号友邦广场37楼3706至08室</w:t>
      </w:r>
    </w:p>
    <w:p>
      <w:pPr>
        <w:keepNext w:val="0"/>
        <w:keepLines w:val="0"/>
        <w:pageBreakBefore w:val="0"/>
        <w:kinsoku/>
        <w:wordWrap/>
        <w:overflowPunct/>
        <w:topLinePunct w:val="0"/>
        <w:autoSpaceDE/>
        <w:autoSpaceDN/>
        <w:bidi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tabs>
          <w:tab w:val="left" w:pos="0"/>
        </w:tabs>
        <w:kinsoku/>
        <w:wordWrap/>
        <w:overflowPunct/>
        <w:topLinePunct w:val="0"/>
        <w:autoSpaceDE/>
        <w:autoSpaceDN/>
        <w:bidi w:val="0"/>
        <w:spacing w:line="560" w:lineRule="exact"/>
        <w:jc w:val="center"/>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第一</w:t>
      </w:r>
      <w:r>
        <w:rPr>
          <w:rFonts w:hint="eastAsia" w:ascii="Times New Roman" w:hAnsi="Times New Roman" w:eastAsia="黑体" w:cs="Times New Roman"/>
          <w:sz w:val="32"/>
          <w:szCs w:val="32"/>
        </w:rPr>
        <w:t>章</w:t>
      </w:r>
      <w:r>
        <w:rPr>
          <w:rFonts w:ascii="Times New Roman" w:hAnsi="Times New Roman" w:eastAsia="黑体" w:cs="Times New Roman"/>
          <w:sz w:val="32"/>
          <w:szCs w:val="32"/>
        </w:rPr>
        <w:t xml:space="preserve">  合作原则</w:t>
      </w:r>
    </w:p>
    <w:p>
      <w:pPr>
        <w:keepNext w:val="0"/>
        <w:keepLines w:val="0"/>
        <w:pageBreakBefore w:val="0"/>
        <w:tabs>
          <w:tab w:val="left" w:pos="0"/>
        </w:tabs>
        <w:kinsoku/>
        <w:wordWrap/>
        <w:overflowPunct/>
        <w:topLinePunct w:val="0"/>
        <w:autoSpaceDE/>
        <w:autoSpaceDN/>
        <w:bidi w:val="0"/>
        <w:spacing w:line="560" w:lineRule="exact"/>
        <w:ind w:firstLine="630" w:firstLineChars="196"/>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第一条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甲乙双方在友好协商的前提下，本着平等互利的原则，聚焦赋能</w:t>
      </w:r>
      <w:r>
        <w:rPr>
          <w:rFonts w:hint="eastAsia" w:ascii="Times New Roman" w:hAnsi="Times New Roman" w:eastAsia="仿宋_GB2312" w:cs="Times New Roman"/>
          <w:sz w:val="32"/>
          <w:szCs w:val="32"/>
        </w:rPr>
        <w:t>北京市通州区产业投资、财富管理、</w:t>
      </w:r>
      <w:r>
        <w:rPr>
          <w:rFonts w:ascii="Times New Roman" w:hAnsi="Times New Roman" w:eastAsia="仿宋_GB2312" w:cs="Times New Roman"/>
          <w:sz w:val="32"/>
          <w:szCs w:val="32"/>
        </w:rPr>
        <w:t>静态交通治理</w:t>
      </w:r>
      <w:r>
        <w:rPr>
          <w:rFonts w:hint="eastAsia" w:ascii="Times New Roman" w:hAnsi="Times New Roman" w:eastAsia="仿宋_GB2312" w:cs="Times New Roman"/>
          <w:sz w:val="32"/>
          <w:szCs w:val="32"/>
        </w:rPr>
        <w:t>、创新发展、</w:t>
      </w:r>
      <w:r>
        <w:rPr>
          <w:rFonts w:ascii="Times New Roman" w:hAnsi="Times New Roman" w:eastAsia="仿宋_GB2312" w:cs="Times New Roman"/>
          <w:sz w:val="32"/>
          <w:szCs w:val="32"/>
        </w:rPr>
        <w:t>城市更新</w:t>
      </w:r>
      <w:r>
        <w:rPr>
          <w:rFonts w:hint="eastAsia" w:ascii="Times New Roman" w:hAnsi="Times New Roman" w:eastAsia="仿宋_GB2312" w:cs="Times New Roman"/>
          <w:sz w:val="32"/>
          <w:szCs w:val="32"/>
        </w:rPr>
        <w:t>等方面进行</w:t>
      </w:r>
      <w:r>
        <w:rPr>
          <w:rFonts w:ascii="Times New Roman" w:hAnsi="Times New Roman" w:eastAsia="仿宋_GB2312" w:cs="Times New Roman"/>
          <w:sz w:val="32"/>
          <w:szCs w:val="32"/>
        </w:rPr>
        <w:t>合作，构建新型战略合作伙伴关系。</w:t>
      </w:r>
    </w:p>
    <w:p>
      <w:pPr>
        <w:keepNext w:val="0"/>
        <w:keepLines w:val="0"/>
        <w:pageBreakBefore w:val="0"/>
        <w:tabs>
          <w:tab w:val="left" w:pos="0"/>
        </w:tabs>
        <w:kinsoku/>
        <w:wordWrap/>
        <w:overflowPunct/>
        <w:topLinePunct w:val="0"/>
        <w:autoSpaceDE/>
        <w:autoSpaceDN/>
        <w:bidi w:val="0"/>
        <w:spacing w:line="560" w:lineRule="exact"/>
        <w:ind w:firstLine="643" w:firstLineChars="200"/>
        <w:textAlignment w:val="auto"/>
        <w:rPr>
          <w:rFonts w:ascii="Times New Roman" w:hAnsi="Times New Roman" w:eastAsia="仿宋_GB2312" w:cs="Times New Roman"/>
          <w:sz w:val="32"/>
          <w:szCs w:val="32"/>
          <w:highlight w:val="yellow"/>
        </w:rPr>
      </w:pPr>
      <w:r>
        <w:rPr>
          <w:rFonts w:hint="eastAsia" w:ascii="Times New Roman" w:hAnsi="Times New Roman" w:eastAsia="仿宋_GB2312" w:cs="Times New Roman"/>
          <w:b/>
          <w:bCs/>
          <w:sz w:val="32"/>
          <w:szCs w:val="32"/>
        </w:rPr>
        <w:t>第二条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甲乙双方在合法合规前提下，本着合作共赢的原则，有效整合</w:t>
      </w:r>
      <w:r>
        <w:rPr>
          <w:rFonts w:hint="eastAsia" w:ascii="Times New Roman" w:hAnsi="Times New Roman" w:eastAsia="仿宋_GB2312" w:cs="Times New Roman"/>
          <w:sz w:val="32"/>
          <w:szCs w:val="32"/>
        </w:rPr>
        <w:t>双</w:t>
      </w:r>
      <w:r>
        <w:rPr>
          <w:rFonts w:ascii="Times New Roman" w:hAnsi="Times New Roman" w:eastAsia="仿宋_GB2312" w:cs="Times New Roman"/>
          <w:sz w:val="32"/>
          <w:szCs w:val="32"/>
        </w:rPr>
        <w:t>方资源，</w:t>
      </w:r>
      <w:r>
        <w:rPr>
          <w:rFonts w:hint="eastAsia" w:ascii="Times New Roman" w:hAnsi="Times New Roman" w:eastAsia="仿宋_GB2312" w:cs="Times New Roman"/>
          <w:sz w:val="32"/>
          <w:szCs w:val="32"/>
        </w:rPr>
        <w:t>打</w:t>
      </w:r>
      <w:r>
        <w:rPr>
          <w:rFonts w:ascii="Times New Roman" w:hAnsi="Times New Roman" w:eastAsia="仿宋_GB2312" w:cs="Times New Roman"/>
          <w:sz w:val="32"/>
          <w:szCs w:val="32"/>
        </w:rPr>
        <w:t>造良好</w:t>
      </w:r>
      <w:r>
        <w:rPr>
          <w:rFonts w:hint="eastAsia" w:ascii="Times New Roman" w:hAnsi="Times New Roman" w:eastAsia="仿宋_GB2312" w:cs="Times New Roman"/>
          <w:sz w:val="32"/>
          <w:szCs w:val="32"/>
        </w:rPr>
        <w:t>营商</w:t>
      </w:r>
      <w:r>
        <w:rPr>
          <w:rFonts w:ascii="Times New Roman" w:hAnsi="Times New Roman" w:eastAsia="仿宋_GB2312" w:cs="Times New Roman"/>
          <w:sz w:val="32"/>
          <w:szCs w:val="32"/>
        </w:rPr>
        <w:t>环境。甲方着力发挥组织协调作用，支持乙方</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各项产业项目</w:t>
      </w: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服务</w:t>
      </w:r>
    </w:p>
    <w:p>
      <w:pPr>
        <w:keepNext w:val="0"/>
        <w:keepLines w:val="0"/>
        <w:pageBreakBefore w:val="0"/>
        <w:tabs>
          <w:tab w:val="left" w:pos="0"/>
        </w:tabs>
        <w:kinsoku/>
        <w:wordWrap/>
        <w:overflowPunct/>
        <w:topLinePunct w:val="0"/>
        <w:autoSpaceDE/>
        <w:autoSpaceDN/>
        <w:bidi w:val="0"/>
        <w:spacing w:line="560" w:lineRule="exact"/>
        <w:ind w:firstLine="643" w:firstLineChars="200"/>
        <w:textAlignment w:val="auto"/>
        <w:rPr>
          <w:rFonts w:ascii="Times New Roman" w:hAnsi="Times New Roman" w:eastAsia="仿宋_GB2312" w:cs="Times New Roman"/>
          <w:sz w:val="32"/>
          <w:szCs w:val="32"/>
          <w:highlight w:val="yellow"/>
        </w:rPr>
      </w:pPr>
      <w:r>
        <w:rPr>
          <w:rFonts w:hint="eastAsia" w:ascii="Times New Roman" w:hAnsi="Times New Roman" w:eastAsia="仿宋_GB2312" w:cs="Times New Roman"/>
          <w:b/>
          <w:bCs/>
          <w:sz w:val="32"/>
          <w:szCs w:val="32"/>
        </w:rPr>
        <w:t>第三条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甲乙双方在互信互谅的前提下，本着协同高效的原则，建立高层领导联席机制，定期会晤，定期通报合作进展，共同促进重点项目顺利实施；建立工作小组，负责日常工作对接，开展日常工作推进协调，落实双方合作事项，保障重点项目顺利推进。</w:t>
      </w:r>
    </w:p>
    <w:p>
      <w:pPr>
        <w:keepNext w:val="0"/>
        <w:keepLines w:val="0"/>
        <w:pageBreakBefore w:val="0"/>
        <w:tabs>
          <w:tab w:val="left" w:pos="0"/>
        </w:tabs>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第二</w:t>
      </w:r>
      <w:r>
        <w:rPr>
          <w:rFonts w:hint="eastAsia" w:ascii="Times New Roman" w:hAnsi="Times New Roman" w:eastAsia="黑体" w:cs="Times New Roman"/>
          <w:sz w:val="32"/>
          <w:szCs w:val="32"/>
        </w:rPr>
        <w:t>章</w:t>
      </w:r>
      <w:r>
        <w:rPr>
          <w:rFonts w:ascii="Times New Roman" w:hAnsi="Times New Roman" w:eastAsia="黑体" w:cs="Times New Roman"/>
          <w:sz w:val="32"/>
          <w:szCs w:val="32"/>
        </w:rPr>
        <w:t xml:space="preserve">   合作内容</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rPr>
      </w:pPr>
      <w:r>
        <w:rPr>
          <w:rFonts w:hint="eastAsia" w:ascii="Times New Roman" w:hAnsi="Times New Roman" w:eastAsia="仿宋_GB2312" w:cs="Times New Roman"/>
          <w:b/>
          <w:bCs/>
          <w:sz w:val="32"/>
        </w:rPr>
        <w:t>第四条</w:t>
      </w:r>
      <w:r>
        <w:rPr>
          <w:rFonts w:hint="eastAsia" w:ascii="Times New Roman" w:hAnsi="Times New Roman" w:eastAsia="仿宋_GB2312" w:cs="Times New Roman"/>
          <w:sz w:val="32"/>
        </w:rPr>
        <w:t xml:space="preserve"> 合力构建</w:t>
      </w:r>
      <w:r>
        <w:rPr>
          <w:rFonts w:hint="eastAsia" w:ascii="仿宋_GB2312" w:hAnsi="仿宋_GB2312" w:eastAsia="仿宋_GB2312" w:cs="仿宋_GB2312"/>
          <w:sz w:val="32"/>
        </w:rPr>
        <w:t>产业发展生态。双方依托北京城市副中心产业引导基金的平台优势，结合首程控股在管的产业发展基金的专业资源，共同推动先进制造、机器人等相关产业在通州区的集聚发展。乙方充分发挥其在产业投资、基金管理和资本运作方面的专业能力，围绕通州区重点发展的先进制造、新一代信息技术、生物医药及机器人等产业链上下游开展系统布局与精准招引，推动关键环节项目落地；通过基金联动、政策协同与资源整合，助力通州区打造具有国际影响力的先进制造产业集群与机器人产业创新高地。</w:t>
      </w:r>
    </w:p>
    <w:p>
      <w:pPr>
        <w:keepNext w:val="0"/>
        <w:keepLines w:val="0"/>
        <w:widowControl/>
        <w:spacing w:line="560" w:lineRule="exact"/>
        <w:ind w:firstLine="643" w:firstLineChars="200"/>
        <w:rPr>
          <w:rFonts w:hint="eastAsia" w:ascii="Times New Roman" w:hAnsi="Times New Roman" w:eastAsia="仿宋_GB2312" w:cs="Times New Roman"/>
          <w:sz w:val="32"/>
        </w:rPr>
      </w:pPr>
      <w:r>
        <w:rPr>
          <w:rFonts w:hint="eastAsia" w:ascii="Times New Roman" w:hAnsi="Times New Roman" w:eastAsia="仿宋_GB2312" w:cs="Times New Roman"/>
          <w:b/>
          <w:bCs/>
          <w:sz w:val="32"/>
        </w:rPr>
        <w:t>第五条</w:t>
      </w:r>
      <w:r>
        <w:rPr>
          <w:rFonts w:hint="eastAsia" w:ascii="Times New Roman" w:hAnsi="Times New Roman" w:eastAsia="仿宋_GB2312" w:cs="Times New Roman"/>
          <w:sz w:val="32"/>
        </w:rPr>
        <w:t xml:space="preserve"> 协同优化机器人创新生态</w:t>
      </w:r>
      <w:r>
        <w:rPr>
          <w:rFonts w:hint="eastAsia" w:ascii="仿宋_GB2312" w:hAnsi="仿宋_GB2312" w:eastAsia="仿宋_GB2312" w:cs="仿宋_GB2312"/>
          <w:sz w:val="32"/>
        </w:rPr>
        <w:t>。双方共同探索</w:t>
      </w:r>
      <w:r>
        <w:rPr>
          <w:rFonts w:hint="eastAsia" w:ascii="Times New Roman" w:hAnsi="Times New Roman" w:eastAsia="仿宋_GB2312" w:cs="Times New Roman"/>
          <w:sz w:val="32"/>
        </w:rPr>
        <w:t>机器人应用和推广模式，</w:t>
      </w:r>
      <w:r>
        <w:rPr>
          <w:rFonts w:hint="eastAsia" w:ascii="仿宋_GB2312" w:hAnsi="仿宋_GB2312" w:eastAsia="仿宋_GB2312" w:cs="仿宋_GB2312"/>
          <w:color w:val="000000"/>
          <w:sz w:val="32"/>
          <w:szCs w:val="32"/>
        </w:rPr>
        <w:t>以应用推广支撑技术迭代。甲方落实北京市关于</w:t>
      </w:r>
      <w:r>
        <w:rPr>
          <w:rFonts w:hint="eastAsia" w:ascii="Times New Roman" w:hAnsi="Times New Roman" w:eastAsia="仿宋_GB2312" w:cs="Times New Roman"/>
          <w:sz w:val="32"/>
        </w:rPr>
        <w:t>机器人融资租赁、产业发展的相关指示要求</w:t>
      </w:r>
      <w:r>
        <w:rPr>
          <w:rFonts w:hint="eastAsia" w:ascii="仿宋_GB2312" w:hAnsi="仿宋_GB2312" w:eastAsia="仿宋_GB2312" w:cs="仿宋_GB2312"/>
          <w:color w:val="000000"/>
          <w:sz w:val="32"/>
          <w:szCs w:val="32"/>
        </w:rPr>
        <w:t>，</w:t>
      </w:r>
      <w:r>
        <w:rPr>
          <w:rFonts w:hint="eastAsia" w:ascii="Times New Roman" w:hAnsi="Times New Roman" w:eastAsia="仿宋_GB2312" w:cs="Times New Roman"/>
          <w:sz w:val="32"/>
        </w:rPr>
        <w:t>支持机器人应用场景建设。乙方调动相关产业资源积极拓展</w:t>
      </w:r>
      <w:r>
        <w:rPr>
          <w:rFonts w:hint="eastAsia" w:ascii="仿宋_GB2312" w:hAnsi="仿宋_GB2312" w:eastAsia="仿宋_GB2312" w:cs="仿宋_GB2312"/>
          <w:color w:val="000000"/>
          <w:sz w:val="32"/>
          <w:szCs w:val="32"/>
        </w:rPr>
        <w:t>机器人融资租赁业务，甲方支持乙方陶朱新造局(机器人展示销售平台)在通州区建设，</w:t>
      </w:r>
      <w:r>
        <w:rPr>
          <w:rFonts w:hint="eastAsia" w:ascii="仿宋_GB2312" w:hAnsi="仿宋_GB2312" w:eastAsia="仿宋_GB2312" w:cs="仿宋_GB2312"/>
          <w:color w:val="000000"/>
          <w:sz w:val="32"/>
          <w:szCs w:val="32"/>
          <w:lang w:eastAsia="zh-CN"/>
        </w:rPr>
        <w:t>依法合规</w:t>
      </w:r>
      <w:r>
        <w:rPr>
          <w:rFonts w:hint="eastAsia" w:ascii="仿宋_GB2312" w:hAnsi="仿宋_GB2312" w:eastAsia="仿宋_GB2312" w:cs="仿宋_GB2312"/>
          <w:color w:val="000000"/>
          <w:sz w:val="32"/>
          <w:szCs w:val="32"/>
        </w:rPr>
        <w:t>给予相关政策扶持</w:t>
      </w:r>
      <w:r>
        <w:rPr>
          <w:rFonts w:hint="eastAsia" w:ascii="Times New Roman" w:hAnsi="Times New Roman" w:eastAsia="仿宋_GB2312" w:cs="Times New Roman"/>
          <w:sz w:val="32"/>
        </w:rPr>
        <w:t>。</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b/>
          <w:bCs/>
          <w:sz w:val="32"/>
        </w:rPr>
        <w:t>第六条</w:t>
      </w:r>
      <w:r>
        <w:rPr>
          <w:rFonts w:hint="eastAsia" w:ascii="仿宋_GB2312" w:hAnsi="仿宋_GB2312" w:eastAsia="仿宋_GB2312" w:cs="仿宋_GB2312"/>
          <w:sz w:val="32"/>
        </w:rPr>
        <w:t xml:space="preserve"> 推进财富管理中心建设。乙方在通州设立外资投资性主体，通过收购北京市财富管理公司开展财富管理相关业务，助力北京城市副中心打造全球财富管理中心。</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rPr>
      </w:pPr>
      <w:r>
        <w:rPr>
          <w:rFonts w:hint="eastAsia" w:ascii="Times New Roman" w:hAnsi="Times New Roman" w:eastAsia="仿宋_GB2312" w:cs="Times New Roman"/>
          <w:b/>
          <w:bCs/>
          <w:color w:val="auto"/>
          <w:sz w:val="32"/>
        </w:rPr>
        <w:t>第七条</w:t>
      </w:r>
      <w:r>
        <w:rPr>
          <w:rFonts w:ascii="Times New Roman" w:hAnsi="Times New Roman" w:eastAsia="仿宋_GB2312" w:cs="Times New Roman"/>
          <w:color w:val="auto"/>
          <w:sz w:val="32"/>
        </w:rPr>
        <w:t xml:space="preserve"> </w:t>
      </w:r>
      <w:r>
        <w:rPr>
          <w:rFonts w:hint="eastAsia" w:ascii="Times New Roman" w:hAnsi="Times New Roman" w:eastAsia="仿宋_GB2312" w:cs="Times New Roman"/>
          <w:color w:val="auto"/>
          <w:sz w:val="32"/>
        </w:rPr>
        <w:t>促进智慧停车静态交通治理。在公平竞争前提下，甲方支持乙方与通州区属国企就通州区路侧停车管理达成合作。乙方充分发挥自身在停车运营管理方面丰富的经验及能力，助力通州区路侧停车设施建设、停车设施智能化改造以及停车资产经营管理。由乙方提供规划设计、投资建设、运营管理、增值创新、科技赋能等静态交通全链条服务，助力通州区城市交通基础设施安全绿色智慧发展。乙方</w:t>
      </w:r>
      <w:r>
        <w:rPr>
          <w:rFonts w:hint="eastAsia" w:ascii="Times New Roman" w:hAnsi="Times New Roman" w:eastAsia="仿宋_GB2312" w:cs="Times New Roman"/>
          <w:color w:val="auto"/>
          <w:sz w:val="32"/>
          <w:lang w:eastAsia="zh-CN"/>
        </w:rPr>
        <w:t>积极参与</w:t>
      </w:r>
      <w:r>
        <w:rPr>
          <w:rFonts w:hint="eastAsia" w:ascii="Times New Roman" w:hAnsi="Times New Roman" w:eastAsia="仿宋_GB2312" w:cs="Times New Roman"/>
          <w:color w:val="auto"/>
          <w:sz w:val="32"/>
        </w:rPr>
        <w:t>区内停车设施建设，构建科学完备的区域静态</w:t>
      </w:r>
      <w:r>
        <w:rPr>
          <w:rFonts w:hint="eastAsia" w:ascii="仿宋_GB2312" w:hAnsi="仿宋_GB2312" w:eastAsia="仿宋_GB2312" w:cs="仿宋_GB2312"/>
          <w:sz w:val="32"/>
        </w:rPr>
        <w:t>交通体系。</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sz w:val="32"/>
          <w:highlight w:val="none"/>
        </w:rPr>
      </w:pPr>
      <w:r>
        <w:rPr>
          <w:rFonts w:hint="eastAsia" w:ascii="仿宋_GB2312" w:hAnsi="仿宋_GB2312" w:eastAsia="仿宋_GB2312" w:cs="仿宋_GB2312"/>
          <w:b/>
          <w:bCs/>
          <w:sz w:val="32"/>
        </w:rPr>
        <w:t>第八条</w:t>
      </w:r>
      <w:r>
        <w:rPr>
          <w:rFonts w:hint="eastAsia" w:ascii="仿宋_GB2312" w:hAnsi="仿宋_GB2312" w:eastAsia="仿宋_GB2312" w:cs="仿宋_GB2312"/>
          <w:sz w:val="32"/>
        </w:rPr>
        <w:t xml:space="preserve"> 建设打</w:t>
      </w:r>
      <w:r>
        <w:rPr>
          <w:rFonts w:hint="eastAsia" w:ascii="仿宋_GB2312" w:hAnsi="仿宋_GB2312" w:eastAsia="仿宋_GB2312" w:cs="仿宋_GB2312"/>
          <w:b w:val="0"/>
          <w:sz w:val="32"/>
        </w:rPr>
        <w:t>造新能源汽车友好区。甲方支持乙方在</w:t>
      </w:r>
      <w:r>
        <w:rPr>
          <w:rFonts w:hint="eastAsia" w:ascii="Times New Roman" w:hAnsi="Times New Roman" w:eastAsia="仿宋_GB2312" w:cs="Times New Roman"/>
          <w:b w:val="0"/>
          <w:sz w:val="32"/>
        </w:rPr>
        <w:t>通州区投资建设停车充电场，加快构建广泛覆盖、均衡合理、结构完善的新能源汽车充电基础设施网络。甲方支持乙方对区域内站点进行梳理，依法支持区域内企事业单位在符合法律法规、规范性文件并履行完毕相应法定程序、公平竞争的情况下与乙方开展合作。同时，在不影响城市正常运行情况下，甲方支持乙方对场地周边电力条件确认、电力增容施工、试点项目服务商对接电力接入方案等工作。</w:t>
      </w:r>
    </w:p>
    <w:p>
      <w:pPr>
        <w:pStyle w:val="7"/>
        <w:numPr>
          <w:ilvl w:val="0"/>
          <w:numId w:val="1"/>
        </w:numPr>
        <w:ind w:firstLine="640"/>
        <w:rPr>
          <w:rFonts w:hint="eastAsia" w:ascii="仿宋_GB2312" w:hAnsi="仿宋_GB2312" w:eastAsia="仿宋_GB2312" w:cs="仿宋_GB2312"/>
          <w:sz w:val="32"/>
          <w:highlight w:val="none"/>
        </w:rPr>
      </w:pPr>
      <w:r>
        <w:rPr>
          <w:rFonts w:hint="eastAsia" w:ascii="Times New Roman" w:hAnsi="Times New Roman" w:eastAsia="仿宋_GB2312" w:cs="Times New Roman"/>
          <w:b w:val="0"/>
          <w:sz w:val="32"/>
        </w:rPr>
        <w:t>推进城市更新改造和优化。</w:t>
      </w:r>
      <w:r>
        <w:rPr>
          <w:rFonts w:hint="eastAsia" w:ascii="仿宋_GB2312" w:hAnsi="仿宋_GB2312" w:eastAsia="仿宋_GB2312" w:cs="仿宋_GB2312"/>
          <w:b w:val="0"/>
          <w:sz w:val="32"/>
        </w:rPr>
        <w:t>乙方发挥旗下Pre-REITs城市发展基础设施基金优势，重点针对保障性租赁住房、老旧商务楼宇、传统商业设施、老旧厂房、公共停车空间等项目资产进行梳理及辅导培育，协助甲方通过投资并购、公募REITs、收储、回购、腾笼换鸟等方式盘活资产，</w:t>
      </w:r>
      <w:r>
        <w:rPr>
          <w:rFonts w:hint="eastAsia" w:ascii="Times New Roman" w:hAnsi="Times New Roman" w:eastAsia="仿宋_GB2312" w:cs="Times New Roman"/>
          <w:b w:val="0"/>
          <w:sz w:val="32"/>
        </w:rPr>
        <w:t>推动通州区存量用地高效使用、</w:t>
      </w:r>
      <w:r>
        <w:rPr>
          <w:rFonts w:ascii="Times New Roman" w:hAnsi="Times New Roman" w:eastAsia="仿宋_GB2312" w:cs="Times New Roman"/>
          <w:b w:val="0"/>
          <w:sz w:val="32"/>
        </w:rPr>
        <w:t>闲置资产</w:t>
      </w:r>
      <w:r>
        <w:rPr>
          <w:rFonts w:hint="eastAsia" w:ascii="Times New Roman" w:hAnsi="Times New Roman" w:eastAsia="仿宋_GB2312" w:cs="Times New Roman"/>
          <w:b w:val="0"/>
          <w:sz w:val="32"/>
        </w:rPr>
        <w:t>更新改建</w:t>
      </w:r>
      <w:r>
        <w:rPr>
          <w:rFonts w:hint="eastAsia" w:ascii="仿宋_GB2312" w:hAnsi="仿宋_GB2312" w:eastAsia="仿宋_GB2312" w:cs="仿宋_GB2312"/>
          <w:b w:val="0"/>
          <w:sz w:val="32"/>
        </w:rPr>
        <w:t>。甲方应在资源对接、机制保障等重难点事项推进方面积极协助乙方，合力推动通州区高水平建设和高质量发展。</w:t>
      </w:r>
    </w:p>
    <w:p>
      <w:pPr>
        <w:pStyle w:val="7"/>
        <w:numPr>
          <w:ilvl w:val="-1"/>
          <w:numId w:val="0"/>
        </w:numPr>
        <w:ind w:firstLine="643" w:firstLineChars="200"/>
        <w:rPr>
          <w:rFonts w:hint="eastAsia" w:ascii="仿宋_GB2312" w:hAnsi="仿宋_GB2312" w:eastAsia="仿宋_GB2312" w:cs="仿宋_GB2312"/>
          <w:b w:val="0"/>
          <w:bCs/>
          <w:sz w:val="32"/>
          <w:highlight w:val="none"/>
        </w:rPr>
      </w:pPr>
      <w:r>
        <w:rPr>
          <w:rFonts w:hint="eastAsia" w:ascii="Times New Roman" w:hAnsi="Times New Roman" w:eastAsia="仿宋_GB2312" w:cs="Times New Roman"/>
          <w:b/>
          <w:bCs/>
          <w:sz w:val="32"/>
        </w:rPr>
        <w:t>第十条</w:t>
      </w:r>
      <w:r>
        <w:rPr>
          <w:rFonts w:ascii="Times New Roman" w:hAnsi="Times New Roman" w:eastAsia="仿宋_GB2312" w:cs="Times New Roman"/>
          <w:sz w:val="32"/>
        </w:rPr>
        <w:t xml:space="preserve"> </w:t>
      </w:r>
      <w:r>
        <w:rPr>
          <w:rFonts w:hint="eastAsia" w:ascii="Times New Roman" w:hAnsi="Times New Roman" w:eastAsia="仿宋_GB2312" w:cs="Times New Roman"/>
          <w:sz w:val="32"/>
        </w:rPr>
        <w:t>配套支持。</w:t>
      </w:r>
      <w:r>
        <w:rPr>
          <w:rFonts w:hint="eastAsia" w:ascii="仿宋_GB2312" w:hAnsi="仿宋_GB2312" w:eastAsia="仿宋_GB2312" w:cs="仿宋_GB2312"/>
          <w:b w:val="0"/>
          <w:bCs/>
          <w:sz w:val="32"/>
        </w:rPr>
        <w:t>甲方积极协助乙方办理公司核心人才引进相关工作，并对乙方公司高管及核心人员在</w:t>
      </w:r>
      <w:r>
        <w:rPr>
          <w:rFonts w:hint="eastAsia" w:ascii="Times New Roman" w:hAnsi="Times New Roman" w:eastAsia="仿宋_GB2312" w:cs="Times New Roman"/>
          <w:b w:val="0"/>
          <w:bCs/>
          <w:sz w:val="32"/>
        </w:rPr>
        <w:t>人才住房、教育、医疗等方面</w:t>
      </w:r>
      <w:r>
        <w:rPr>
          <w:rFonts w:hint="eastAsia" w:ascii="Times New Roman" w:hAnsi="Times New Roman" w:eastAsia="仿宋_GB2312" w:cs="Times New Roman"/>
          <w:b w:val="0"/>
          <w:bCs/>
          <w:sz w:val="32"/>
          <w:lang w:eastAsia="zh-CN"/>
        </w:rPr>
        <w:t>依法合规</w:t>
      </w:r>
      <w:r>
        <w:rPr>
          <w:rFonts w:hint="eastAsia" w:ascii="Times New Roman" w:hAnsi="Times New Roman" w:eastAsia="仿宋_GB2312" w:cs="Times New Roman"/>
          <w:b w:val="0"/>
          <w:bCs/>
          <w:sz w:val="32"/>
        </w:rPr>
        <w:t>给予支持</w:t>
      </w:r>
      <w:r>
        <w:rPr>
          <w:rFonts w:hint="eastAsia" w:ascii="仿宋_GB2312" w:hAnsi="仿宋_GB2312" w:eastAsia="仿宋_GB2312" w:cs="仿宋_GB2312"/>
          <w:b w:val="0"/>
          <w:bCs/>
          <w:sz w:val="32"/>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rPr>
      </w:pPr>
    </w:p>
    <w:p>
      <w:pPr>
        <w:keepNext w:val="0"/>
        <w:keepLines w:val="0"/>
        <w:pageBreakBefore w:val="0"/>
        <w:kinsoku/>
        <w:wordWrap/>
        <w:overflowPunct/>
        <w:topLinePunct w:val="0"/>
        <w:autoSpaceDE/>
        <w:autoSpaceDN/>
        <w:bidi w:val="0"/>
        <w:spacing w:line="560" w:lineRule="exact"/>
        <w:ind w:firstLine="3200" w:firstLineChars="1000"/>
        <w:textAlignment w:val="auto"/>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三章</w:t>
      </w:r>
      <w:r>
        <w:rPr>
          <w:rFonts w:ascii="Times New Roman" w:hAnsi="Times New Roman" w:eastAsia="黑体" w:cs="Times New Roman"/>
          <w:sz w:val="32"/>
          <w:szCs w:val="32"/>
        </w:rPr>
        <w:t xml:space="preserve">  其他事项</w:t>
      </w:r>
    </w:p>
    <w:p>
      <w:pPr>
        <w:keepNext w:val="0"/>
        <w:keepLines w:val="0"/>
        <w:pageBreakBefore w:val="0"/>
        <w:tabs>
          <w:tab w:val="left" w:pos="0"/>
        </w:tabs>
        <w:kinsoku/>
        <w:wordWrap/>
        <w:overflowPunct/>
        <w:topLinePunct w:val="0"/>
        <w:autoSpaceDE/>
        <w:autoSpaceDN/>
        <w:bidi w:val="0"/>
        <w:spacing w:line="560" w:lineRule="exact"/>
        <w:ind w:firstLine="643" w:firstLineChars="200"/>
        <w:textAlignment w:val="auto"/>
        <w:rPr>
          <w:rFonts w:ascii="Times New Roman" w:hAnsi="Times New Roman" w:eastAsia="仿宋_GB2312" w:cs="Times New Roman"/>
          <w:sz w:val="32"/>
          <w:szCs w:val="32"/>
          <w:highlight w:val="yellow"/>
        </w:rPr>
      </w:pPr>
      <w:r>
        <w:rPr>
          <w:rFonts w:hint="eastAsia" w:ascii="Times New Roman" w:hAnsi="Times New Roman" w:eastAsia="仿宋_GB2312" w:cs="Times New Roman"/>
          <w:b/>
          <w:bCs/>
          <w:sz w:val="32"/>
          <w:szCs w:val="32"/>
        </w:rPr>
        <w:t>第十一条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甲乙双方未经对方</w:t>
      </w:r>
      <w:r>
        <w:rPr>
          <w:rFonts w:hint="eastAsia" w:ascii="Times New Roman" w:hAnsi="Times New Roman" w:eastAsia="仿宋_GB2312" w:cs="Times New Roman"/>
          <w:sz w:val="32"/>
          <w:szCs w:val="32"/>
        </w:rPr>
        <w:t>书面</w:t>
      </w:r>
      <w:r>
        <w:rPr>
          <w:rFonts w:ascii="Times New Roman" w:hAnsi="Times New Roman" w:eastAsia="仿宋_GB2312" w:cs="Times New Roman"/>
          <w:sz w:val="32"/>
          <w:szCs w:val="32"/>
        </w:rPr>
        <w:t>同意，不得向第三方透露在合作中获知的国家秘密、商业秘密以及其他非公开信息，法律法规另有规定的除外。未经权利方事先书面同意，任何一方不得向本协议之外的其它方透漏或用于本次合作目的之外的任何用途。本条所述的保密义务不因本协议的解除或终止而失效。</w:t>
      </w:r>
    </w:p>
    <w:p>
      <w:pPr>
        <w:keepNext w:val="0"/>
        <w:keepLines w:val="0"/>
        <w:pageBreakBefore w:val="0"/>
        <w:tabs>
          <w:tab w:val="left" w:pos="0"/>
        </w:tabs>
        <w:kinsoku/>
        <w:wordWrap/>
        <w:overflowPunct/>
        <w:topLinePunct w:val="0"/>
        <w:autoSpaceDE/>
        <w:autoSpaceDN/>
        <w:bidi w:val="0"/>
        <w:spacing w:line="560" w:lineRule="exact"/>
        <w:ind w:firstLine="643" w:firstLineChars="200"/>
        <w:textAlignment w:val="auto"/>
        <w:rPr>
          <w:rFonts w:ascii="Times New Roman" w:hAnsi="Times New Roman" w:eastAsia="仿宋_GB2312" w:cs="Times New Roman"/>
          <w:sz w:val="32"/>
          <w:szCs w:val="32"/>
          <w:highlight w:val="yellow"/>
        </w:rPr>
      </w:pPr>
      <w:r>
        <w:rPr>
          <w:rFonts w:hint="eastAsia" w:ascii="Times New Roman" w:hAnsi="Times New Roman" w:eastAsia="仿宋_GB2312" w:cs="Times New Roman"/>
          <w:b/>
          <w:bCs/>
          <w:sz w:val="32"/>
          <w:szCs w:val="32"/>
        </w:rPr>
        <w:t>第十二条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协议在执行期间如因国家有关政策、法律法规调整或其他原因需做出变动时，双方应本着友好、互惠、互谅的态度对相应条款做出必要的变更和补充。</w:t>
      </w:r>
    </w:p>
    <w:p>
      <w:pPr>
        <w:keepNext w:val="0"/>
        <w:keepLines w:val="0"/>
        <w:pageBreakBefore w:val="0"/>
        <w:tabs>
          <w:tab w:val="left" w:pos="0"/>
        </w:tabs>
        <w:kinsoku/>
        <w:wordWrap/>
        <w:overflowPunct/>
        <w:topLinePunct w:val="0"/>
        <w:autoSpaceDE/>
        <w:autoSpaceDN/>
        <w:bidi w:val="0"/>
        <w:spacing w:line="56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第十三条</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rPr>
        <w:t>本协议仅构成双方就合作意向所达成的初步的、不具强制性义务的阐述</w:t>
      </w:r>
      <w:r>
        <w:rPr>
          <w:rFonts w:ascii="Times New Roman" w:hAnsi="Times New Roman" w:eastAsia="仿宋_GB2312" w:cs="Times New Roman"/>
          <w:sz w:val="32"/>
        </w:rPr>
        <w:t>，是指导双方合作的框架性文件，协议涉及的具体业务双方及双方所属企业（</w:t>
      </w:r>
      <w:r>
        <w:rPr>
          <w:rFonts w:ascii="Times New Roman" w:hAnsi="Times New Roman" w:eastAsia="仿宋_GB2312" w:cs="Times New Roman"/>
          <w:sz w:val="32"/>
          <w:szCs w:val="32"/>
        </w:rPr>
        <w:t>机构）将另行签订协议进行约定。甲乙双方及双方所属企业（机构）签订的各项具体业务协议等均应遵照本协议所确立的原则订立。如本协议约定与具体协议约定存在不一致，以具体协议约定为准。本协议未尽事宜，由双方协商补充，协议的修改或终止需经双方书面协商同意。</w:t>
      </w:r>
    </w:p>
    <w:p>
      <w:pPr>
        <w:keepNext w:val="0"/>
        <w:keepLines w:val="0"/>
        <w:pageBreakBefore w:val="0"/>
        <w:tabs>
          <w:tab w:val="left" w:pos="0"/>
        </w:tabs>
        <w:kinsoku/>
        <w:wordWrap/>
        <w:overflowPunct/>
        <w:topLinePunct w:val="0"/>
        <w:autoSpaceDE/>
        <w:autoSpaceDN/>
        <w:bidi w:val="0"/>
        <w:spacing w:line="560" w:lineRule="exact"/>
        <w:ind w:firstLine="643" w:firstLineChars="200"/>
        <w:textAlignment w:val="auto"/>
        <w:rPr>
          <w:rFonts w:ascii="Times New Roman" w:hAnsi="Times New Roman" w:eastAsia="仿宋_GB2312" w:cs="Times New Roman"/>
          <w:sz w:val="32"/>
          <w:szCs w:val="32"/>
          <w:highlight w:val="yellow"/>
        </w:rPr>
      </w:pPr>
      <w:r>
        <w:rPr>
          <w:rFonts w:hint="eastAsia" w:ascii="Times New Roman" w:hAnsi="Times New Roman" w:eastAsia="仿宋_GB2312" w:cs="Times New Roman"/>
          <w:b/>
          <w:bCs/>
          <w:sz w:val="32"/>
          <w:szCs w:val="32"/>
        </w:rPr>
        <w:t>第十四条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本协议自双方</w:t>
      </w:r>
      <w:r>
        <w:rPr>
          <w:rFonts w:hint="eastAsia" w:ascii="Times New Roman" w:hAnsi="Times New Roman" w:eastAsia="仿宋_GB2312" w:cs="Times New Roman"/>
          <w:sz w:val="32"/>
          <w:szCs w:val="32"/>
        </w:rPr>
        <w:t>法定代表人或授权代表签字并</w:t>
      </w:r>
      <w:r>
        <w:rPr>
          <w:rFonts w:ascii="Times New Roman" w:hAnsi="Times New Roman" w:eastAsia="仿宋_GB2312" w:cs="Times New Roman"/>
          <w:sz w:val="32"/>
          <w:szCs w:val="32"/>
        </w:rPr>
        <w:t>加盖公章之日起生效，有效期为</w:t>
      </w:r>
      <w:r>
        <w:rPr>
          <w:rFonts w:hint="eastAsia" w:ascii="Times New Roman" w:hAnsi="Times New Roman" w:eastAsia="仿宋_GB2312" w:cs="Times New Roman"/>
          <w:sz w:val="32"/>
          <w:szCs w:val="32"/>
        </w:rPr>
        <w:t>叁</w:t>
      </w:r>
      <w:r>
        <w:rPr>
          <w:rFonts w:ascii="Times New Roman" w:hAnsi="Times New Roman" w:eastAsia="仿宋_GB2312" w:cs="Times New Roman"/>
          <w:sz w:val="32"/>
          <w:szCs w:val="32"/>
        </w:rPr>
        <w:t>年。本协议一式</w:t>
      </w:r>
      <w:r>
        <w:rPr>
          <w:rFonts w:hint="eastAsia" w:ascii="Times New Roman" w:hAnsi="Times New Roman" w:eastAsia="仿宋_GB2312" w:cs="Times New Roman"/>
          <w:sz w:val="32"/>
          <w:szCs w:val="32"/>
        </w:rPr>
        <w:t>肆份</w:t>
      </w:r>
      <w:r>
        <w:rPr>
          <w:rFonts w:ascii="Times New Roman" w:hAnsi="Times New Roman" w:eastAsia="仿宋_GB2312" w:cs="Times New Roman"/>
          <w:sz w:val="32"/>
          <w:szCs w:val="32"/>
        </w:rPr>
        <w:t>，甲乙双方各执</w:t>
      </w:r>
      <w:r>
        <w:rPr>
          <w:rFonts w:hint="eastAsia" w:ascii="Times New Roman" w:hAnsi="Times New Roman" w:eastAsia="仿宋_GB2312" w:cs="Times New Roman"/>
          <w:sz w:val="32"/>
          <w:szCs w:val="32"/>
        </w:rPr>
        <w:t>贰份</w:t>
      </w:r>
      <w:r>
        <w:rPr>
          <w:rFonts w:ascii="Times New Roman" w:hAnsi="Times New Roman" w:eastAsia="仿宋_GB2312" w:cs="Times New Roman"/>
          <w:sz w:val="32"/>
          <w:szCs w:val="32"/>
        </w:rPr>
        <w:t>，每份均具有同等的法律效力。有效期结束后，不影响协议有效期内所签订的各项协议的法律效力。协议期满后经双方协商同意，可以继续延长、调整和补充。</w:t>
      </w:r>
    </w:p>
    <w:p>
      <w:pPr>
        <w:keepNext w:val="0"/>
        <w:keepLines w:val="0"/>
        <w:pageBreakBefore w:val="0"/>
        <w:tabs>
          <w:tab w:val="left" w:pos="1425"/>
        </w:tabs>
        <w:kinsoku/>
        <w:wordWrap/>
        <w:overflowPunct/>
        <w:topLinePunct w:val="0"/>
        <w:autoSpaceDE/>
        <w:autoSpaceDN/>
        <w:bidi w:val="0"/>
        <w:spacing w:line="560" w:lineRule="exact"/>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（本页无正文，为</w:t>
      </w:r>
      <w:r>
        <w:rPr>
          <w:rFonts w:hint="eastAsia" w:ascii="Times New Roman" w:hAnsi="Times New Roman" w:eastAsia="仿宋_GB2312" w:cs="Times New Roman"/>
          <w:kern w:val="0"/>
          <w:sz w:val="32"/>
          <w:szCs w:val="32"/>
        </w:rPr>
        <w:t>北京市通州区人民政府</w:t>
      </w:r>
      <w:r>
        <w:rPr>
          <w:rFonts w:ascii="Times New Roman" w:hAnsi="Times New Roman" w:eastAsia="仿宋_GB2312" w:cs="Times New Roman"/>
          <w:kern w:val="0"/>
          <w:sz w:val="32"/>
          <w:szCs w:val="32"/>
        </w:rPr>
        <w:t>与</w:t>
      </w:r>
      <w:bookmarkStart w:id="0" w:name="_Hlk199147627"/>
      <w:r>
        <w:rPr>
          <w:rFonts w:hint="eastAsia" w:ascii="Times New Roman" w:hAnsi="Times New Roman" w:eastAsia="仿宋_GB2312" w:cs="Times New Roman"/>
          <w:kern w:val="0"/>
          <w:sz w:val="32"/>
          <w:szCs w:val="32"/>
        </w:rPr>
        <w:t>首程控股有限公司</w:t>
      </w:r>
      <w:bookmarkEnd w:id="0"/>
      <w:r>
        <w:rPr>
          <w:rFonts w:ascii="Times New Roman" w:hAnsi="Times New Roman" w:eastAsia="仿宋_GB2312" w:cs="Times New Roman"/>
          <w:kern w:val="0"/>
          <w:sz w:val="32"/>
          <w:szCs w:val="32"/>
        </w:rPr>
        <w:t>《战略合作</w:t>
      </w:r>
      <w:r>
        <w:rPr>
          <w:rFonts w:hint="eastAsia" w:ascii="Times New Roman" w:hAnsi="Times New Roman" w:eastAsia="仿宋_GB2312" w:cs="Times New Roman"/>
          <w:kern w:val="0"/>
          <w:sz w:val="32"/>
          <w:szCs w:val="32"/>
        </w:rPr>
        <w:t>框架</w:t>
      </w:r>
      <w:r>
        <w:rPr>
          <w:rFonts w:ascii="Times New Roman" w:hAnsi="Times New Roman" w:eastAsia="仿宋_GB2312" w:cs="Times New Roman"/>
          <w:kern w:val="0"/>
          <w:sz w:val="32"/>
          <w:szCs w:val="32"/>
        </w:rPr>
        <w:t>协议》的签字页）</w:t>
      </w:r>
    </w:p>
    <w:p>
      <w:pPr>
        <w:pStyle w:val="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甲方：（盖章）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乙方：（盖章）</w:t>
      </w:r>
    </w:p>
    <w:p>
      <w:pPr>
        <w:keepNext w:val="0"/>
        <w:keepLines w:val="0"/>
        <w:pageBreakBefore w:val="0"/>
        <w:kinsoku/>
        <w:wordWrap/>
        <w:overflowPunct/>
        <w:topLinePunct w:val="0"/>
        <w:autoSpaceDE/>
        <w:autoSpaceDN/>
        <w:bidi w:val="0"/>
        <w:spacing w:line="560" w:lineRule="exact"/>
        <w:ind w:left="4480" w:right="-313" w:rightChars="-149" w:hanging="4480" w:hangingChars="14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北京市通州区人民政府</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首程控股有限公司</w:t>
      </w:r>
    </w:p>
    <w:p>
      <w:pPr>
        <w:pStyle w:val="3"/>
        <w:keepNext w:val="0"/>
        <w:keepLines w:val="0"/>
        <w:pageBreakBefore w:val="0"/>
        <w:kinsoku/>
        <w:wordWrap/>
        <w:overflowPunct/>
        <w:topLinePunct w:val="0"/>
        <w:autoSpaceDE/>
        <w:autoSpaceDN/>
        <w:bidi w:val="0"/>
        <w:spacing w:line="560" w:lineRule="exact"/>
        <w:textAlignment w:val="auto"/>
        <w:rPr>
          <w:rFonts w:hint="default" w:eastAsia="仿宋_GB2312" w:cs="Times New Roman"/>
          <w:sz w:val="32"/>
          <w:szCs w:val="32"/>
          <w:lang w:val="en-US" w:eastAsia="zh-CN"/>
        </w:rPr>
      </w:pPr>
      <w:r>
        <w:rPr>
          <w:rFonts w:hint="eastAsia" w:eastAsia="仿宋_GB2312" w:cs="Times New Roman"/>
          <w:sz w:val="32"/>
          <w:szCs w:val="32"/>
        </w:rPr>
        <w:t>法定代表人或</w:t>
      </w:r>
      <w:r>
        <w:rPr>
          <w:rFonts w:hint="eastAsia" w:eastAsia="仿宋_GB2312" w:cs="Times New Roman"/>
          <w:sz w:val="32"/>
          <w:szCs w:val="32"/>
          <w:lang w:val="en-US" w:eastAsia="zh-CN"/>
        </w:rPr>
        <w:t xml:space="preserve">                    法定代表人或</w:t>
      </w:r>
    </w:p>
    <w:p>
      <w:pPr>
        <w:pStyle w:val="3"/>
        <w:keepNext w:val="0"/>
        <w:keepLines w:val="0"/>
        <w:pageBreakBefore w:val="0"/>
        <w:kinsoku/>
        <w:wordWrap/>
        <w:overflowPunct/>
        <w:topLinePunct w:val="0"/>
        <w:autoSpaceDE/>
        <w:autoSpaceDN/>
        <w:bidi w:val="0"/>
        <w:spacing w:line="560" w:lineRule="exact"/>
        <w:textAlignment w:val="auto"/>
        <w:rPr>
          <w:rFonts w:hint="default" w:eastAsia="仿宋_GB2312" w:cs="Times New Roman"/>
          <w:sz w:val="32"/>
          <w:szCs w:val="32"/>
          <w:lang w:val="en-US" w:eastAsia="zh-CN"/>
        </w:rPr>
      </w:pPr>
      <w:r>
        <w:rPr>
          <w:rFonts w:hint="eastAsia" w:eastAsia="仿宋_GB2312" w:cs="Times New Roman"/>
          <w:sz w:val="32"/>
          <w:szCs w:val="32"/>
        </w:rPr>
        <w:t>授权代表：</w:t>
      </w:r>
      <w:r>
        <w:rPr>
          <w:rFonts w:hint="eastAsia" w:eastAsia="仿宋_GB2312" w:cs="Times New Roman"/>
          <w:sz w:val="32"/>
          <w:szCs w:val="32"/>
          <w:lang w:eastAsia="zh-CN"/>
        </w:rPr>
        <w:t>（</w:t>
      </w:r>
      <w:r>
        <w:rPr>
          <w:rFonts w:hint="eastAsia" w:eastAsia="仿宋_GB2312" w:cs="Times New Roman"/>
          <w:sz w:val="32"/>
          <w:szCs w:val="32"/>
          <w:lang w:val="en-US" w:eastAsia="zh-CN"/>
        </w:rPr>
        <w:t>签字</w:t>
      </w:r>
      <w:r>
        <w:rPr>
          <w:rFonts w:hint="eastAsia" w:eastAsia="仿宋_GB2312" w:cs="Times New Roman"/>
          <w:sz w:val="32"/>
          <w:szCs w:val="32"/>
          <w:lang w:eastAsia="zh-CN"/>
        </w:rPr>
        <w:t>）</w:t>
      </w:r>
      <w:r>
        <w:rPr>
          <w:rFonts w:hint="eastAsia" w:eastAsia="仿宋_GB2312" w:cs="Times New Roman"/>
          <w:sz w:val="32"/>
          <w:szCs w:val="32"/>
          <w:lang w:val="en-US" w:eastAsia="zh-CN"/>
        </w:rPr>
        <w:t xml:space="preserve">              授权代表：（签字） </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u w:val="single"/>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textAlignment w:val="auto"/>
        <w:rPr>
          <w:rFonts w:ascii="仿宋_GB2312" w:eastAsia="仿宋_GB2312"/>
          <w:sz w:val="32"/>
          <w:szCs w:val="32"/>
        </w:rPr>
      </w:pPr>
      <w:r>
        <w:rPr>
          <w:rFonts w:ascii="Times New Roman" w:hAnsi="Times New Roman" w:eastAsia="仿宋_GB2312" w:cs="Times New Roman"/>
          <w:sz w:val="32"/>
          <w:szCs w:val="32"/>
        </w:rPr>
        <w:t xml:space="preserve">   </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w:t>
      </w:r>
      <w:r>
        <w:rPr>
          <w:rFonts w:hint="eastAsia" w:ascii="仿宋_GB2312" w:eastAsia="仿宋_GB2312"/>
          <w:sz w:val="32"/>
          <w:szCs w:val="32"/>
        </w:rPr>
        <w:t>月**日</w:t>
      </w:r>
      <w:r>
        <w:rPr>
          <w:rFonts w:hint="eastAsia" w:ascii="仿宋_GB2312" w:eastAsia="仿宋_GB2312"/>
          <w:sz w:val="32"/>
          <w:szCs w:val="32"/>
          <w:lang w:val="en-US" w:eastAsia="zh-CN"/>
        </w:rPr>
        <w:t xml:space="preserve">                  </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w:t>
      </w:r>
      <w:r>
        <w:rPr>
          <w:rFonts w:hint="eastAsia" w:ascii="仿宋_GB2312" w:eastAsia="仿宋_GB2312"/>
          <w:sz w:val="32"/>
          <w:szCs w:val="32"/>
        </w:rPr>
        <w:t>月**日</w:t>
      </w:r>
    </w:p>
    <w:p>
      <w:pPr>
        <w:spacing w:line="560" w:lineRule="exact"/>
        <w:rPr>
          <w:rFonts w:hint="default" w:ascii="仿宋_GB2312" w:eastAsia="仿宋_GB2312"/>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 xml:space="preserve">   </w:t>
      </w:r>
    </w:p>
    <w:p>
      <w:pPr>
        <w:pStyle w:val="8"/>
        <w:rPr>
          <w:rFonts w:hint="default"/>
          <w:lang w:val="en-US" w:eastAsia="zh-CN"/>
        </w:rPr>
      </w:pPr>
    </w:p>
    <w:sectPr>
      <w:footerReference r:id="rId4" w:type="default"/>
      <w:pgSz w:w="11906" w:h="16838"/>
      <w:pgMar w:top="170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0265D"/>
    <w:multiLevelType w:val="singleLevel"/>
    <w:tmpl w:val="D4B0265D"/>
    <w:lvl w:ilvl="0" w:tentative="0">
      <w:start w:val="9"/>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MjhhYzNhNWUyYmVkNTNmZWYxNDdjYTcyNThhMjcifQ=="/>
  </w:docVars>
  <w:rsids>
    <w:rsidRoot w:val="41775618"/>
    <w:rsid w:val="003E52D4"/>
    <w:rsid w:val="00682D32"/>
    <w:rsid w:val="009E0256"/>
    <w:rsid w:val="00E52A05"/>
    <w:rsid w:val="00F21C4D"/>
    <w:rsid w:val="01300F70"/>
    <w:rsid w:val="03DF04E2"/>
    <w:rsid w:val="045A67BE"/>
    <w:rsid w:val="046A784F"/>
    <w:rsid w:val="04B8678D"/>
    <w:rsid w:val="04C537F2"/>
    <w:rsid w:val="058A1B50"/>
    <w:rsid w:val="05C31966"/>
    <w:rsid w:val="061E1D08"/>
    <w:rsid w:val="06657670"/>
    <w:rsid w:val="07604BB4"/>
    <w:rsid w:val="07DB0E7E"/>
    <w:rsid w:val="07DB599F"/>
    <w:rsid w:val="07FE6E2B"/>
    <w:rsid w:val="083F33C4"/>
    <w:rsid w:val="08561674"/>
    <w:rsid w:val="08D64E42"/>
    <w:rsid w:val="08F2283A"/>
    <w:rsid w:val="09431C22"/>
    <w:rsid w:val="09507EFC"/>
    <w:rsid w:val="09542AA9"/>
    <w:rsid w:val="09863887"/>
    <w:rsid w:val="09A54A12"/>
    <w:rsid w:val="0A2931D5"/>
    <w:rsid w:val="0D32597A"/>
    <w:rsid w:val="0D6B0007"/>
    <w:rsid w:val="0F0F7363"/>
    <w:rsid w:val="0FB730F4"/>
    <w:rsid w:val="106F6535"/>
    <w:rsid w:val="108B44F8"/>
    <w:rsid w:val="1154325B"/>
    <w:rsid w:val="11691F76"/>
    <w:rsid w:val="121E4352"/>
    <w:rsid w:val="12E77FD8"/>
    <w:rsid w:val="133F370A"/>
    <w:rsid w:val="137A7232"/>
    <w:rsid w:val="14591EE9"/>
    <w:rsid w:val="15584512"/>
    <w:rsid w:val="15F007EA"/>
    <w:rsid w:val="16FD6C6A"/>
    <w:rsid w:val="17026F45"/>
    <w:rsid w:val="19F772BB"/>
    <w:rsid w:val="1A5E4DA1"/>
    <w:rsid w:val="1A7A048B"/>
    <w:rsid w:val="1BBA5990"/>
    <w:rsid w:val="1C516D1F"/>
    <w:rsid w:val="1CB87EA7"/>
    <w:rsid w:val="1EE35CF4"/>
    <w:rsid w:val="1F6E1EC7"/>
    <w:rsid w:val="1FDB5633"/>
    <w:rsid w:val="200D16C6"/>
    <w:rsid w:val="21B04487"/>
    <w:rsid w:val="228D1D48"/>
    <w:rsid w:val="23144129"/>
    <w:rsid w:val="24A300D7"/>
    <w:rsid w:val="264C1DAA"/>
    <w:rsid w:val="264F2B26"/>
    <w:rsid w:val="27046318"/>
    <w:rsid w:val="29E85BF7"/>
    <w:rsid w:val="2AAB7A0D"/>
    <w:rsid w:val="2AF854ED"/>
    <w:rsid w:val="2B514D6D"/>
    <w:rsid w:val="2B6369BF"/>
    <w:rsid w:val="2B754ECE"/>
    <w:rsid w:val="2C57305E"/>
    <w:rsid w:val="2D1A5644"/>
    <w:rsid w:val="2D707140"/>
    <w:rsid w:val="2E114AB1"/>
    <w:rsid w:val="2F54651F"/>
    <w:rsid w:val="2F9A38DF"/>
    <w:rsid w:val="31034C06"/>
    <w:rsid w:val="31085CF6"/>
    <w:rsid w:val="31BA11AA"/>
    <w:rsid w:val="323D4080"/>
    <w:rsid w:val="32971F9A"/>
    <w:rsid w:val="33880AB7"/>
    <w:rsid w:val="3405098C"/>
    <w:rsid w:val="34263DEC"/>
    <w:rsid w:val="343F6A34"/>
    <w:rsid w:val="36594246"/>
    <w:rsid w:val="36C52233"/>
    <w:rsid w:val="36D73072"/>
    <w:rsid w:val="37446DB0"/>
    <w:rsid w:val="37A43D12"/>
    <w:rsid w:val="37ED7049"/>
    <w:rsid w:val="38295F29"/>
    <w:rsid w:val="39AB6A45"/>
    <w:rsid w:val="39B97332"/>
    <w:rsid w:val="3A007C12"/>
    <w:rsid w:val="3AA80ABA"/>
    <w:rsid w:val="3AA927A7"/>
    <w:rsid w:val="3C6A144C"/>
    <w:rsid w:val="3D261463"/>
    <w:rsid w:val="3E0F2C17"/>
    <w:rsid w:val="3E5F7536"/>
    <w:rsid w:val="3EBC2D08"/>
    <w:rsid w:val="3EC47E9E"/>
    <w:rsid w:val="3ED95653"/>
    <w:rsid w:val="40037F77"/>
    <w:rsid w:val="408E359D"/>
    <w:rsid w:val="40BA5781"/>
    <w:rsid w:val="40ED4292"/>
    <w:rsid w:val="41775618"/>
    <w:rsid w:val="41E03C42"/>
    <w:rsid w:val="43D370AF"/>
    <w:rsid w:val="44177CED"/>
    <w:rsid w:val="44A54DF0"/>
    <w:rsid w:val="44A71573"/>
    <w:rsid w:val="45662063"/>
    <w:rsid w:val="46826FDB"/>
    <w:rsid w:val="478C69DD"/>
    <w:rsid w:val="48227EF2"/>
    <w:rsid w:val="482B70AF"/>
    <w:rsid w:val="48646A0E"/>
    <w:rsid w:val="4868098F"/>
    <w:rsid w:val="488F6655"/>
    <w:rsid w:val="4971771B"/>
    <w:rsid w:val="49B50E6F"/>
    <w:rsid w:val="4A0F67CC"/>
    <w:rsid w:val="4A23195E"/>
    <w:rsid w:val="4A340479"/>
    <w:rsid w:val="4A6C3BA4"/>
    <w:rsid w:val="4BA435C8"/>
    <w:rsid w:val="4BC3196D"/>
    <w:rsid w:val="4CA43211"/>
    <w:rsid w:val="4CDA088E"/>
    <w:rsid w:val="50087053"/>
    <w:rsid w:val="500A0D65"/>
    <w:rsid w:val="51C468B7"/>
    <w:rsid w:val="522F4E2C"/>
    <w:rsid w:val="5265658C"/>
    <w:rsid w:val="52E04788"/>
    <w:rsid w:val="53745AE5"/>
    <w:rsid w:val="54175966"/>
    <w:rsid w:val="54B80BEB"/>
    <w:rsid w:val="56385FDA"/>
    <w:rsid w:val="56CB2D22"/>
    <w:rsid w:val="56FB1527"/>
    <w:rsid w:val="57B01ADC"/>
    <w:rsid w:val="590E5967"/>
    <w:rsid w:val="596E446A"/>
    <w:rsid w:val="5A096108"/>
    <w:rsid w:val="5AD97EA1"/>
    <w:rsid w:val="5B09692E"/>
    <w:rsid w:val="5B2C7FB8"/>
    <w:rsid w:val="5BDD44E3"/>
    <w:rsid w:val="5D1924B5"/>
    <w:rsid w:val="5D9F616B"/>
    <w:rsid w:val="5DF8049F"/>
    <w:rsid w:val="5F8F2737"/>
    <w:rsid w:val="5FB325D9"/>
    <w:rsid w:val="5FF15E8B"/>
    <w:rsid w:val="603A7CAE"/>
    <w:rsid w:val="60703370"/>
    <w:rsid w:val="60B36909"/>
    <w:rsid w:val="60D26045"/>
    <w:rsid w:val="60E35065"/>
    <w:rsid w:val="60F7761D"/>
    <w:rsid w:val="61843E7A"/>
    <w:rsid w:val="64C17382"/>
    <w:rsid w:val="64E300E0"/>
    <w:rsid w:val="657157DD"/>
    <w:rsid w:val="65C43D75"/>
    <w:rsid w:val="65F5295B"/>
    <w:rsid w:val="66C34A0F"/>
    <w:rsid w:val="672852FD"/>
    <w:rsid w:val="67493EF5"/>
    <w:rsid w:val="6BA5701E"/>
    <w:rsid w:val="6C0844CE"/>
    <w:rsid w:val="6C355816"/>
    <w:rsid w:val="6C5D06F1"/>
    <w:rsid w:val="6E150799"/>
    <w:rsid w:val="6FF57210"/>
    <w:rsid w:val="70FC1F1F"/>
    <w:rsid w:val="71A16BE2"/>
    <w:rsid w:val="71B91A07"/>
    <w:rsid w:val="72004D03"/>
    <w:rsid w:val="74063871"/>
    <w:rsid w:val="74947AAC"/>
    <w:rsid w:val="75D03CB2"/>
    <w:rsid w:val="76D80DCF"/>
    <w:rsid w:val="77032495"/>
    <w:rsid w:val="771C2261"/>
    <w:rsid w:val="77AC0785"/>
    <w:rsid w:val="78042918"/>
    <w:rsid w:val="783928DE"/>
    <w:rsid w:val="79467F5C"/>
    <w:rsid w:val="79D262F2"/>
    <w:rsid w:val="7A9D51EC"/>
    <w:rsid w:val="7AE44966"/>
    <w:rsid w:val="7B5C1492"/>
    <w:rsid w:val="7C9131CE"/>
    <w:rsid w:val="7CBD6C5D"/>
    <w:rsid w:val="7CE46FA1"/>
    <w:rsid w:val="7DDF0A27"/>
    <w:rsid w:val="7E5D1C32"/>
    <w:rsid w:val="7E6E3C16"/>
    <w:rsid w:val="7E9C28D2"/>
    <w:rsid w:val="7EF46033"/>
    <w:rsid w:val="7FBD38B3"/>
    <w:rsid w:val="7FC74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uppressAutoHyphens/>
      <w:spacing w:before="260" w:after="260" w:line="415" w:lineRule="auto"/>
      <w:outlineLvl w:val="2"/>
    </w:pPr>
    <w:rPr>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rPr>
      <w:rFonts w:ascii="Times New Roman" w:hAnsi="Times New Roman"/>
      <w:szCs w:val="20"/>
    </w:rPr>
  </w:style>
  <w:style w:type="paragraph" w:styleId="4">
    <w:name w:val="toc 3"/>
    <w:basedOn w:val="1"/>
    <w:next w:val="1"/>
    <w:qFormat/>
    <w:uiPriority w:val="0"/>
    <w:pPr>
      <w:ind w:left="840" w:leftChars="400"/>
    </w:pPr>
  </w:style>
  <w:style w:type="paragraph" w:styleId="5">
    <w:name w:val="Plain Text"/>
    <w:basedOn w:val="1"/>
    <w:unhideWhenUsed/>
    <w:qFormat/>
    <w:uiPriority w:val="99"/>
    <w:rPr>
      <w:rFonts w:ascii="宋体" w:hAnsi="Courier New"/>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index heading"/>
    <w:basedOn w:val="1"/>
    <w:next w:val="8"/>
    <w:qFormat/>
    <w:uiPriority w:val="0"/>
    <w:rPr>
      <w:b/>
    </w:rPr>
  </w:style>
  <w:style w:type="paragraph" w:styleId="8">
    <w:name w:val="index 1"/>
    <w:basedOn w:val="1"/>
    <w:next w:val="1"/>
    <w:qFormat/>
    <w:uiPriority w:val="0"/>
    <w:pPr>
      <w:spacing w:afterLines="50" w:line="360" w:lineRule="exact"/>
    </w:pPr>
    <w:rPr>
      <w:rFonts w:ascii="宋体" w:hAnsi="宋体"/>
      <w:color w:val="00CCFF"/>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271</Words>
  <Characters>287</Characters>
  <Lines>0</Lines>
  <Paragraphs>0</Paragraphs>
  <TotalTime>47</TotalTime>
  <ScaleCrop>false</ScaleCrop>
  <LinksUpToDate>false</LinksUpToDate>
  <CharactersWithSpaces>288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2023-10-10T07:45:00Z</dcterms:created>
  <dc:creator>pinocchio</dc:creator>
  <cp:lastModifiedBy>Administrator</cp:lastModifiedBy>
  <dcterms:modified xsi:type="dcterms:W3CDTF">2026-03-04T06:56:54Z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D8B1AD62120A4ED18707898B2ED6DEF0_13</vt:lpwstr>
  </property>
</Properties>
</file>