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p>
    <w:p>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lang w:eastAsia="zh-CN"/>
        </w:rPr>
        <w:t>廊坊市“北三县”供水工程（北京段）EPC</w:t>
      </w:r>
    </w:p>
    <w:p>
      <w:pPr>
        <w:keepNext w:val="0"/>
        <w:keepLines w:val="0"/>
        <w:pageBreakBefore w:val="0"/>
        <w:kinsoku/>
        <w:overflowPunct/>
        <w:topLinePunct w:val="0"/>
        <w:autoSpaceDE/>
        <w:autoSpaceDN/>
        <w:bidi w:val="0"/>
        <w:spacing w:line="560" w:lineRule="exact"/>
        <w:ind w:left="440" w:hanging="440" w:hangingChars="100"/>
        <w:jc w:val="center"/>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lang w:eastAsia="zh-CN"/>
        </w:rPr>
        <w:t>工程</w:t>
      </w:r>
      <w:r>
        <w:rPr>
          <w:rFonts w:hint="eastAsia" w:ascii="FZXiaoBiaoSong-B05S" w:hAnsi="FZXiaoBiaoSong-B05S" w:eastAsia="FZXiaoBiaoSong-B05S" w:cs="FZXiaoBiaoSong-B05S"/>
          <w:sz w:val="44"/>
          <w:szCs w:val="44"/>
        </w:rPr>
        <w:t>“</w:t>
      </w:r>
      <w:r>
        <w:rPr>
          <w:rFonts w:hint="eastAsia" w:ascii="方正小标宋简体" w:eastAsia="方正小标宋简体"/>
          <w:sz w:val="44"/>
          <w:szCs w:val="44"/>
          <w:lang w:val="en-US" w:eastAsia="zh-CN"/>
        </w:rPr>
        <w:t>12</w:t>
      </w:r>
      <w:r>
        <w:rPr>
          <w:rFonts w:hint="eastAsia" w:ascii="汉仪大黑简" w:hAnsi="汉仪大黑简" w:eastAsia="汉仪大黑简" w:cs="汉仪大黑简"/>
          <w:sz w:val="44"/>
          <w:szCs w:val="44"/>
          <w:lang w:val="en-US" w:eastAsia="zh-CN"/>
        </w:rPr>
        <w:t>·</w:t>
      </w:r>
      <w:r>
        <w:rPr>
          <w:rFonts w:hint="eastAsia" w:ascii="方正小标宋简体" w:eastAsia="方正小标宋简体"/>
          <w:sz w:val="44"/>
          <w:szCs w:val="44"/>
          <w:lang w:val="en-US" w:eastAsia="zh-CN"/>
        </w:rPr>
        <w:t>15</w:t>
      </w:r>
      <w:r>
        <w:rPr>
          <w:rFonts w:hint="eastAsia" w:ascii="FZXiaoBiaoSong-B05S" w:hAnsi="FZXiaoBiaoSong-B05S" w:eastAsia="FZXiaoBiaoSong-B05S" w:cs="FZXiaoBiaoSong-B05S"/>
          <w:sz w:val="44"/>
          <w:szCs w:val="44"/>
        </w:rPr>
        <w:t>”一般生产安全事故调查报告</w:t>
      </w:r>
    </w:p>
    <w:p>
      <w:pPr>
        <w:spacing w:line="560" w:lineRule="exact"/>
        <w:ind w:firstLine="640"/>
        <w:jc w:val="both"/>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15分左右</w:t>
      </w:r>
      <w:r>
        <w:rPr>
          <w:rFonts w:hint="eastAsia" w:ascii="仿宋_GB2312" w:hAnsi="仿宋_GB2312" w:eastAsia="仿宋_GB2312" w:cs="仿宋_GB2312"/>
          <w:sz w:val="32"/>
          <w:szCs w:val="32"/>
        </w:rPr>
        <w:t>，位于北京市通州区</w:t>
      </w:r>
      <w:r>
        <w:rPr>
          <w:rFonts w:hint="eastAsia" w:ascii="仿宋_GB2312" w:hAnsi="仿宋_GB2312" w:eastAsia="仿宋_GB2312" w:cs="仿宋_GB2312"/>
          <w:sz w:val="32"/>
          <w:szCs w:val="32"/>
          <w:lang w:eastAsia="zh-CN"/>
        </w:rPr>
        <w:t>漷县镇</w:t>
      </w:r>
      <w:r>
        <w:rPr>
          <w:rFonts w:hint="eastAsia" w:ascii="仿宋_GB2312" w:hAnsi="仿宋_GB2312" w:eastAsia="仿宋_GB2312" w:cs="仿宋_GB2312"/>
          <w:sz w:val="32"/>
          <w:szCs w:val="32"/>
          <w:lang w:val="en-US" w:eastAsia="zh-CN"/>
        </w:rPr>
        <w:t>廊坊市“北三县”供水工程（北京段）EPC工程，在吊装作业过程中，发生一起物体打击事故，造成一名作业人员受伤，送医后经抢救无效死亡，直接经济损失150万元。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依据《中华人民共和国安全生产法》、《生产安全事故报告和调查处理条例》、《北京市生产安全事故报告和调查处理办法》和区政府的授权，成立由区应急管理局、区公安分局、区人力社保局、</w:t>
      </w:r>
      <w:r>
        <w:rPr>
          <w:rFonts w:hint="eastAsia" w:ascii="仿宋_GB2312" w:hAnsi="仿宋_GB2312" w:eastAsia="仿宋_GB2312" w:cs="仿宋_GB2312"/>
          <w:sz w:val="32"/>
          <w:szCs w:val="32"/>
          <w:lang w:eastAsia="zh-CN"/>
        </w:rPr>
        <w:t>区水务局、</w:t>
      </w:r>
      <w:r>
        <w:rPr>
          <w:rFonts w:hint="eastAsia" w:ascii="仿宋_GB2312" w:hAnsi="仿宋_GB2312" w:eastAsia="仿宋_GB2312" w:cs="仿宋_GB2312"/>
          <w:sz w:val="32"/>
          <w:szCs w:val="32"/>
        </w:rPr>
        <w:t>区总工会和</w:t>
      </w:r>
      <w:r>
        <w:rPr>
          <w:rFonts w:hint="eastAsia" w:ascii="仿宋_GB2312" w:hAnsi="仿宋_GB2312" w:eastAsia="仿宋_GB2312" w:cs="仿宋_GB2312"/>
          <w:sz w:val="32"/>
          <w:szCs w:val="32"/>
          <w:lang w:eastAsia="zh-CN"/>
        </w:rPr>
        <w:t>漷县镇政府</w:t>
      </w:r>
      <w:r>
        <w:rPr>
          <w:rFonts w:hint="eastAsia" w:ascii="仿宋_GB2312" w:hAnsi="仿宋_GB2312" w:eastAsia="仿宋_GB2312" w:cs="仿宋_GB2312"/>
          <w:sz w:val="32"/>
          <w:szCs w:val="32"/>
        </w:rPr>
        <w:t>等部门组成的事故调查组，</w:t>
      </w:r>
      <w:r>
        <w:rPr>
          <w:rFonts w:hint="eastAsia" w:ascii="仿宋_GB2312" w:hAnsi="仿宋_GB2312" w:eastAsia="仿宋_GB2312" w:cs="仿宋_GB2312"/>
          <w:iCs/>
          <w:sz w:val="32"/>
          <w:szCs w:val="32"/>
        </w:rPr>
        <w:t>对该起事故开展调查处理工作</w:t>
      </w:r>
      <w:r>
        <w:rPr>
          <w:rFonts w:hint="eastAsia" w:ascii="仿宋_GB2312" w:hAnsi="仿宋_GB2312" w:eastAsia="仿宋_GB2312" w:cs="仿宋_GB2312"/>
          <w:sz w:val="32"/>
          <w:szCs w:val="32"/>
        </w:rPr>
        <w:t>，同时邀请区纪委区监察委参加。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rPr>
        <w:t>按照“四不放过”和“科学严谨、依法依规、实事求是、注重实效”的原则，通过现场勘验、调查取证、综合分析，查明了事故经过、原因，认定了事故性质和责任，提出了对有关责任人员和责任单位的处理建议，并提出了事故防范和隐患整改措施建议</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lang w:eastAsia="zh-CN"/>
        </w:rPr>
        <w:t>调查认定，</w:t>
      </w:r>
      <w:r>
        <w:rPr>
          <w:rFonts w:hint="eastAsia" w:ascii="方正黑体_GBK" w:hAnsi="方正黑体_GBK" w:eastAsia="方正黑体_GBK" w:cs="方正黑体_GBK"/>
          <w:b w:val="0"/>
          <w:bCs w:val="0"/>
          <w:sz w:val="32"/>
          <w:szCs w:val="32"/>
          <w:lang w:val="en-US" w:eastAsia="zh-CN"/>
        </w:rPr>
        <w:t>廊坊市“北三县”供水工程（北京段）EPC工程“12·15”一般生产安全事故是一起因工人违章作业和施工单位安全管理不到位导致的安全生产责任事故。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lang w:eastAsia="zh-CN"/>
        </w:rPr>
        <w:t>（一）</w:t>
      </w:r>
      <w:r>
        <w:rPr>
          <w:rFonts w:hint="eastAsia" w:ascii="楷体_GB2312" w:hAnsi="楷体_GB2312" w:eastAsia="楷体_GB2312" w:cs="楷体_GB2312"/>
          <w:iCs/>
          <w:sz w:val="32"/>
          <w:szCs w:val="32"/>
        </w:rPr>
        <w:t>事故相关单位情况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1.建设单位：北京水务投资集团有限公司,统一社会信用代码为9111000058774*****,成立于2011年12月21日，注册资本1653606万元</w:t>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人民币，注册地址位于北京市海淀区北三环西路99号1号楼11层，法定代表人霍*明,经营范围为许可项目：自来水生产与供应；天然水收集与分配；建设工程勘察；建设工程设计；建设工程监理；水利工程建设监理；建设工程施工（除核电站建设经营、民用机场建设）；电气安装服务；特种设备安装改造修理；特种设备检验检测；建设工程质量检测；检验检测服务。（依法须经批准的项目，经相关部门批准后方可开展经营活动，具体经营项目以相关部门批准文件或许可证件为准）一般项目：以自有资金从事投资活动；自有资金投资的资产管理服务；企业管理；污水处理及其再生利用；非常规水源利用技术研发；雨水、微咸水及矿井水的收集处理及利用；防洪除涝设施管理；水污染治理；水环境污染防治服务；生态恢复及生态保护服务；灌溉服务；水资源管理；工程和技术研究和试验发展；水利相关咨询服务；信息技术咨询服务；工程造价咨询业务；工程管理服务；招投标代理服务；政府采购代理服务；技术服务、技术开发、技术咨询、技术交流、技术转让、技术推广；普通机械设备安装服务；智能水务系统开发；人工智能行业应用系统集成服务；软件开发；城市绿化管理；劳务服务（不含劳务派遣）；会议及展览服务；市场营销策划；组织文化艺术交流活动。（除依法须经批准的项目外，凭营业执照依法自主开展经营活动）（不得从事国家和本市产业政策禁止和限制类项目的经营活动。）（有效期至2026年3月17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承包单位：河北省水利工程局集团有限公司，统一社会信用代码为91130000401704*****，成立于1981年6月22日，注册资本101800万元人民币，注册地址位于河北省石家庄市裕华区建设南大街103号，法定代表人刘*。该公司具备水利水电工程施工总承包一级资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监理单位：北京海策工程咨询有限公司，统一社会信用代码为9111010870023*****，成立于1999年10月14日，注册资本500万元人民币，注册地址位于北京市海淀区莲花池东路53号11层1116，法定代表人白*。该公司具备水利工程施工监理甲级资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）事故相关方关系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工程采用EPC总承包模式，EPC即Engineering(设计)、Procurement(采购)、Construction(施工)的组合，中文叫设计采购施工总承包，是指由工程总承包企业依据规定，承担项目的设计、采购、施工和试运营等工作，并对工程的质量、安全、工期、造价全面负责的项目模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15日建设单位经公开招投标程序后与投标联合体北京市水利规划设计研究院、北京通成达水务建设有限公司、中铁二局集团有限公司、北京清河水利建设集团有限公司、河北省水利工程局集团有限公司、中交一公局集团水利工程有限公司、北京金河水务建设集团有限公司、中铁十六局集团有限公司、中航建设集团泽通水利水电工程(北京)有限公司签订了廊坊市“北三县”供水工程（北京段）EPC工程总承包合同，合同建设内容为</w:t>
      </w:r>
      <w:r>
        <w:rPr>
          <w:rFonts w:hint="default" w:ascii="仿宋_GB2312" w:hAnsi="仿宋_GB2312" w:eastAsia="仿宋_GB2312" w:cs="仿宋_GB2312"/>
          <w:sz w:val="32"/>
          <w:szCs w:val="32"/>
          <w:lang w:val="en-US" w:eastAsia="zh-CN"/>
        </w:rPr>
        <w:t>初步设计报告编制、招标设计、施工图设计及预算、满足设计需要的勘察测量工作及竣工验收之前的现场设计服务，穿越道路、管线等设计及评估；审查后的施工图范围内所有工程施工（不含铁路专项工程）、试运行等，直至竣工验收合格、工程保修期内的缺陷修复和保修工作</w:t>
      </w:r>
      <w:r>
        <w:rPr>
          <w:rFonts w:hint="eastAsia" w:ascii="仿宋_GB2312" w:hAnsi="仿宋_GB2312" w:eastAsia="仿宋_GB2312" w:cs="仿宋_GB2312"/>
          <w:sz w:val="32"/>
          <w:szCs w:val="32"/>
          <w:lang w:val="en-US" w:eastAsia="zh-CN"/>
        </w:rPr>
        <w:t>。合同总造价2225133120元。</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同日建设单位也与监理单位正式签订了监理合同。事发位置为工程第四区段，其施工单位为联合体中的河北省水利工程局集团有限公司。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ascii="仿宋_GB2312" w:hAnsi="仿宋" w:eastAsia="仿宋_GB2312" w:cs="仿宋_GB2312"/>
          <w:iCs/>
          <w:sz w:val="32"/>
          <w:szCs w:val="32"/>
        </w:rPr>
        <w:t>经调查，工程参建各单位的施工承发包合同、监理合同均合法有效，未发现违规发包、分包、承包情况。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（三）综合调查情况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iCs/>
          <w:sz w:val="32"/>
          <w:szCs w:val="32"/>
          <w:lang w:eastAsia="zh-CN"/>
        </w:rPr>
      </w:pPr>
      <w:r>
        <w:rPr>
          <w:rFonts w:ascii="仿宋_GB2312" w:hAnsi="仿宋" w:eastAsia="仿宋_GB2312" w:cs="仿宋_GB2312"/>
          <w:iCs/>
          <w:sz w:val="32"/>
          <w:szCs w:val="32"/>
        </w:rPr>
        <w:t>经调查，</w:t>
      </w:r>
      <w:r>
        <w:rPr>
          <w:rFonts w:hint="eastAsia" w:ascii="仿宋_GB2312" w:hAnsi="仿宋_GB2312" w:eastAsia="仿宋_GB2312" w:cs="仿宋_GB2312"/>
          <w:sz w:val="32"/>
          <w:szCs w:val="32"/>
          <w:lang w:val="en-US" w:eastAsia="zh-CN"/>
        </w:rPr>
        <w:t>河北省水利工程局集团有限公司</w:t>
      </w:r>
      <w:r>
        <w:rPr>
          <w:rFonts w:ascii="仿宋_GB2312" w:hAnsi="仿宋" w:eastAsia="仿宋_GB2312" w:cs="仿宋_GB2312"/>
          <w:iCs/>
          <w:sz w:val="32"/>
          <w:szCs w:val="32"/>
        </w:rPr>
        <w:t>及其从业人员的资质、资格均符合法定条件要求，相关安全生产许可证、人员安全生产考核证均在有效期内，特种作业人员均持证上岗。企业、项目部人员管理架构健全，各人员岗位职责明确；企业已设立安全生产管理机构，配备专职安全生产管理人员，相关安全生产管理制度、操作规程健全；工程项目部已编制应急救援预案并组织开展</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应急演练；企业按要求落实主体责任，相关人员按要求履行职责。在安全教育培训方面，对新入</w:t>
      </w:r>
      <w:r>
        <w:rPr>
          <w:rFonts w:hint="eastAsia" w:ascii="仿宋_GB2312" w:hAnsi="仿宋" w:eastAsia="仿宋_GB2312" w:cs="仿宋_GB2312"/>
          <w:iCs/>
          <w:sz w:val="32"/>
          <w:szCs w:val="32"/>
        </w:rPr>
        <w:t>场工人</w:t>
      </w:r>
      <w:r>
        <w:rPr>
          <w:rFonts w:ascii="仿宋_GB2312" w:hAnsi="仿宋" w:eastAsia="仿宋_GB2312" w:cs="仿宋_GB2312"/>
          <w:iCs/>
          <w:sz w:val="32"/>
          <w:szCs w:val="32"/>
        </w:rPr>
        <w:t>开展</w:t>
      </w:r>
      <w:r>
        <w:rPr>
          <w:rFonts w:hint="eastAsia" w:ascii="仿宋_GB2312" w:hAnsi="仿宋" w:eastAsia="仿宋_GB2312" w:cs="仿宋_GB2312"/>
          <w:iCs/>
          <w:sz w:val="32"/>
          <w:szCs w:val="32"/>
        </w:rPr>
        <w:t>了</w:t>
      </w:r>
      <w:r>
        <w:rPr>
          <w:rFonts w:ascii="仿宋_GB2312" w:hAnsi="仿宋" w:eastAsia="仿宋_GB2312" w:cs="仿宋_GB2312"/>
          <w:iCs/>
          <w:sz w:val="32"/>
          <w:szCs w:val="32"/>
        </w:rPr>
        <w:t>三级安全教育培训和安全技术交底，项目部对危大工程作业对相关人员、工人</w:t>
      </w:r>
      <w:r>
        <w:rPr>
          <w:rFonts w:hint="eastAsia" w:ascii="仿宋_GB2312" w:hAnsi="仿宋" w:eastAsia="仿宋_GB2312" w:cs="仿宋_GB2312"/>
          <w:iCs/>
          <w:sz w:val="32"/>
          <w:szCs w:val="32"/>
        </w:rPr>
        <w:t>都</w:t>
      </w:r>
      <w:r>
        <w:rPr>
          <w:rFonts w:ascii="仿宋_GB2312" w:hAnsi="仿宋" w:eastAsia="仿宋_GB2312" w:cs="仿宋_GB2312"/>
          <w:iCs/>
          <w:sz w:val="32"/>
          <w:szCs w:val="32"/>
        </w:rPr>
        <w:t>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安全技术交底。</w:t>
      </w:r>
      <w:r>
        <w:rPr>
          <w:rFonts w:hint="eastAsia" w:ascii="仿宋_GB2312" w:hAnsi="仿宋" w:eastAsia="仿宋_GB2312" w:cs="仿宋_GB2312"/>
          <w:iCs/>
          <w:sz w:val="32"/>
          <w:szCs w:val="32"/>
          <w:lang w:eastAsia="zh-CN"/>
        </w:rPr>
        <w:t>但教育培训内容针对性不足，教育培训记录时间和考核记录存在未如实记录部分。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iCs/>
          <w:sz w:val="32"/>
          <w:szCs w:val="32"/>
        </w:rPr>
      </w:pPr>
      <w:r>
        <w:rPr>
          <w:rFonts w:ascii="仿宋_GB2312" w:hAnsi="仿宋" w:eastAsia="仿宋_GB2312" w:cs="仿宋_GB2312"/>
          <w:iCs/>
          <w:sz w:val="32"/>
          <w:szCs w:val="32"/>
        </w:rPr>
        <w:t>经调查，监理单位能按照有关规定及合同约定条款配备项目总监理工程师和监理人员，已编制相关工程监理规划、工程监理实施细则和监理工作管理制度，总监理工程师定期主持召开项目工程</w:t>
      </w:r>
      <w:r>
        <w:rPr>
          <w:rFonts w:hint="eastAsia" w:ascii="仿宋_GB2312" w:hAnsi="仿宋" w:eastAsia="仿宋_GB2312" w:cs="仿宋_GB2312"/>
          <w:iCs/>
          <w:sz w:val="32"/>
          <w:szCs w:val="32"/>
        </w:rPr>
        <w:t>监理</w:t>
      </w:r>
      <w:r>
        <w:rPr>
          <w:rFonts w:ascii="仿宋_GB2312" w:hAnsi="仿宋" w:eastAsia="仿宋_GB2312" w:cs="仿宋_GB2312"/>
          <w:iCs/>
          <w:sz w:val="32"/>
          <w:szCs w:val="32"/>
        </w:rPr>
        <w:t>例会，对危大工程的实施过程有进行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安全旁站，对日常施工过程进行</w:t>
      </w:r>
      <w:r>
        <w:rPr>
          <w:rFonts w:hint="eastAsia" w:ascii="仿宋_GB2312" w:hAnsi="仿宋" w:eastAsia="仿宋_GB2312" w:cs="仿宋_GB2312"/>
          <w:iCs/>
          <w:sz w:val="32"/>
          <w:szCs w:val="32"/>
        </w:rPr>
        <w:t>了</w:t>
      </w:r>
      <w:r>
        <w:rPr>
          <w:rFonts w:ascii="仿宋_GB2312" w:hAnsi="仿宋" w:eastAsia="仿宋_GB2312" w:cs="仿宋_GB2312"/>
          <w:iCs/>
          <w:sz w:val="32"/>
          <w:szCs w:val="32"/>
        </w:rPr>
        <w:t>监理巡查和检查</w:t>
      </w:r>
      <w:r>
        <w:rPr>
          <w:rFonts w:hint="eastAsia" w:ascii="仿宋_GB2312" w:hAnsi="仿宋" w:eastAsia="仿宋_GB2312" w:cs="仿宋_GB2312"/>
          <w:iCs/>
          <w:sz w:val="32"/>
          <w:szCs w:val="32"/>
          <w:lang w:val="en-US" w:eastAsia="zh-CN"/>
        </w:rPr>
        <w:t>,涉事顶铁临时挪移吊运作业无旁站要求</w:t>
      </w:r>
      <w:r>
        <w:rPr>
          <w:rFonts w:ascii="仿宋_GB2312" w:hAnsi="仿宋" w:eastAsia="仿宋_GB2312" w:cs="仿宋_GB2312"/>
          <w:iCs/>
          <w:sz w:val="32"/>
          <w:szCs w:val="32"/>
        </w:rPr>
        <w:t>。相关人员按规定落实</w:t>
      </w:r>
      <w:r>
        <w:rPr>
          <w:rFonts w:hint="eastAsia" w:ascii="仿宋_GB2312" w:hAnsi="仿宋" w:eastAsia="仿宋_GB2312" w:cs="仿宋_GB2312"/>
          <w:iCs/>
          <w:sz w:val="32"/>
          <w:szCs w:val="32"/>
        </w:rPr>
        <w:t>了</w:t>
      </w:r>
      <w:r>
        <w:rPr>
          <w:rFonts w:ascii="仿宋_GB2312" w:hAnsi="仿宋" w:eastAsia="仿宋_GB2312" w:cs="仿宋_GB2312"/>
          <w:iCs/>
          <w:sz w:val="32"/>
          <w:szCs w:val="32"/>
        </w:rPr>
        <w:t>监理职责。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iCs/>
          <w:sz w:val="32"/>
          <w:szCs w:val="32"/>
        </w:rPr>
      </w:pPr>
      <w:r>
        <w:rPr>
          <w:rFonts w:hint="eastAsia" w:ascii="仿宋_GB2312" w:hAnsi="仿宋_GB2312" w:eastAsia="仿宋_GB2312" w:cs="仿宋_GB2312"/>
          <w:sz w:val="32"/>
          <w:szCs w:val="32"/>
          <w:lang w:val="en-US" w:eastAsia="zh-CN"/>
        </w:rPr>
        <w:t>刘*明</w:t>
      </w:r>
      <w:r>
        <w:rPr>
          <w:rFonts w:ascii="仿宋_GB2312" w:hAnsi="仿宋" w:eastAsia="仿宋_GB2312" w:cs="仿宋_GB2312"/>
          <w:iCs/>
          <w:sz w:val="32"/>
          <w:szCs w:val="32"/>
        </w:rPr>
        <w:t>接受安全教育培训情况：经调查组调查，</w:t>
      </w:r>
      <w:r>
        <w:rPr>
          <w:rFonts w:hint="eastAsia" w:ascii="仿宋_GB2312" w:hAnsi="仿宋_GB2312" w:eastAsia="仿宋_GB2312" w:cs="仿宋_GB2312"/>
          <w:sz w:val="32"/>
          <w:szCs w:val="32"/>
          <w:lang w:val="en-US" w:eastAsia="zh-CN"/>
        </w:rPr>
        <w:t>刘*明</w:t>
      </w:r>
      <w:r>
        <w:rPr>
          <w:rFonts w:ascii="仿宋_GB2312" w:hAnsi="仿宋" w:eastAsia="仿宋_GB2312" w:cs="仿宋_GB2312"/>
          <w:iCs/>
          <w:sz w:val="32"/>
          <w:szCs w:val="32"/>
        </w:rPr>
        <w:t>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11</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1</w:t>
      </w:r>
      <w:r>
        <w:rPr>
          <w:rFonts w:ascii="仿宋_GB2312" w:hAnsi="仿宋" w:eastAsia="仿宋_GB2312" w:cs="仿宋_GB2312"/>
          <w:iCs/>
          <w:sz w:val="32"/>
          <w:szCs w:val="32"/>
        </w:rPr>
        <w:t>日</w:t>
      </w:r>
      <w:r>
        <w:rPr>
          <w:rFonts w:hint="eastAsia" w:ascii="仿宋_GB2312" w:hAnsi="仿宋" w:eastAsia="仿宋_GB2312" w:cs="仿宋_GB2312"/>
          <w:iCs/>
          <w:sz w:val="32"/>
          <w:szCs w:val="32"/>
          <w:lang w:eastAsia="zh-CN"/>
        </w:rPr>
        <w:t>至</w:t>
      </w:r>
      <w:r>
        <w:rPr>
          <w:rFonts w:hint="eastAsia" w:ascii="仿宋_GB2312" w:hAnsi="仿宋" w:eastAsia="仿宋_GB2312" w:cs="仿宋_GB2312"/>
          <w:iCs/>
          <w:sz w:val="32"/>
          <w:szCs w:val="32"/>
          <w:lang w:val="en-US" w:eastAsia="zh-CN"/>
        </w:rPr>
        <w:t>2日</w:t>
      </w:r>
      <w:r>
        <w:rPr>
          <w:rFonts w:ascii="仿宋_GB2312" w:hAnsi="仿宋" w:eastAsia="仿宋_GB2312" w:cs="仿宋_GB2312"/>
          <w:iCs/>
          <w:sz w:val="32"/>
          <w:szCs w:val="32"/>
        </w:rPr>
        <w:t>接受</w:t>
      </w:r>
      <w:r>
        <w:rPr>
          <w:rFonts w:hint="eastAsia" w:ascii="仿宋_GB2312" w:hAnsi="仿宋" w:eastAsia="仿宋_GB2312" w:cs="仿宋_GB2312"/>
          <w:iCs/>
          <w:sz w:val="32"/>
          <w:szCs w:val="32"/>
        </w:rPr>
        <w:t>公司</w:t>
      </w:r>
      <w:r>
        <w:rPr>
          <w:rFonts w:ascii="仿宋_GB2312" w:hAnsi="仿宋" w:eastAsia="仿宋_GB2312" w:cs="仿宋_GB2312"/>
          <w:iCs/>
          <w:sz w:val="32"/>
          <w:szCs w:val="32"/>
        </w:rPr>
        <w:t>（第一级）安全教育，于202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11</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3</w:t>
      </w:r>
      <w:r>
        <w:rPr>
          <w:rFonts w:ascii="仿宋_GB2312" w:hAnsi="仿宋" w:eastAsia="仿宋_GB2312" w:cs="仿宋_GB2312"/>
          <w:iCs/>
          <w:sz w:val="32"/>
          <w:szCs w:val="32"/>
        </w:rPr>
        <w:t>日</w:t>
      </w:r>
      <w:r>
        <w:rPr>
          <w:rFonts w:hint="eastAsia" w:ascii="仿宋_GB2312" w:hAnsi="仿宋" w:eastAsia="仿宋_GB2312" w:cs="仿宋_GB2312"/>
          <w:iCs/>
          <w:sz w:val="32"/>
          <w:szCs w:val="32"/>
          <w:lang w:eastAsia="zh-CN"/>
        </w:rPr>
        <w:t>至</w:t>
      </w:r>
      <w:r>
        <w:rPr>
          <w:rFonts w:hint="eastAsia" w:ascii="仿宋_GB2312" w:hAnsi="仿宋" w:eastAsia="仿宋_GB2312" w:cs="仿宋_GB2312"/>
          <w:iCs/>
          <w:sz w:val="32"/>
          <w:szCs w:val="32"/>
          <w:lang w:val="en-US" w:eastAsia="zh-CN"/>
        </w:rPr>
        <w:t>4日</w:t>
      </w:r>
      <w:r>
        <w:rPr>
          <w:rFonts w:ascii="仿宋_GB2312" w:hAnsi="仿宋" w:eastAsia="仿宋_GB2312" w:cs="仿宋_GB2312"/>
          <w:iCs/>
          <w:sz w:val="32"/>
          <w:szCs w:val="32"/>
        </w:rPr>
        <w:t>接受项目部（第二级）安全教育，于202</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年</w:t>
      </w:r>
      <w:r>
        <w:rPr>
          <w:rFonts w:hint="eastAsia" w:ascii="仿宋_GB2312" w:hAnsi="仿宋" w:eastAsia="仿宋_GB2312" w:cs="仿宋_GB2312"/>
          <w:iCs/>
          <w:sz w:val="32"/>
          <w:szCs w:val="32"/>
          <w:lang w:val="en-US" w:eastAsia="zh-CN"/>
        </w:rPr>
        <w:t>11</w:t>
      </w:r>
      <w:r>
        <w:rPr>
          <w:rFonts w:ascii="仿宋_GB2312" w:hAnsi="仿宋" w:eastAsia="仿宋_GB2312" w:cs="仿宋_GB2312"/>
          <w:iCs/>
          <w:sz w:val="32"/>
          <w:szCs w:val="32"/>
        </w:rPr>
        <w:t>月</w:t>
      </w:r>
      <w:r>
        <w:rPr>
          <w:rFonts w:hint="eastAsia" w:ascii="仿宋_GB2312" w:hAnsi="仿宋" w:eastAsia="仿宋_GB2312" w:cs="仿宋_GB2312"/>
          <w:iCs/>
          <w:sz w:val="32"/>
          <w:szCs w:val="32"/>
          <w:lang w:val="en-US" w:eastAsia="zh-CN"/>
        </w:rPr>
        <w:t>5</w:t>
      </w:r>
      <w:r>
        <w:rPr>
          <w:rFonts w:ascii="仿宋_GB2312" w:hAnsi="仿宋" w:eastAsia="仿宋_GB2312" w:cs="仿宋_GB2312"/>
          <w:iCs/>
          <w:sz w:val="32"/>
          <w:szCs w:val="32"/>
        </w:rPr>
        <w:t>日</w:t>
      </w:r>
      <w:r>
        <w:rPr>
          <w:rFonts w:hint="eastAsia" w:ascii="仿宋_GB2312" w:hAnsi="仿宋" w:eastAsia="仿宋_GB2312" w:cs="仿宋_GB2312"/>
          <w:iCs/>
          <w:sz w:val="32"/>
          <w:szCs w:val="32"/>
          <w:lang w:eastAsia="zh-CN"/>
        </w:rPr>
        <w:t>至</w:t>
      </w:r>
      <w:r>
        <w:rPr>
          <w:rFonts w:hint="eastAsia" w:ascii="仿宋_GB2312" w:hAnsi="仿宋" w:eastAsia="仿宋_GB2312" w:cs="仿宋_GB2312"/>
          <w:iCs/>
          <w:sz w:val="32"/>
          <w:szCs w:val="32"/>
          <w:lang w:val="en-US" w:eastAsia="zh-CN"/>
        </w:rPr>
        <w:t>8日</w:t>
      </w:r>
      <w:r>
        <w:rPr>
          <w:rFonts w:ascii="仿宋_GB2312" w:hAnsi="仿宋" w:eastAsia="仿宋_GB2312" w:cs="仿宋_GB2312"/>
          <w:iCs/>
          <w:sz w:val="32"/>
          <w:szCs w:val="32"/>
        </w:rPr>
        <w:t>接受班组（第三级）安全教育，</w:t>
      </w:r>
      <w:r>
        <w:rPr>
          <w:rFonts w:hint="eastAsia" w:ascii="仿宋_GB2312" w:hAnsi="仿宋" w:eastAsia="仿宋_GB2312" w:cs="仿宋_GB2312"/>
          <w:iCs/>
          <w:sz w:val="32"/>
          <w:szCs w:val="32"/>
          <w:lang w:eastAsia="zh-CN"/>
        </w:rPr>
        <w:t>经过新进场施工作业人员三级安全教育培训</w:t>
      </w:r>
      <w:r>
        <w:rPr>
          <w:rFonts w:ascii="仿宋_GB2312" w:hAnsi="仿宋" w:eastAsia="仿宋_GB2312" w:cs="仿宋_GB2312"/>
          <w:iCs/>
          <w:sz w:val="32"/>
          <w:szCs w:val="32"/>
        </w:rPr>
        <w:t>考核</w:t>
      </w:r>
      <w:r>
        <w:rPr>
          <w:rFonts w:hint="eastAsia" w:ascii="仿宋_GB2312" w:hAnsi="仿宋" w:eastAsia="仿宋_GB2312" w:cs="仿宋_GB2312"/>
          <w:iCs/>
          <w:sz w:val="32"/>
          <w:szCs w:val="32"/>
          <w:lang w:eastAsia="zh-CN"/>
        </w:rPr>
        <w:t>，但无相关培训成绩</w:t>
      </w:r>
      <w:r>
        <w:rPr>
          <w:rFonts w:ascii="仿宋_GB2312" w:hAnsi="仿宋" w:eastAsia="仿宋_GB2312" w:cs="仿宋_GB2312"/>
          <w:i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iCs/>
          <w:sz w:val="32"/>
          <w:szCs w:val="32"/>
          <w:lang w:val="en-US" w:eastAsia="zh-CN"/>
        </w:rPr>
      </w:pPr>
      <w:r>
        <w:rPr>
          <w:rFonts w:hint="eastAsia" w:ascii="仿宋_GB2312" w:hAnsi="仿宋" w:eastAsia="仿宋_GB2312" w:cs="仿宋_GB2312"/>
          <w:iCs/>
          <w:sz w:val="32"/>
          <w:szCs w:val="32"/>
          <w:lang w:eastAsia="zh-CN"/>
        </w:rPr>
        <w:t>事发车辆为徐工牌型号</w:t>
      </w:r>
      <w:r>
        <w:rPr>
          <w:rFonts w:hint="eastAsia" w:ascii="仿宋_GB2312" w:hAnsi="仿宋" w:eastAsia="仿宋_GB2312" w:cs="仿宋_GB2312"/>
          <w:iCs/>
          <w:sz w:val="32"/>
          <w:szCs w:val="32"/>
          <w:lang w:val="en-US" w:eastAsia="zh-CN"/>
        </w:rPr>
        <w:t>XZJ5555JQZ130，车牌号津AZ8196的汽车起重机，制造日期2019年9月，最大额定起重量130吨，主臂全伸长长度64米，起升高度64米，最后一次检验日期2025年11月14日，所有项目检验结果为合格。该设备于2025年10月20日经报验备案后进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_GB2312"/>
          <w:iCs/>
          <w:sz w:val="32"/>
          <w:szCs w:val="32"/>
          <w:lang w:val="en-US" w:eastAsia="zh-CN"/>
        </w:rPr>
      </w:pPr>
      <w:r>
        <w:rPr>
          <w:rFonts w:hint="eastAsia" w:ascii="仿宋_GB2312" w:hAnsi="仿宋" w:eastAsia="仿宋_GB2312" w:cs="仿宋_GB2312"/>
          <w:iCs/>
          <w:sz w:val="32"/>
          <w:szCs w:val="32"/>
          <w:lang w:val="en-US" w:eastAsia="zh-CN"/>
        </w:rPr>
        <w:t>事发顶铁为顶进管道施工时，千斤顶与管道端部之间临时设置的传力构件，作用是将一组千斤顶的合力通过顶铁均匀的分布在管端，顶铁重量约为1吨。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方正黑体_GBK" w:hAnsi="方正黑体_GBK" w:eastAsia="方正黑体_GBK" w:cs="方正黑体_GBK"/>
          <w:iCs/>
          <w:sz w:val="32"/>
          <w:szCs w:val="32"/>
        </w:rPr>
        <w:t>二、事故经过及事故现场</w:t>
      </w:r>
      <w:r>
        <w:rPr>
          <w:rFonts w:hint="eastAsia" w:ascii="方正黑体_GBK" w:hAnsi="方正黑体_GBK" w:eastAsia="方正黑体_GBK" w:cs="方正黑体_GBK"/>
          <w:iCs/>
          <w:sz w:val="32"/>
          <w:szCs w:val="32"/>
          <w:lang w:eastAsia="zh-CN"/>
        </w:rPr>
        <w:t>救援</w:t>
      </w:r>
      <w:r>
        <w:rPr>
          <w:rFonts w:hint="eastAsia" w:ascii="方正黑体_GBK" w:hAnsi="方正黑体_GBK" w:eastAsia="方正黑体_GBK" w:cs="方正黑体_GBK"/>
          <w:iCs/>
          <w:sz w:val="32"/>
          <w:szCs w:val="32"/>
        </w:rPr>
        <w:t xml:space="preserve">情况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（一）事故经过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iCs/>
          <w:sz w:val="32"/>
          <w:szCs w:val="32"/>
          <w:lang w:val="en-US" w:eastAsia="zh-CN"/>
        </w:rPr>
      </w:pPr>
      <w:r>
        <w:rPr>
          <w:rFonts w:hint="eastAsia" w:ascii="仿宋_GB2312" w:hAnsi="仿宋" w:eastAsia="仿宋_GB2312" w:cs="仿宋_GB2312"/>
          <w:iCs/>
          <w:sz w:val="32"/>
          <w:szCs w:val="32"/>
          <w:lang w:val="en-US" w:eastAsia="zh-CN"/>
        </w:rPr>
        <w:t>2025年12月15日19时，司机蔡*岩驾驶汽车起重机与信号工张*顺配合开展运输管件的吊装作业。约19时30分，此次吊运任务完成。随后张*顺因腹部不适与摘钩工人刘中明在现场说明需前往厕所，并提出后续若有吊装任务待其返回后再开展。</w:t>
      </w:r>
      <w:r>
        <w:rPr>
          <w:rFonts w:hint="eastAsia" w:ascii="仿宋_GB2312" w:hAnsi="仿宋" w:eastAsia="仿宋_GB2312" w:cs="仿宋_GB2312"/>
          <w:iCs/>
          <w:sz w:val="32"/>
          <w:szCs w:val="32"/>
          <w:lang w:val="en-US" w:eastAsia="zh-CN"/>
        </w:rPr>
        <w:br w:type="textWrapping"/>
      </w:r>
      <w:r>
        <w:rPr>
          <w:rFonts w:hint="eastAsia" w:ascii="仿宋_GB2312" w:hAnsi="仿宋" w:eastAsia="仿宋_GB2312" w:cs="仿宋_GB2312"/>
          <w:iCs/>
          <w:sz w:val="32"/>
          <w:szCs w:val="32"/>
          <w:lang w:val="en-US" w:eastAsia="zh-CN"/>
        </w:rPr>
        <w:t>20时12分左右，工地新到一车材料，因顶铁占路无法进入需吊运挪移。刘*明未按规范流程报备，自行组织工人朱*俊配合摘钩作业，并擅自站至信号指挥位，以手势指挥汽车起重机吊运顶铁；作业过程中，刘*明与朱*俊各自处于顶铁一侧。20时15分左右，被吊运的顶铁落至地面，刘*明示意朱*俊共同进行摘钩操作</w:t>
      </w:r>
      <w:r>
        <w:rPr>
          <w:rFonts w:hint="eastAsia" w:ascii="仿宋_GB2312" w:hAnsi="仿宋" w:eastAsia="仿宋_GB2312" w:cs="仿宋_GB2312"/>
          <w:iCs/>
          <w:sz w:val="32"/>
          <w:szCs w:val="32"/>
          <w:lang w:val="en-US" w:eastAsia="zh"/>
        </w:rPr>
        <w:t>,</w:t>
      </w:r>
      <w:r>
        <w:rPr>
          <w:rFonts w:hint="eastAsia" w:ascii="仿宋_GB2312" w:hAnsi="仿宋" w:eastAsia="仿宋_GB2312" w:cs="仿宋_GB2312"/>
          <w:iCs/>
          <w:sz w:val="32"/>
          <w:szCs w:val="32"/>
          <w:lang w:val="en-US" w:eastAsia="zh-CN"/>
        </w:rPr>
        <w:t>蔡*岩看到有起吊的手势后便开始起钩作业。同时朱*俊完成摘钩后向后退离5、6步，随即发现顶铁突然下坠，砸中了刘*明腰背部。此时刘*明尚有呼吸，但已无法回应，现场劳务单位负责人朱*亮第一时间拨打了120急救电话，同时组织人员利用吊车将压在刘*明身上的顶铁吊起。20时30分，120急救车抵达现场，在对伤者进行初步救治后，将其送往北京大学人民医院通州院区抢救。次日凌晨3时15分，刘*明经抢救无效死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应急救援工作评估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接到</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事故报告后，通州区政府</w:t>
      </w:r>
      <w:r>
        <w:rPr>
          <w:rFonts w:hint="eastAsia" w:ascii="仿宋_GB2312" w:hAnsi="仿宋_GB2312" w:eastAsia="仿宋_GB2312" w:cs="仿宋_GB2312"/>
          <w:sz w:val="32"/>
          <w:szCs w:val="32"/>
          <w:lang w:eastAsia="zh-CN"/>
        </w:rPr>
        <w:t>立即</w:t>
      </w:r>
      <w:r>
        <w:rPr>
          <w:rFonts w:hint="eastAsia" w:ascii="仿宋_GB2312" w:hAnsi="仿宋_GB2312" w:eastAsia="仿宋_GB2312" w:cs="仿宋_GB2312"/>
          <w:sz w:val="32"/>
          <w:szCs w:val="32"/>
        </w:rPr>
        <w:t>统筹组织相关部门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应急处置、死者家属安抚和善后等工作，</w:t>
      </w:r>
      <w:r>
        <w:rPr>
          <w:rFonts w:hint="eastAsia" w:ascii="仿宋_GB2312" w:hAnsi="仿宋_GB2312" w:eastAsia="仿宋_GB2312" w:cs="仿宋_GB2312"/>
          <w:sz w:val="32"/>
          <w:szCs w:val="32"/>
          <w:lang w:eastAsia="zh-CN"/>
        </w:rPr>
        <w:t>目前死者家属的赔偿工作已经完成，赔偿协议已经签署。在此起事故中，</w:t>
      </w:r>
      <w:r>
        <w:rPr>
          <w:rFonts w:hint="eastAsia" w:ascii="仿宋_GB2312" w:hAnsi="仿宋_GB2312" w:eastAsia="仿宋_GB2312" w:cs="仿宋_GB2312"/>
          <w:sz w:val="32"/>
          <w:szCs w:val="32"/>
        </w:rPr>
        <w:t>相关部门行动迅速、协调配合，有序开展了应急救援和善后处置工作，未造成不良社会影响。</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）伤亡人员情况</w:t>
      </w:r>
    </w:p>
    <w:p>
      <w:pPr>
        <w:pStyle w:val="2"/>
        <w:keepNext w:val="0"/>
        <w:keepLines w:val="0"/>
        <w:pageBreakBefore w:val="0"/>
        <w:kinsoku/>
        <w:overflowPunct/>
        <w:topLinePunct w:val="0"/>
        <w:autoSpaceDE/>
        <w:autoSpaceDN/>
        <w:bidi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本起事故共导致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人死亡。</w:t>
      </w:r>
    </w:p>
    <w:tbl>
      <w:tblPr>
        <w:tblStyle w:val="20"/>
        <w:tblW w:w="10446" w:type="dxa"/>
        <w:tblInd w:w="-53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41"/>
        <w:gridCol w:w="750"/>
        <w:gridCol w:w="875"/>
        <w:gridCol w:w="730"/>
        <w:gridCol w:w="2985"/>
        <w:gridCol w:w="2700"/>
        <w:gridCol w:w="13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104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姓 名</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性别</w:t>
            </w:r>
          </w:p>
        </w:tc>
        <w:tc>
          <w:tcPr>
            <w:tcW w:w="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民族</w:t>
            </w:r>
          </w:p>
        </w:tc>
        <w:tc>
          <w:tcPr>
            <w:tcW w:w="7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年龄</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身份证号</w:t>
            </w:r>
          </w:p>
        </w:tc>
        <w:tc>
          <w:tcPr>
            <w:tcW w:w="27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籍贯</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伤害类型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25" w:hRule="atLeast"/>
        </w:trPr>
        <w:tc>
          <w:tcPr>
            <w:tcW w:w="104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刘*明</w:t>
            </w:r>
          </w:p>
        </w:tc>
        <w:tc>
          <w:tcPr>
            <w:tcW w:w="75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汉</w:t>
            </w:r>
          </w:p>
        </w:tc>
        <w:tc>
          <w:tcPr>
            <w:tcW w:w="7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w:t>
            </w:r>
          </w:p>
        </w:tc>
        <w:tc>
          <w:tcPr>
            <w:tcW w:w="298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372*************15</w:t>
            </w:r>
          </w:p>
        </w:tc>
        <w:tc>
          <w:tcPr>
            <w:tcW w:w="270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山东省禹城市</w:t>
            </w:r>
            <w:r>
              <w:rPr>
                <w:rFonts w:hint="eastAsia" w:ascii="仿宋_GB2312" w:hAnsi="仿宋_GB2312" w:eastAsia="仿宋_GB2312" w:cs="仿宋_GB2312"/>
                <w:sz w:val="32"/>
                <w:szCs w:val="32"/>
              </w:rPr>
              <w:t>人</w:t>
            </w:r>
          </w:p>
        </w:tc>
        <w:tc>
          <w:tcPr>
            <w:tcW w:w="136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suppressLineNumbers w:val="0"/>
              <w:kinsoku/>
              <w:overflowPunct/>
              <w:topLinePunct w:val="0"/>
              <w:autoSpaceDE/>
              <w:autoSpaceDN/>
              <w:bidi w:val="0"/>
              <w:spacing w:before="0" w:beforeAutospacing="0" w:after="0" w:afterAutospacing="0" w:line="56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死亡</w:t>
            </w:r>
          </w:p>
        </w:tc>
      </w:tr>
    </w:tbl>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经北京市公安司法鉴定中心鉴定，死者刘*明符合被较大钝性物体（角铁）砸伤致创伤失血性休克死亡（鉴定书编号：TZ202</w:t>
      </w:r>
    </w:p>
    <w:p>
      <w:pPr>
        <w:keepNext w:val="0"/>
        <w:keepLines w:val="0"/>
        <w:pageBreakBefore w:val="0"/>
        <w:kinsoku/>
        <w:overflowPunct/>
        <w:topLinePunct w:val="0"/>
        <w:autoSpaceDE/>
        <w:autoSpaceDN/>
        <w:bidi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5BL0347）。</w:t>
      </w:r>
    </w:p>
    <w:p>
      <w:pPr>
        <w:keepNext w:val="0"/>
        <w:keepLines w:val="0"/>
        <w:pageBreakBefore w:val="0"/>
        <w:numPr>
          <w:ilvl w:val="0"/>
          <w:numId w:val="1"/>
        </w:numPr>
        <w:kinsoku/>
        <w:overflowPunct/>
        <w:topLinePunct w:val="0"/>
        <w:autoSpaceDE/>
        <w:autoSpaceDN/>
        <w:bidi w:val="0"/>
        <w:spacing w:line="560" w:lineRule="exact"/>
        <w:ind w:firstLine="640" w:firstLineChars="200"/>
        <w:jc w:val="left"/>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rPr>
        <w:t>事发现场基本情况</w:t>
      </w:r>
    </w:p>
    <w:p>
      <w:pPr>
        <w:keepNext w:val="0"/>
        <w:keepLines w:val="0"/>
        <w:pageBreakBefore w:val="0"/>
        <w:kinsoku/>
        <w:overflowPunct/>
        <w:topLinePunct w:val="0"/>
        <w:autoSpaceDE/>
        <w:autoSpaceDN/>
        <w:bidi w:val="0"/>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事发位置位于</w:t>
      </w:r>
      <w:r>
        <w:rPr>
          <w:rFonts w:hint="eastAsia" w:ascii="仿宋_GB2312" w:hAnsi="仿宋_GB2312" w:eastAsia="仿宋_GB2312" w:cs="仿宋_GB2312"/>
          <w:sz w:val="32"/>
          <w:szCs w:val="32"/>
        </w:rPr>
        <w:t>北京市通州区</w:t>
      </w:r>
      <w:r>
        <w:rPr>
          <w:rFonts w:hint="eastAsia" w:ascii="仿宋_GB2312" w:hAnsi="仿宋_GB2312" w:eastAsia="仿宋_GB2312" w:cs="仿宋_GB2312"/>
          <w:sz w:val="32"/>
          <w:szCs w:val="32"/>
          <w:lang w:eastAsia="zh-CN"/>
        </w:rPr>
        <w:t>漷县镇</w:t>
      </w:r>
      <w:r>
        <w:rPr>
          <w:rFonts w:hint="eastAsia" w:ascii="仿宋_GB2312" w:hAnsi="仿宋_GB2312" w:eastAsia="仿宋_GB2312" w:cs="仿宋_GB2312"/>
          <w:sz w:val="32"/>
          <w:szCs w:val="32"/>
          <w:lang w:val="en-US" w:eastAsia="zh-CN"/>
        </w:rPr>
        <w:t>廊坊市“北三县”供水工程（北京段）EPC工程46#竖井附近,吊车车头向东，支腿完全打开状态，大臂向上伸出长度46米，钢丝绳长度约6米，末端有两个D形卸扣。车尾位置共有三块U形顶铁放置在平整硬化的混凝土地面上，顶铁上方两侧设置有孔洞或吊耳，为方便钢丝绳末端的D形卸扣连接吊运作业使用。事发时两个卸扣均与顶铁处于未连接的分离状态。吊装过程中吊车司机部分视线受阻存在一定视线盲区。</w:t>
      </w:r>
    </w:p>
    <w:p>
      <w:pPr>
        <w:keepNext w:val="0"/>
        <w:keepLines w:val="0"/>
        <w:pageBreakBefore w:val="0"/>
        <w:overflowPunct/>
        <w:topLinePunct w:val="0"/>
        <w:bidi w:val="0"/>
        <w:spacing w:line="560" w:lineRule="exact"/>
        <w:ind w:firstLine="640" w:firstLineChars="200"/>
        <w:rPr>
          <w:rFonts w:hint="eastAsia" w:ascii="楷体_GB2312" w:hAnsi="仿宋" w:eastAsia="黑体" w:cs="仿宋_GB2312"/>
          <w:bCs/>
          <w:iCs/>
          <w:color w:val="auto"/>
          <w:sz w:val="32"/>
          <w:szCs w:val="32"/>
          <w:lang w:eastAsia="zh-CN"/>
        </w:rPr>
      </w:pPr>
      <w:r>
        <w:rPr>
          <w:rFonts w:hint="eastAsia" w:ascii="黑体" w:hAnsi="黑体" w:eastAsia="黑体" w:cs="仿宋_GB2312"/>
          <w:iCs/>
          <w:color w:val="auto"/>
          <w:sz w:val="32"/>
          <w:szCs w:val="32"/>
        </w:rPr>
        <w:t>三、事故</w:t>
      </w:r>
      <w:r>
        <w:rPr>
          <w:rFonts w:hint="eastAsia" w:ascii="黑体" w:hAnsi="黑体" w:eastAsia="黑体" w:cs="仿宋_GB2312"/>
          <w:iCs/>
          <w:color w:val="auto"/>
          <w:sz w:val="32"/>
          <w:szCs w:val="32"/>
          <w:lang w:eastAsia="zh-CN"/>
        </w:rPr>
        <w:t>直接</w:t>
      </w:r>
      <w:r>
        <w:rPr>
          <w:rFonts w:hint="eastAsia" w:ascii="黑体" w:hAnsi="黑体" w:eastAsia="黑体" w:cs="仿宋_GB2312"/>
          <w:iCs/>
          <w:color w:val="auto"/>
          <w:sz w:val="32"/>
          <w:szCs w:val="32"/>
        </w:rPr>
        <w:t>原因</w:t>
      </w:r>
      <w:r>
        <w:rPr>
          <w:rFonts w:hint="eastAsia" w:ascii="黑体" w:hAnsi="黑体" w:eastAsia="黑体" w:cs="仿宋_GB2312"/>
          <w:iCs/>
          <w:color w:val="auto"/>
          <w:sz w:val="32"/>
          <w:szCs w:val="32"/>
          <w:lang w:eastAsia="zh-CN"/>
        </w:rPr>
        <w:t>和调查发现的主要问题</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bCs/>
          <w:kern w:val="0"/>
          <w:sz w:val="32"/>
          <w:szCs w:val="36"/>
        </w:rPr>
      </w:pPr>
      <w:r>
        <w:rPr>
          <w:rFonts w:hint="eastAsia" w:ascii="仿宋_GB2312" w:hAnsi="仿宋_GB2312" w:eastAsia="仿宋_GB2312" w:cs="仿宋_GB2312"/>
          <w:sz w:val="32"/>
          <w:szCs w:val="32"/>
        </w:rPr>
        <w:t>事故发生后，公安机关结合现场勘查情况、尸检情况、调查询问等分析，排除人为故意刑事犯罪嫌疑。事故调查组经过现场勘查，依法调取相关物证、书证，以及对相关人员的调查询问，</w:t>
      </w:r>
      <w:r>
        <w:rPr>
          <w:rFonts w:hint="eastAsia" w:ascii="仿宋_GB2312" w:hAnsi="仿宋_GB2312" w:eastAsia="仿宋_GB2312" w:cs="仿宋_GB2312"/>
          <w:bCs/>
          <w:kern w:val="0"/>
          <w:sz w:val="32"/>
          <w:szCs w:val="36"/>
        </w:rPr>
        <w:t>查明了事故原因及性质。</w:t>
      </w:r>
    </w:p>
    <w:p>
      <w:pPr>
        <w:keepNext w:val="0"/>
        <w:keepLines w:val="0"/>
        <w:pageBreakBefore w:val="0"/>
        <w:numPr>
          <w:ilvl w:val="0"/>
          <w:numId w:val="2"/>
        </w:numPr>
        <w:kinsoku/>
        <w:overflowPunct/>
        <w:topLinePunct w:val="0"/>
        <w:autoSpaceDE/>
        <w:autoSpaceDN/>
        <w:bidi w:val="0"/>
        <w:spacing w:line="560" w:lineRule="exact"/>
        <w:ind w:firstLine="640" w:firstLineChars="200"/>
        <w:jc w:val="left"/>
        <w:rPr>
          <w:rFonts w:hint="eastAsia" w:ascii="楷体_GB2312" w:hAnsi="楷体_GB2312" w:eastAsia="楷体_GB2312" w:cs="楷体_GB2312"/>
          <w:bCs/>
          <w:iCs/>
          <w:sz w:val="32"/>
          <w:szCs w:val="32"/>
        </w:rPr>
      </w:pPr>
      <w:r>
        <w:rPr>
          <w:rFonts w:hint="eastAsia" w:ascii="楷体_GB2312" w:hAnsi="楷体_GB2312" w:eastAsia="楷体_GB2312" w:cs="楷体_GB2312"/>
          <w:bCs/>
          <w:iCs/>
          <w:sz w:val="32"/>
          <w:szCs w:val="32"/>
        </w:rPr>
        <w:t>直接原因</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结合现场发现人员询问笔录及现场勘验等情况，综合分析认定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刘*明</w:t>
      </w:r>
      <w:r>
        <w:rPr>
          <w:rFonts w:hint="eastAsia" w:ascii="仿宋_GB2312" w:hAnsi="仿宋_GB2312" w:eastAsia="仿宋_GB2312" w:cs="仿宋_GB2312"/>
          <w:sz w:val="32"/>
          <w:szCs w:val="32"/>
        </w:rPr>
        <w:t>安全作业基础知识匮乏，</w:t>
      </w:r>
      <w:r>
        <w:rPr>
          <w:rFonts w:hint="eastAsia" w:ascii="仿宋_GB2312" w:hAnsi="仿宋_GB2312" w:eastAsia="仿宋_GB2312" w:cs="仿宋_GB2312"/>
          <w:sz w:val="32"/>
          <w:szCs w:val="32"/>
          <w:lang w:eastAsia="zh-CN"/>
        </w:rPr>
        <w:t>在未取得相应从业资格情况下擅自冒险顶岗从事信号指挥工作</w:t>
      </w:r>
      <w:r>
        <w:rPr>
          <w:rFonts w:hint="eastAsia" w:ascii="仿宋_GB2312" w:hAnsi="仿宋_GB2312" w:eastAsia="仿宋_GB2312" w:cs="仿宋_GB2312"/>
          <w:sz w:val="32"/>
          <w:szCs w:val="32"/>
        </w:rPr>
        <w:t>，未能辨识</w:t>
      </w:r>
      <w:r>
        <w:rPr>
          <w:rFonts w:hint="eastAsia" w:ascii="仿宋_GB2312" w:hAnsi="仿宋_GB2312" w:eastAsia="仿宋_GB2312" w:cs="仿宋_GB2312"/>
          <w:sz w:val="32"/>
          <w:szCs w:val="32"/>
          <w:lang w:val="en-US" w:eastAsia="zh-CN"/>
        </w:rPr>
        <w:t>吊装</w:t>
      </w:r>
      <w:r>
        <w:rPr>
          <w:rFonts w:hint="eastAsia" w:ascii="仿宋_GB2312" w:hAnsi="仿宋_GB2312" w:eastAsia="仿宋_GB2312" w:cs="仿宋_GB2312"/>
          <w:sz w:val="32"/>
          <w:szCs w:val="32"/>
        </w:rPr>
        <w:t>作业过程中存在的安全隐患，</w:t>
      </w:r>
      <w:r>
        <w:rPr>
          <w:rFonts w:hint="eastAsia" w:ascii="仿宋_GB2312" w:hAnsi="仿宋_GB2312" w:eastAsia="仿宋_GB2312" w:cs="仿宋_GB2312"/>
          <w:sz w:val="32"/>
          <w:szCs w:val="32"/>
          <w:lang w:eastAsia="zh-CN"/>
        </w:rPr>
        <w:t>在未确认被吊物处于稳定状态情况下组织人员进行摘钩作业和指挥吊车起钩</w:t>
      </w:r>
      <w:r>
        <w:rPr>
          <w:rFonts w:hint="eastAsia" w:ascii="仿宋_GB2312" w:hAnsi="仿宋_GB2312" w:eastAsia="仿宋_GB2312" w:cs="仿宋_GB2312"/>
          <w:sz w:val="32"/>
          <w:szCs w:val="32"/>
          <w:lang w:val="en-US" w:eastAsia="zh-CN"/>
        </w:rPr>
        <w:t>,且在摘钩</w:t>
      </w:r>
      <w:r>
        <w:rPr>
          <w:rFonts w:hint="eastAsia" w:ascii="仿宋_GB2312" w:hAnsi="仿宋_GB2312" w:eastAsia="仿宋_GB2312" w:cs="仿宋_GB2312"/>
          <w:sz w:val="32"/>
          <w:szCs w:val="32"/>
          <w:lang w:eastAsia="zh-CN"/>
        </w:rPr>
        <w:t>完成后未第一时间撤离作业区域反而违规进入被吊物危险作业半径范围内</w:t>
      </w:r>
      <w:r>
        <w:rPr>
          <w:rFonts w:hint="eastAsia" w:ascii="仿宋_GB2312" w:hAnsi="仿宋_GB2312" w:eastAsia="仿宋_GB2312" w:cs="仿宋_GB2312"/>
          <w:sz w:val="32"/>
          <w:szCs w:val="32"/>
        </w:rPr>
        <w:t>，最终导致</w:t>
      </w:r>
      <w:r>
        <w:rPr>
          <w:rFonts w:hint="eastAsia" w:ascii="仿宋_GB2312" w:hAnsi="仿宋_GB2312" w:eastAsia="仿宋_GB2312" w:cs="仿宋_GB2312"/>
          <w:sz w:val="32"/>
          <w:szCs w:val="32"/>
          <w:lang w:eastAsia="zh-CN"/>
        </w:rPr>
        <w:t>此起</w:t>
      </w:r>
      <w:r>
        <w:rPr>
          <w:rFonts w:hint="eastAsia" w:ascii="仿宋_GB2312" w:hAnsi="仿宋_GB2312" w:eastAsia="仿宋_GB2312" w:cs="仿宋_GB2312"/>
          <w:sz w:val="32"/>
          <w:szCs w:val="32"/>
        </w:rPr>
        <w:t>事故发生。</w:t>
      </w:r>
    </w:p>
    <w:p>
      <w:pPr>
        <w:keepNext w:val="0"/>
        <w:keepLines w:val="0"/>
        <w:pageBreakBefore w:val="0"/>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华文楷体" w:hAnsi="华文楷体" w:eastAsia="华文楷体" w:cs="仿宋_GB2312"/>
          <w:bCs/>
          <w:iCs/>
          <w:color w:val="auto"/>
          <w:sz w:val="32"/>
          <w:szCs w:val="32"/>
        </w:rPr>
        <w:t>（二）</w:t>
      </w:r>
      <w:r>
        <w:rPr>
          <w:rFonts w:hint="eastAsia" w:ascii="华文楷体" w:hAnsi="华文楷体" w:eastAsia="华文楷体" w:cs="仿宋_GB2312"/>
          <w:bCs/>
          <w:iCs/>
          <w:color w:val="auto"/>
          <w:sz w:val="32"/>
          <w:szCs w:val="32"/>
          <w:lang w:eastAsia="zh-CN"/>
        </w:rPr>
        <w:t>调查发现的主要问题</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1.河北省水利工程局集团有限公司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能严格履行安全生产主体责任，对作业人员的教育培训不到位、不扎实，间接导致作业人员不熟悉岗位风险，对吊装作业相关注意事项不掌握；对现场作业人员的安全管理、监督检查不到位，未能教育督促从业人员严格执行本单位的安全生产规章制度和安全操作规程；未能采取技术、管理措施，及时发现并消除安全隐患</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刘斌</w:t>
      </w:r>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3.司机蔡*岩在未对指挥手势信号主体进行认真核验且在视线受阻情况下，违规听从无证普通作业人员发出的手势指令，未严格落</w:t>
      </w:r>
      <w:r>
        <w:rPr>
          <w:rFonts w:hint="default" w:ascii="仿宋_GB2312" w:hAnsi="仿宋_GB2312" w:eastAsia="仿宋_GB2312" w:cs="仿宋_GB2312"/>
          <w:sz w:val="32"/>
          <w:szCs w:val="32"/>
          <w:lang w:val="en-US" w:eastAsia="zh-CN"/>
        </w:rPr>
        <w:t>实岗位安全责任</w:t>
      </w:r>
      <w:r>
        <w:rPr>
          <w:rFonts w:hint="eastAsia" w:ascii="仿宋_GB2312" w:hAnsi="仿宋_GB2312" w:eastAsia="仿宋_GB2312" w:cs="仿宋_GB2312"/>
          <w:sz w:val="32"/>
          <w:szCs w:val="32"/>
          <w:lang w:val="en-US" w:eastAsia="zh-CN"/>
        </w:rPr>
        <w:t>，是此起事故发生的间接原因。</w:t>
      </w:r>
    </w:p>
    <w:p>
      <w:pPr>
        <w:keepNext w:val="0"/>
        <w:keepLines w:val="0"/>
        <w:pageBreakBefore w:val="0"/>
        <w:numPr>
          <w:ilvl w:val="0"/>
          <w:numId w:val="0"/>
        </w:numPr>
        <w:overflowPunct/>
        <w:topLinePunct w:val="0"/>
        <w:bidi w:val="0"/>
        <w:spacing w:line="560" w:lineRule="exact"/>
        <w:ind w:firstLine="640" w:firstLineChars="200"/>
        <w:rPr>
          <w:rFonts w:hint="eastAsia" w:ascii="黑体" w:hAnsi="黑体" w:eastAsia="黑体" w:cs="仿宋_GB2312"/>
          <w:iCs/>
          <w:color w:val="auto"/>
          <w:sz w:val="32"/>
          <w:szCs w:val="32"/>
          <w:lang w:eastAsia="zh-CN"/>
        </w:rPr>
      </w:pPr>
      <w:r>
        <w:rPr>
          <w:rFonts w:hint="eastAsia" w:ascii="黑体" w:hAnsi="黑体" w:eastAsia="黑体" w:cs="仿宋_GB2312"/>
          <w:iCs/>
          <w:color w:val="auto"/>
          <w:sz w:val="32"/>
          <w:szCs w:val="32"/>
          <w:lang w:eastAsia="zh-CN"/>
        </w:rPr>
        <w:t>四</w:t>
      </w:r>
      <w:r>
        <w:rPr>
          <w:rFonts w:hint="eastAsia" w:ascii="黑体" w:hAnsi="黑体" w:eastAsia="黑体" w:cs="仿宋_GB2312"/>
          <w:iCs/>
          <w:color w:val="auto"/>
          <w:sz w:val="32"/>
          <w:szCs w:val="32"/>
        </w:rPr>
        <w:t>、</w:t>
      </w:r>
      <w:r>
        <w:rPr>
          <w:rFonts w:hint="eastAsia" w:ascii="黑体" w:hAnsi="黑体" w:eastAsia="黑体" w:cs="仿宋_GB2312"/>
          <w:iCs/>
          <w:color w:val="auto"/>
          <w:sz w:val="32"/>
          <w:szCs w:val="32"/>
          <w:lang w:eastAsia="zh-CN"/>
        </w:rPr>
        <w:t>对有关单位和责任人员的处理建议</w:t>
      </w:r>
    </w:p>
    <w:p>
      <w:pPr>
        <w:pStyle w:val="17"/>
        <w:keepNext w:val="0"/>
        <w:keepLines w:val="0"/>
        <w:pageBreakBefore w:val="0"/>
        <w:shd w:val="clear" w:color="auto" w:fill="FFFFFF"/>
        <w:kinsoku/>
        <w:overflowPunct/>
        <w:topLinePunct w:val="0"/>
        <w:autoSpaceDE/>
        <w:autoSpaceDN/>
        <w:bidi w:val="0"/>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根据《中华人民共和国安全生产法》、《生产安全事故报告和调查处理条例》等法律、法规规定，调查组依据调查核实情况和事故原因分析，认定下列人员和单位应承担相应的责任，并提出处理建议如下：</w:t>
      </w:r>
    </w:p>
    <w:p>
      <w:pPr>
        <w:pStyle w:val="17"/>
        <w:numPr>
          <w:ilvl w:val="0"/>
          <w:numId w:val="3"/>
        </w:numPr>
        <w:shd w:val="clear" w:color="auto" w:fill="FFFFFF"/>
        <w:spacing w:before="0" w:beforeAutospacing="0" w:after="0" w:afterAutospacing="0" w:line="560" w:lineRule="exact"/>
        <w:ind w:firstLine="640"/>
        <w:jc w:val="both"/>
        <w:rPr>
          <w:rFonts w:hint="eastAsia" w:ascii="楷体" w:hAnsi="楷体" w:eastAsia="楷体" w:cs="楷体"/>
          <w:sz w:val="32"/>
          <w:szCs w:val="32"/>
        </w:rPr>
      </w:pPr>
      <w:r>
        <w:rPr>
          <w:rFonts w:hint="eastAsia" w:ascii="楷体" w:hAnsi="楷体" w:eastAsia="楷体" w:cs="楷体"/>
          <w:sz w:val="32"/>
          <w:szCs w:val="32"/>
        </w:rPr>
        <w:t>建议免于追究责任人员</w:t>
      </w:r>
    </w:p>
    <w:p>
      <w:pPr>
        <w:keepNext w:val="0"/>
        <w:keepLines w:val="0"/>
        <w:pageBreakBefore w:val="0"/>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刘*明</w:t>
      </w:r>
      <w:r>
        <w:rPr>
          <w:rFonts w:hint="eastAsia" w:ascii="仿宋_GB2312" w:hAnsi="仿宋_GB2312" w:eastAsia="仿宋_GB2312" w:cs="仿宋_GB2312"/>
          <w:sz w:val="32"/>
          <w:szCs w:val="32"/>
        </w:rPr>
        <w:t>安全作业基础知识匮乏，</w:t>
      </w:r>
      <w:r>
        <w:rPr>
          <w:rFonts w:hint="eastAsia" w:ascii="仿宋_GB2312" w:hAnsi="仿宋_GB2312" w:eastAsia="仿宋_GB2312" w:cs="仿宋_GB2312"/>
          <w:sz w:val="32"/>
          <w:szCs w:val="32"/>
          <w:lang w:eastAsia="zh-CN"/>
        </w:rPr>
        <w:t>在未取得相应从业资格情况下擅自冒险顶岗从事信号指挥工作</w:t>
      </w:r>
      <w:r>
        <w:rPr>
          <w:rFonts w:hint="eastAsia" w:ascii="仿宋_GB2312" w:hAnsi="仿宋_GB2312" w:eastAsia="仿宋_GB2312" w:cs="仿宋_GB2312"/>
          <w:sz w:val="32"/>
          <w:szCs w:val="32"/>
        </w:rPr>
        <w:t>，未能辨识</w:t>
      </w:r>
      <w:r>
        <w:rPr>
          <w:rFonts w:hint="eastAsia" w:ascii="仿宋_GB2312" w:hAnsi="仿宋_GB2312" w:eastAsia="仿宋_GB2312" w:cs="仿宋_GB2312"/>
          <w:sz w:val="32"/>
          <w:szCs w:val="32"/>
          <w:lang w:val="en-US" w:eastAsia="zh-CN"/>
        </w:rPr>
        <w:t>吊装</w:t>
      </w:r>
      <w:r>
        <w:rPr>
          <w:rFonts w:hint="eastAsia" w:ascii="仿宋_GB2312" w:hAnsi="仿宋_GB2312" w:eastAsia="仿宋_GB2312" w:cs="仿宋_GB2312"/>
          <w:sz w:val="32"/>
          <w:szCs w:val="32"/>
        </w:rPr>
        <w:t>作业过程中存在的安全隐患，</w:t>
      </w:r>
      <w:r>
        <w:rPr>
          <w:rFonts w:hint="eastAsia" w:ascii="仿宋_GB2312" w:hAnsi="仿宋_GB2312" w:eastAsia="仿宋_GB2312" w:cs="仿宋_GB2312"/>
          <w:sz w:val="32"/>
          <w:szCs w:val="32"/>
          <w:lang w:eastAsia="zh-CN"/>
        </w:rPr>
        <w:t>在未确认被吊物处于稳定状态情况下组织人员进行摘钩作业和指挥吊车起钩</w:t>
      </w:r>
      <w:r>
        <w:rPr>
          <w:rFonts w:hint="eastAsia" w:ascii="仿宋_GB2312" w:hAnsi="仿宋_GB2312" w:eastAsia="仿宋_GB2312" w:cs="仿宋_GB2312"/>
          <w:sz w:val="32"/>
          <w:szCs w:val="32"/>
          <w:lang w:val="en-US" w:eastAsia="zh-CN"/>
        </w:rPr>
        <w:t>,且在摘钩</w:t>
      </w:r>
      <w:r>
        <w:rPr>
          <w:rFonts w:hint="eastAsia" w:ascii="仿宋_GB2312" w:hAnsi="仿宋_GB2312" w:eastAsia="仿宋_GB2312" w:cs="仿宋_GB2312"/>
          <w:sz w:val="32"/>
          <w:szCs w:val="32"/>
          <w:lang w:eastAsia="zh-CN"/>
        </w:rPr>
        <w:t>完成后未第一时间撤离作业区域反而违规进入被吊物危险作业半径范围内</w:t>
      </w:r>
      <w:r>
        <w:rPr>
          <w:rFonts w:hint="eastAsia" w:ascii="仿宋_GB2312" w:hAnsi="仿宋_GB2312" w:eastAsia="仿宋_GB2312" w:cs="仿宋_GB2312"/>
          <w:sz w:val="32"/>
          <w:szCs w:val="32"/>
        </w:rPr>
        <w:t>，最终导致</w:t>
      </w:r>
      <w:r>
        <w:rPr>
          <w:rFonts w:hint="eastAsia" w:ascii="仿宋_GB2312" w:hAnsi="仿宋_GB2312" w:eastAsia="仿宋_GB2312" w:cs="仿宋_GB2312"/>
          <w:sz w:val="32"/>
          <w:szCs w:val="32"/>
          <w:lang w:eastAsia="zh-CN"/>
        </w:rPr>
        <w:t>此起</w:t>
      </w:r>
      <w:r>
        <w:rPr>
          <w:rFonts w:hint="eastAsia" w:ascii="仿宋_GB2312" w:hAnsi="仿宋_GB2312" w:eastAsia="仿宋_GB2312" w:cs="仿宋_GB2312"/>
          <w:sz w:val="32"/>
          <w:szCs w:val="32"/>
        </w:rPr>
        <w:t>事故发生。</w:t>
      </w:r>
      <w:r>
        <w:rPr>
          <w:rFonts w:hint="eastAsia" w:ascii="仿宋_GB2312" w:hAnsi="仿宋_GB2312" w:eastAsia="仿宋_GB2312" w:cs="仿宋_GB2312"/>
          <w:sz w:val="32"/>
          <w:szCs w:val="32"/>
          <w:lang w:val="en-US" w:eastAsia="zh-CN"/>
        </w:rPr>
        <w:t>其行为违反了《中华人民共和国安全生产法》第三十条和《建筑与市政施工现场安全卫生与职业健康通用规范》（</w:t>
      </w:r>
      <w:r>
        <w:rPr>
          <w:rFonts w:hint="eastAsia" w:ascii="仿宋_GB2312" w:hAnsi="仿宋_GB2312" w:eastAsia="仿宋_GB2312" w:cs="仿宋_GB2312"/>
          <w:sz w:val="32"/>
          <w:szCs w:val="32"/>
          <w:lang w:val="en-US" w:eastAsia="zh"/>
        </w:rPr>
        <w:t>GB</w:t>
      </w:r>
    </w:p>
    <w:p>
      <w:pPr>
        <w:keepNext w:val="0"/>
        <w:keepLines w:val="0"/>
        <w:pageBreakBefore w:val="0"/>
        <w:kinsoku/>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55034-2022）第3.4.1条的规定，</w:t>
      </w:r>
      <w:r>
        <w:rPr>
          <w:rFonts w:hint="eastAsia" w:ascii="仿宋_GB2312" w:hAnsi="仿宋_GB2312" w:eastAsia="仿宋_GB2312" w:cs="仿宋_GB2312"/>
          <w:sz w:val="32"/>
          <w:szCs w:val="32"/>
        </w:rPr>
        <w:t>鉴于其已经死亡，建议不予追究其责任。</w:t>
      </w:r>
    </w:p>
    <w:p>
      <w:pPr>
        <w:pStyle w:val="17"/>
        <w:shd w:val="clear" w:color="auto" w:fill="FFFFFF"/>
        <w:spacing w:before="0" w:beforeAutospacing="0" w:after="0" w:afterAutospacing="0" w:line="560" w:lineRule="exact"/>
        <w:ind w:firstLine="640"/>
        <w:jc w:val="both"/>
        <w:rPr>
          <w:rFonts w:hint="eastAsia" w:ascii="楷体_GB2312" w:hAnsi="楷体_GB2312" w:eastAsia="楷体_GB2312" w:cs="楷体_GB2312"/>
          <w:kern w:val="0"/>
          <w:sz w:val="32"/>
          <w:szCs w:val="32"/>
        </w:rPr>
      </w:pPr>
      <w:r>
        <w:rPr>
          <w:rFonts w:hint="eastAsia" w:ascii="楷体" w:hAnsi="楷体" w:eastAsia="楷体" w:cs="楷体"/>
          <w:sz w:val="32"/>
          <w:szCs w:val="32"/>
        </w:rPr>
        <w:t>（二）</w:t>
      </w:r>
      <w:r>
        <w:rPr>
          <w:rFonts w:hint="eastAsia" w:ascii="楷体_GB2312" w:hAnsi="楷体_GB2312" w:eastAsia="楷体_GB2312" w:cs="楷体_GB2312"/>
          <w:kern w:val="0"/>
          <w:sz w:val="32"/>
          <w:szCs w:val="32"/>
        </w:rPr>
        <w:t>建议给予行政处罚单位及人员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1.河北省水利工程局集团有限公司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能严格履行安全生产主体责任，对作业人员的教育培训不到位、不扎实，间接导致作业人员不熟悉岗位风险，对吊装作业相关注意事项不掌握；对现场作业人员的安全管理、监督检查不到位，未能教育督促从业人员严格执行本单位的安全生产规章制度和安全操作规程；未能采取技术、管理措施，及时发现并消除安全隐患</w:t>
      </w:r>
      <w:r>
        <w:rPr>
          <w:rFonts w:hint="eastAsia" w:ascii="仿宋_GB2312" w:hAnsi="仿宋_GB2312" w:eastAsia="仿宋_GB2312" w:cs="仿宋_GB2312"/>
          <w:sz w:val="32"/>
          <w:szCs w:val="32"/>
          <w:lang w:eastAsia="zh-CN"/>
        </w:rPr>
        <w:t>。以上事实违反了《中华人民共和国安全生产法》第二十八条第二款、第四十一条第二款和第四十四条第一款的规定，对事故负有管理责任，依据《中华人民共和国安全生产法》</w:t>
      </w:r>
      <w:bookmarkStart w:id="0" w:name="_Hlk174130122"/>
      <w:r>
        <w:rPr>
          <w:rFonts w:hint="eastAsia" w:ascii="仿宋_GB2312" w:hAnsi="仿宋_GB2312" w:eastAsia="仿宋_GB2312" w:cs="仿宋_GB2312"/>
          <w:sz w:val="32"/>
          <w:szCs w:val="32"/>
          <w:lang w:eastAsia="zh-CN"/>
        </w:rPr>
        <w:t>第一百一十四条第一款第（一）项</w:t>
      </w:r>
      <w:bookmarkEnd w:id="0"/>
      <w:r>
        <w:rPr>
          <w:rFonts w:hint="eastAsia" w:ascii="仿宋_GB2312" w:hAnsi="仿宋_GB2312" w:eastAsia="仿宋_GB2312" w:cs="仿宋_GB2312"/>
          <w:sz w:val="32"/>
          <w:szCs w:val="32"/>
          <w:lang w:eastAsia="zh-CN"/>
        </w:rPr>
        <w:t>的规定，建议由应急管理部门给予</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lang w:eastAsia="zh-CN"/>
        </w:rPr>
        <w:t>罚款的行政处罚</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2.河北省水利工程局集团有限公司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刘*</w:t>
      </w:r>
      <w:bookmarkStart w:id="1" w:name="_GoBack"/>
      <w:bookmarkEnd w:id="1"/>
      <w:r>
        <w:rPr>
          <w:rFonts w:hint="eastAsia" w:ascii="仿宋_GB2312" w:hAnsi="仿宋_GB2312" w:eastAsia="仿宋_GB2312" w:cs="仿宋_GB2312"/>
          <w:sz w:val="32"/>
          <w:szCs w:val="32"/>
          <w:lang w:eastAsia="zh-CN"/>
        </w:rPr>
        <w:t>作为本单位安全生产第一责任人，对本单位安全生产工作督促、检查不到位，未能及时消除生产安全事故隐患；</w:t>
      </w:r>
      <w:r>
        <w:rPr>
          <w:rFonts w:hint="eastAsia" w:ascii="仿宋_GB2312" w:hAnsi="仿宋" w:eastAsia="仿宋_GB2312" w:cs="仿宋_GB2312"/>
          <w:color w:val="auto"/>
          <w:sz w:val="32"/>
          <w:szCs w:val="32"/>
        </w:rPr>
        <w:t>以上事实违反了</w:t>
      </w:r>
      <w:r>
        <w:rPr>
          <w:rFonts w:hint="eastAsia" w:ascii="仿宋_GB2312" w:hAnsi="仿宋" w:eastAsia="仿宋_GB2312" w:cs="仿宋_GB2312"/>
          <w:sz w:val="32"/>
          <w:szCs w:val="32"/>
          <w:lang w:eastAsia="zh-CN"/>
        </w:rPr>
        <w:t>《中华人民共和国安全生产法》第二十一条第（五）项</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对事故负有责任，</w:t>
      </w:r>
      <w:r>
        <w:rPr>
          <w:rFonts w:hint="eastAsia" w:ascii="仿宋_GB2312" w:hAnsi="仿宋" w:eastAsia="仿宋_GB2312" w:cs="仿宋_GB2312"/>
          <w:sz w:val="32"/>
          <w:szCs w:val="32"/>
          <w:lang w:eastAsia="zh-CN"/>
        </w:rPr>
        <w:t>依据《中华人民共和国安全生产法》第九十五条第（一）项的规定，建议由应</w:t>
      </w:r>
      <w:r>
        <w:rPr>
          <w:rFonts w:hint="eastAsia" w:ascii="仿宋_GB2312" w:hAnsi="仿宋_GB2312" w:eastAsia="仿宋_GB2312" w:cs="仿宋_GB2312"/>
          <w:sz w:val="32"/>
          <w:szCs w:val="32"/>
          <w:lang w:val="en-US" w:eastAsia="zh-CN"/>
        </w:rPr>
        <w:t>急管理部门给予其上一年度年收入百分之四十罚款的行政处罚。</w:t>
      </w:r>
    </w:p>
    <w:p>
      <w:pPr>
        <w:keepNext w:val="0"/>
        <w:keepLines w:val="0"/>
        <w:pageBreakBefore w:val="0"/>
        <w:numPr>
          <w:ilvl w:val="0"/>
          <w:numId w:val="0"/>
        </w:numPr>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3.司机蔡*岩在未对指挥手势信号主体进行认真核验且在视线受阻情况下，违规听从无证普通作业人员发出的手势指令，未严格落</w:t>
      </w:r>
      <w:r>
        <w:rPr>
          <w:rFonts w:hint="default" w:ascii="仿宋_GB2312" w:hAnsi="仿宋_GB2312" w:eastAsia="仿宋_GB2312" w:cs="仿宋_GB2312"/>
          <w:sz w:val="32"/>
          <w:szCs w:val="32"/>
          <w:lang w:val="en-US" w:eastAsia="zh-CN"/>
        </w:rPr>
        <w:t>实岗位安全责任</w:t>
      </w:r>
      <w:r>
        <w:rPr>
          <w:rFonts w:hint="eastAsia" w:ascii="仿宋_GB2312" w:hAnsi="仿宋_GB2312" w:eastAsia="仿宋_GB2312" w:cs="仿宋_GB2312"/>
          <w:sz w:val="32"/>
          <w:szCs w:val="32"/>
          <w:lang w:val="en-US" w:eastAsia="zh-CN"/>
        </w:rPr>
        <w:t>，其行为违反了《起重机械安全规程第一部分:总则》(GB6067.1-2010)第12.3.1条的规定，</w:t>
      </w:r>
      <w:r>
        <w:rPr>
          <w:rFonts w:hint="eastAsia" w:ascii="仿宋_GB2312" w:hAnsi="仿宋" w:eastAsia="仿宋_GB2312" w:cs="仿宋_GB2312"/>
          <w:sz w:val="32"/>
          <w:szCs w:val="32"/>
          <w:lang w:eastAsia="zh-CN"/>
        </w:rPr>
        <w:t>建议</w:t>
      </w:r>
      <w:r>
        <w:rPr>
          <w:rFonts w:hint="eastAsia" w:ascii="仿宋_GB2312" w:hAnsi="仿宋" w:eastAsia="仿宋_GB2312" w:cs="仿宋_GB2312"/>
          <w:iCs/>
          <w:sz w:val="32"/>
          <w:szCs w:val="32"/>
          <w:lang w:val="en-US" w:eastAsia="zh-CN"/>
        </w:rPr>
        <w:t>责成</w:t>
      </w:r>
      <w:r>
        <w:rPr>
          <w:rFonts w:hint="eastAsia" w:ascii="仿宋_GB2312" w:hAnsi="仿宋_GB2312" w:eastAsia="仿宋_GB2312" w:cs="仿宋_GB2312"/>
          <w:sz w:val="32"/>
          <w:szCs w:val="32"/>
          <w:lang w:val="en-US" w:eastAsia="zh-CN"/>
        </w:rPr>
        <w:t>河北省水利工程局集团有限公司依据相应管理制度规定</w:t>
      </w:r>
      <w:r>
        <w:rPr>
          <w:rFonts w:hint="eastAsia" w:ascii="仿宋_GB2312" w:hAnsi="仿宋" w:eastAsia="仿宋_GB2312" w:cs="仿宋_GB2312"/>
          <w:iCs/>
          <w:sz w:val="32"/>
          <w:szCs w:val="32"/>
          <w:lang w:val="en-US" w:eastAsia="zh-CN"/>
        </w:rPr>
        <w:t>给予其相应处理。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Cs/>
          <w:sz w:val="32"/>
          <w:szCs w:val="32"/>
        </w:rPr>
      </w:pPr>
      <w:r>
        <w:rPr>
          <w:rFonts w:hint="eastAsia" w:ascii="黑体" w:hAnsi="黑体" w:eastAsia="黑体" w:cs="仿宋_GB2312"/>
          <w:iCs/>
          <w:color w:val="auto"/>
          <w:sz w:val="32"/>
          <w:szCs w:val="32"/>
          <w:lang w:eastAsia="zh-CN"/>
        </w:rPr>
        <w:t>五</w:t>
      </w:r>
      <w:r>
        <w:rPr>
          <w:rFonts w:hint="eastAsia" w:ascii="黑体" w:hAnsi="黑体" w:eastAsia="黑体" w:cs="仿宋_GB2312"/>
          <w:iCs/>
          <w:color w:val="auto"/>
          <w:sz w:val="32"/>
          <w:szCs w:val="32"/>
        </w:rPr>
        <w:t>、事故防范和整改措施建议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仿宋_GB2312" w:eastAsia="仿宋_GB2312" w:cs="仿宋_GB2312"/>
          <w:iCs/>
          <w:sz w:val="32"/>
          <w:szCs w:val="32"/>
        </w:rPr>
        <w:t>（一）</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rPr>
        <w:t>要深刻吸取事故教训，进一步严格落实企业安全生产主体责任，</w:t>
      </w:r>
      <w:r>
        <w:rPr>
          <w:rFonts w:hint="eastAsia" w:ascii="仿宋_GB2312" w:hAnsi="仿宋_GB2312" w:eastAsia="仿宋_GB2312" w:cs="仿宋_GB2312"/>
          <w:sz w:val="32"/>
          <w:szCs w:val="32"/>
          <w:lang w:eastAsia="zh-CN"/>
        </w:rPr>
        <w:t>加强对所有从业人员的安全管理，教育和督促其严格执行本单位的安全生产规章制度和安全操作规程，</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对施工作业区域内各种事故隐患和危险因素做好辨识和告知工作，</w:t>
      </w:r>
      <w:r>
        <w:rPr>
          <w:rFonts w:hint="eastAsia" w:ascii="仿宋_GB2312" w:hAnsi="仿宋_GB2312" w:eastAsia="仿宋_GB2312" w:cs="仿宋_GB2312"/>
          <w:sz w:val="32"/>
          <w:szCs w:val="32"/>
        </w:rPr>
        <w:t>有针对性的开展</w:t>
      </w:r>
      <w:r>
        <w:rPr>
          <w:rFonts w:hint="eastAsia" w:ascii="仿宋_GB2312" w:hAnsi="仿宋_GB2312" w:eastAsia="仿宋_GB2312" w:cs="仿宋_GB2312"/>
          <w:sz w:val="32"/>
          <w:szCs w:val="32"/>
          <w:lang w:eastAsia="zh-CN"/>
        </w:rPr>
        <w:t>好安全生产</w:t>
      </w:r>
      <w:r>
        <w:rPr>
          <w:rFonts w:hint="eastAsia" w:ascii="仿宋_GB2312" w:hAnsi="仿宋_GB2312" w:eastAsia="仿宋_GB2312" w:cs="仿宋_GB2312"/>
          <w:sz w:val="32"/>
          <w:szCs w:val="32"/>
        </w:rPr>
        <w:t>教育、培训和考核</w:t>
      </w:r>
      <w:r>
        <w:rPr>
          <w:rFonts w:hint="eastAsia" w:ascii="仿宋_GB2312" w:hAnsi="仿宋_GB2312" w:eastAsia="仿宋_GB2312" w:cs="仿宋_GB2312"/>
          <w:sz w:val="32"/>
          <w:szCs w:val="32"/>
          <w:lang w:eastAsia="zh-CN"/>
        </w:rPr>
        <w:t>以及安全技术交底工作</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lang w:eastAsia="zh-CN"/>
        </w:rPr>
        <w:t>如实告知从业人员作业场所和工作岗位存在的危险因素、防范措施及事故应急措施，努力提高作业人员的自我保护意识，从源头上预防生产安全事故的发生；</w:t>
      </w:r>
      <w:r>
        <w:rPr>
          <w:rFonts w:hint="eastAsia" w:ascii="仿宋_GB2312" w:hAnsi="仿宋_GB2312" w:eastAsia="仿宋_GB2312" w:cs="仿宋_GB2312"/>
          <w:sz w:val="32"/>
          <w:szCs w:val="32"/>
          <w:lang w:eastAsia="zh-CN"/>
        </w:rPr>
        <w:t>对日常作业中发现的安全隐患和问题，及时采取技术和管理措施予以排除</w:t>
      </w:r>
      <w:r>
        <w:rPr>
          <w:rFonts w:hint="eastAsia" w:ascii="仿宋_GB2312" w:hAnsi="仿宋_GB2312" w:eastAsia="仿宋_GB2312" w:cs="仿宋_GB2312"/>
          <w:sz w:val="32"/>
          <w:szCs w:val="32"/>
        </w:rPr>
        <w:t>，</w:t>
      </w:r>
      <w:r>
        <w:rPr>
          <w:rFonts w:hint="eastAsia" w:ascii="仿宋_GB2312" w:hAnsi="华文仿宋" w:eastAsia="仿宋_GB2312" w:cs="宋体"/>
          <w:kern w:val="0"/>
          <w:sz w:val="32"/>
          <w:szCs w:val="32"/>
          <w:lang w:val="en-US" w:eastAsia="zh-CN" w:bidi="ar-SA"/>
        </w:rPr>
        <w:t>要对安全生产状况进行经常性检查、巡查</w:t>
      </w:r>
      <w:r>
        <w:rPr>
          <w:rFonts w:hint="eastAsia" w:ascii="仿宋_GB2312" w:hAnsi="仿宋" w:eastAsia="仿宋_GB2312" w:cs="仿宋_GB2312"/>
          <w:sz w:val="32"/>
          <w:szCs w:val="32"/>
          <w:lang w:eastAsia="zh-CN"/>
        </w:rPr>
        <w:t>，安排专职的安全管理人员对作业现场进行监督管理，从严查处从业人员违章作业行为，严格保证特种作业操作人员务必持证上岗作业，且不得擅自离开工作岗位。确保各项安全管理措施落到实处</w:t>
      </w:r>
      <w:r>
        <w:rPr>
          <w:rFonts w:hint="eastAsia" w:ascii="仿宋_GB2312" w:hAnsi="仿宋_GB2312" w:eastAsia="仿宋_GB2312" w:cs="仿宋_GB2312"/>
          <w:sz w:val="32"/>
          <w:szCs w:val="32"/>
          <w:lang w:eastAsia="zh-CN"/>
        </w:rPr>
        <w:t>，通过加大各方面安全管理力度，坚决杜绝生产安全事故的再次发生</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_GB2312" w:eastAsia="仿宋_GB2312" w:cs="仿宋_GB2312"/>
          <w:iCs/>
          <w:kern w:val="2"/>
          <w:sz w:val="32"/>
          <w:szCs w:val="32"/>
        </w:rPr>
        <w:t>（</w:t>
      </w:r>
      <w:r>
        <w:rPr>
          <w:rFonts w:hint="eastAsia" w:ascii="仿宋_GB2312" w:hAnsi="仿宋_GB2312" w:eastAsia="仿宋_GB2312" w:cs="仿宋_GB2312"/>
          <w:iCs/>
          <w:kern w:val="2"/>
          <w:sz w:val="32"/>
          <w:szCs w:val="32"/>
          <w:lang w:eastAsia="zh-CN"/>
        </w:rPr>
        <w:t>二</w:t>
      </w:r>
      <w:r>
        <w:rPr>
          <w:rFonts w:hint="eastAsia" w:ascii="仿宋_GB2312" w:hAnsi="仿宋_GB2312" w:eastAsia="仿宋_GB2312" w:cs="仿宋_GB2312"/>
          <w:iCs/>
          <w:kern w:val="2"/>
          <w:sz w:val="32"/>
          <w:szCs w:val="32"/>
        </w:rPr>
        <w:t>）</w:t>
      </w:r>
      <w:r>
        <w:rPr>
          <w:rFonts w:hint="eastAsia" w:ascii="仿宋_GB2312" w:hAnsi="仿宋_GB2312" w:eastAsia="仿宋_GB2312" w:cs="仿宋_GB2312"/>
          <w:sz w:val="32"/>
          <w:szCs w:val="32"/>
          <w:lang w:val="en-US" w:eastAsia="zh-CN"/>
        </w:rPr>
        <w:t>河北省水利工程局集团有限公司</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lang w:val="en-US" w:eastAsia="zh-CN"/>
        </w:rPr>
        <w:t>刘斌</w:t>
      </w:r>
      <w:r>
        <w:rPr>
          <w:rFonts w:hint="eastAsia" w:ascii="仿宋_GB2312" w:hAnsi="仿宋" w:eastAsia="仿宋_GB2312" w:cs="仿宋_GB2312"/>
          <w:iCs/>
          <w:kern w:val="2"/>
          <w:sz w:val="32"/>
          <w:szCs w:val="32"/>
          <w:lang w:eastAsia="zh-CN"/>
        </w:rPr>
        <w:t>，要</w:t>
      </w:r>
      <w:r>
        <w:rPr>
          <w:rFonts w:hint="eastAsia" w:ascii="仿宋_GB2312" w:hAnsi="仿宋" w:eastAsia="仿宋_GB2312" w:cs="仿宋_GB2312"/>
          <w:iCs/>
          <w:kern w:val="2"/>
          <w:sz w:val="32"/>
          <w:szCs w:val="32"/>
          <w:lang w:val="en-US" w:eastAsia="zh-CN" w:bidi="ar-SA"/>
        </w:rPr>
        <w:t>认真汲取事故教训，切实担负并正确履行自身职责，严格按照安全生产相关法律法规和国家标准、行业标准的规定，加强对本单位各项安全管理工作的督促和检查，加大安全巡视和检查力度，及时消除生产安全事故隐患，杜绝类似事故的再次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（三）要求建设单位和监理单位进一步完善工作制度、程序和方法措施，紧盯易发安全事故的作业环节和区域，细化落实工作分工、管理责任和防控措施，确保施工安全。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iCs/>
          <w:kern w:val="2"/>
          <w:sz w:val="32"/>
          <w:szCs w:val="32"/>
          <w:lang w:val="en-US" w:eastAsia="zh-CN" w:bidi="ar-SA"/>
        </w:rPr>
      </w:pPr>
      <w:r>
        <w:rPr>
          <w:rFonts w:hint="eastAsia" w:ascii="仿宋_GB2312" w:hAnsi="仿宋" w:eastAsia="仿宋_GB2312" w:cs="仿宋_GB2312"/>
          <w:iCs/>
          <w:kern w:val="2"/>
          <w:sz w:val="32"/>
          <w:szCs w:val="32"/>
          <w:lang w:val="en-US" w:eastAsia="zh-CN" w:bidi="ar-SA"/>
        </w:rPr>
        <w:t>（四）全区各建筑施工企业要深刻吸取此次事故教训，务必深以为戒，举一反三，痛定思痛。进一步规范本单位各项安全生产管理活动，建立、健全并严格落实安全生产责任制，认真仔细查找施工作业现场存在的生产安全事故隐患，从严查处施工作业过程中出现的违规作业行为，对各类安全隐患和违法违规行为采取“零容忍”的态度。要如实告知从业人员作业场所和工作岗位存在的危险因素、预防措施及事故应急措施，提高作业人员的自我保护意识，坚决杜绝各类事故的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Cs/>
          <w:sz w:val="32"/>
          <w:szCs w:val="32"/>
          <w:lang w:val="en-US" w:eastAsia="zh-CN"/>
        </w:rPr>
      </w:pPr>
      <w:r>
        <w:rPr>
          <w:rFonts w:hint="eastAsia" w:ascii="仿宋_GB2312" w:hAnsi="仿宋" w:eastAsia="仿宋_GB2312" w:cs="仿宋_GB2312"/>
          <w:iCs/>
          <w:kern w:val="2"/>
          <w:sz w:val="32"/>
          <w:szCs w:val="32"/>
          <w:lang w:val="en-US" w:eastAsia="zh-CN" w:bidi="ar-SA"/>
        </w:rPr>
        <w:t>（五）行业监管部门和属地政府</w:t>
      </w:r>
      <w:r>
        <w:rPr>
          <w:rFonts w:hint="default" w:ascii="仿宋_GB2312" w:hAnsi="仿宋" w:eastAsia="仿宋_GB2312" w:cs="仿宋_GB2312"/>
          <w:iCs/>
          <w:kern w:val="2"/>
          <w:sz w:val="32"/>
          <w:szCs w:val="32"/>
          <w:lang w:val="en-US" w:eastAsia="zh-CN" w:bidi="ar-SA"/>
        </w:rPr>
        <w:t>要切实履行</w:t>
      </w:r>
      <w:r>
        <w:rPr>
          <w:rFonts w:hint="eastAsia" w:ascii="仿宋_GB2312" w:hAnsi="仿宋" w:eastAsia="仿宋_GB2312" w:cs="仿宋_GB2312"/>
          <w:iCs/>
          <w:kern w:val="2"/>
          <w:sz w:val="32"/>
          <w:szCs w:val="32"/>
          <w:lang w:val="en-US" w:eastAsia="zh-CN" w:bidi="ar-SA"/>
        </w:rPr>
        <w:t>行业监管和</w:t>
      </w:r>
      <w:r>
        <w:rPr>
          <w:rFonts w:hint="default" w:ascii="仿宋_GB2312" w:hAnsi="仿宋" w:eastAsia="仿宋_GB2312" w:cs="仿宋_GB2312"/>
          <w:iCs/>
          <w:kern w:val="2"/>
          <w:sz w:val="32"/>
          <w:szCs w:val="32"/>
          <w:lang w:val="en-US" w:eastAsia="zh-CN" w:bidi="ar-SA"/>
        </w:rPr>
        <w:t>属地监管职责，加强对</w:t>
      </w:r>
      <w:r>
        <w:rPr>
          <w:rFonts w:hint="eastAsia" w:ascii="仿宋_GB2312" w:hAnsi="仿宋" w:eastAsia="仿宋_GB2312" w:cs="仿宋_GB2312"/>
          <w:iCs/>
          <w:kern w:val="2"/>
          <w:sz w:val="32"/>
          <w:szCs w:val="32"/>
          <w:lang w:val="en-US" w:eastAsia="zh-CN" w:bidi="ar-SA"/>
        </w:rPr>
        <w:t>本行业、</w:t>
      </w:r>
      <w:r>
        <w:rPr>
          <w:rFonts w:hint="default" w:ascii="仿宋_GB2312" w:hAnsi="仿宋" w:eastAsia="仿宋_GB2312" w:cs="仿宋_GB2312"/>
          <w:iCs/>
          <w:kern w:val="2"/>
          <w:sz w:val="32"/>
          <w:szCs w:val="32"/>
          <w:lang w:val="en-US" w:eastAsia="zh-CN" w:bidi="ar-SA"/>
        </w:rPr>
        <w:t>本行政区域内生产经营单位安全生产状况的监督检查</w:t>
      </w:r>
      <w:r>
        <w:rPr>
          <w:rFonts w:hint="eastAsia" w:ascii="仿宋_GB2312" w:hAnsi="仿宋" w:eastAsia="仿宋_GB2312" w:cs="仿宋_GB2312"/>
          <w:iCs/>
          <w:kern w:val="2"/>
          <w:sz w:val="32"/>
          <w:szCs w:val="32"/>
          <w:lang w:val="en-US" w:eastAsia="zh-CN" w:bidi="ar-SA"/>
        </w:rPr>
        <w:t>。同时</w:t>
      </w:r>
      <w:r>
        <w:rPr>
          <w:rFonts w:hint="default" w:ascii="仿宋_GB2312" w:hAnsi="仿宋" w:eastAsia="仿宋_GB2312" w:cs="仿宋_GB2312"/>
          <w:iCs/>
          <w:kern w:val="2"/>
          <w:sz w:val="32"/>
          <w:szCs w:val="32"/>
          <w:lang w:val="en-US" w:eastAsia="zh-CN" w:bidi="ar-SA"/>
        </w:rPr>
        <w:t>立即组织开展同</w:t>
      </w:r>
      <w:r>
        <w:rPr>
          <w:rFonts w:hint="eastAsia" w:ascii="仿宋_GB2312" w:hAnsi="仿宋" w:eastAsia="仿宋_GB2312" w:cs="仿宋_GB2312"/>
          <w:iCs/>
          <w:kern w:val="2"/>
          <w:sz w:val="32"/>
          <w:szCs w:val="32"/>
          <w:lang w:val="en-US" w:eastAsia="zh-CN" w:bidi="ar-SA"/>
        </w:rPr>
        <w:t>类型</w:t>
      </w:r>
      <w:r>
        <w:rPr>
          <w:rFonts w:hint="default" w:ascii="仿宋_GB2312" w:hAnsi="仿宋" w:eastAsia="仿宋_GB2312" w:cs="仿宋_GB2312"/>
          <w:iCs/>
          <w:kern w:val="2"/>
          <w:sz w:val="32"/>
          <w:szCs w:val="32"/>
          <w:lang w:val="en-US" w:eastAsia="zh-CN" w:bidi="ar-SA"/>
        </w:rPr>
        <w:t>生产经营单位的现场事故警示教育，结合媒体进行新闻报道强化宣传，进一步压实生产经营单位安全生产主体责任，督促生产经营单位落实各项安全生产工作，将事故隐患消灭在萌芽状态。</w:t>
      </w:r>
    </w:p>
    <w:p>
      <w:pPr>
        <w:keepNext w:val="0"/>
        <w:keepLines w:val="0"/>
        <w:pageBreakBefore w:val="0"/>
        <w:tabs>
          <w:tab w:val="left" w:pos="7104"/>
        </w:tabs>
        <w:kinsoku/>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p>
    <w:p>
      <w:pPr>
        <w:pStyle w:val="2"/>
        <w:ind w:left="0" w:leftChars="0" w:firstLine="0" w:firstLineChars="0"/>
        <w:rPr>
          <w:rFonts w:hint="eastAsia" w:ascii="仿宋_GB2312" w:hAnsi="仿宋_GB2312" w:eastAsia="仿宋_GB2312" w:cs="仿宋_GB2312"/>
          <w:sz w:val="32"/>
          <w:szCs w:val="32"/>
        </w:rPr>
      </w:pPr>
    </w:p>
    <w:p>
      <w:pPr>
        <w:pStyle w:val="26"/>
        <w:rPr>
          <w:rFonts w:hint="eastAsia" w:ascii="仿宋_GB2312" w:hAnsi="仿宋_GB2312" w:eastAsia="仿宋_GB2312" w:cs="仿宋_GB2312"/>
          <w:sz w:val="32"/>
          <w:szCs w:val="32"/>
        </w:rPr>
      </w:pPr>
    </w:p>
    <w:p>
      <w:pPr>
        <w:pStyle w:val="26"/>
        <w:rPr>
          <w:rFonts w:hint="eastAsia" w:ascii="仿宋_GB2312" w:hAnsi="仿宋_GB2312" w:eastAsia="仿宋_GB2312" w:cs="仿宋_GB2312"/>
          <w:sz w:val="32"/>
          <w:szCs w:val="32"/>
        </w:rPr>
      </w:pPr>
    </w:p>
    <w:p>
      <w:pPr>
        <w:pStyle w:val="26"/>
        <w:rPr>
          <w:rFonts w:hint="eastAsia" w:ascii="仿宋_GB2312" w:hAnsi="仿宋_GB2312" w:eastAsia="仿宋_GB2312" w:cs="仿宋_GB2312"/>
          <w:sz w:val="32"/>
          <w:szCs w:val="32"/>
        </w:rPr>
      </w:pPr>
    </w:p>
    <w:p>
      <w:pPr>
        <w:pStyle w:val="4"/>
        <w:tabs>
          <w:tab w:val="left" w:pos="4860"/>
        </w:tabs>
        <w:spacing w:line="560" w:lineRule="exact"/>
        <w:ind w:left="0" w:leftChars="0" w:firstLine="0" w:firstLineChars="0"/>
        <w:rPr>
          <w:rFonts w:hint="eastAsia"/>
          <w:spacing w:val="-20"/>
          <w:sz w:val="28"/>
          <w:szCs w:val="28"/>
        </w:rPr>
      </w:pPr>
    </w:p>
    <w:sectPr>
      <w:headerReference r:id="rId3" w:type="default"/>
      <w:footerReference r:id="rId4" w:type="default"/>
      <w:pgSz w:w="11906" w:h="16838"/>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FZXiaoBiaoSong-B05S">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大黑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altName w:val="汉仪仿宋简"/>
    <w:panose1 w:val="02010600040101010101"/>
    <w:charset w:val="00"/>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70535"/>
    <w:multiLevelType w:val="singleLevel"/>
    <w:tmpl w:val="DA670535"/>
    <w:lvl w:ilvl="0" w:tentative="0">
      <w:start w:val="4"/>
      <w:numFmt w:val="chineseCounting"/>
      <w:suff w:val="nothing"/>
      <w:lvlText w:val="（%1）"/>
      <w:lvlJc w:val="left"/>
      <w:rPr>
        <w:rFonts w:hint="eastAsia"/>
      </w:rPr>
    </w:lvl>
  </w:abstractNum>
  <w:abstractNum w:abstractNumId="1">
    <w:nsid w:val="F776A741"/>
    <w:multiLevelType w:val="singleLevel"/>
    <w:tmpl w:val="F776A741"/>
    <w:lvl w:ilvl="0" w:tentative="0">
      <w:start w:val="1"/>
      <w:numFmt w:val="chineseCounting"/>
      <w:suff w:val="nothing"/>
      <w:lvlText w:val="（%1）"/>
      <w:lvlJc w:val="left"/>
      <w:rPr>
        <w:rFonts w:hint="eastAsia"/>
      </w:rPr>
    </w:lvl>
  </w:abstractNum>
  <w:abstractNum w:abstractNumId="2">
    <w:nsid w:val="FB7F0ED4"/>
    <w:multiLevelType w:val="singleLevel"/>
    <w:tmpl w:val="FB7F0ED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GIxM2NlYjcxYWNlZWRlNjkzMzU1YjZhYjgzMmYifQ=="/>
  </w:docVars>
  <w:rsids>
    <w:rsidRoot w:val="006943C3"/>
    <w:rsid w:val="00003E8D"/>
    <w:rsid w:val="00031DD2"/>
    <w:rsid w:val="00033CF6"/>
    <w:rsid w:val="000C0E01"/>
    <w:rsid w:val="000D7FA7"/>
    <w:rsid w:val="000F6A44"/>
    <w:rsid w:val="00103DDC"/>
    <w:rsid w:val="001338FD"/>
    <w:rsid w:val="0014116B"/>
    <w:rsid w:val="00155F85"/>
    <w:rsid w:val="0016682B"/>
    <w:rsid w:val="00172E78"/>
    <w:rsid w:val="00182C44"/>
    <w:rsid w:val="00197BA0"/>
    <w:rsid w:val="001F6AAF"/>
    <w:rsid w:val="002149AD"/>
    <w:rsid w:val="002212FD"/>
    <w:rsid w:val="002377BF"/>
    <w:rsid w:val="00250EC4"/>
    <w:rsid w:val="002C2B32"/>
    <w:rsid w:val="002E6DB4"/>
    <w:rsid w:val="003173C0"/>
    <w:rsid w:val="0036147B"/>
    <w:rsid w:val="00361DAE"/>
    <w:rsid w:val="00364309"/>
    <w:rsid w:val="0037542D"/>
    <w:rsid w:val="003871A3"/>
    <w:rsid w:val="003A400A"/>
    <w:rsid w:val="003E2C59"/>
    <w:rsid w:val="003F730C"/>
    <w:rsid w:val="0044471B"/>
    <w:rsid w:val="004C236D"/>
    <w:rsid w:val="004F49A9"/>
    <w:rsid w:val="005A3487"/>
    <w:rsid w:val="005C0CE9"/>
    <w:rsid w:val="005D3678"/>
    <w:rsid w:val="006451F5"/>
    <w:rsid w:val="00655139"/>
    <w:rsid w:val="00680232"/>
    <w:rsid w:val="006943C3"/>
    <w:rsid w:val="006A097B"/>
    <w:rsid w:val="006E7946"/>
    <w:rsid w:val="006F233A"/>
    <w:rsid w:val="00745C4F"/>
    <w:rsid w:val="00784F17"/>
    <w:rsid w:val="007B4266"/>
    <w:rsid w:val="0081344D"/>
    <w:rsid w:val="008152B0"/>
    <w:rsid w:val="0082666B"/>
    <w:rsid w:val="0084437D"/>
    <w:rsid w:val="0085207B"/>
    <w:rsid w:val="008624C0"/>
    <w:rsid w:val="0086616D"/>
    <w:rsid w:val="00866EA0"/>
    <w:rsid w:val="008C2756"/>
    <w:rsid w:val="008D0461"/>
    <w:rsid w:val="008D731A"/>
    <w:rsid w:val="008F0AA4"/>
    <w:rsid w:val="009133A5"/>
    <w:rsid w:val="009304C7"/>
    <w:rsid w:val="00960362"/>
    <w:rsid w:val="00977FD2"/>
    <w:rsid w:val="009842C7"/>
    <w:rsid w:val="009A2C74"/>
    <w:rsid w:val="009A6F41"/>
    <w:rsid w:val="009C0B68"/>
    <w:rsid w:val="009C1C6D"/>
    <w:rsid w:val="00A6664B"/>
    <w:rsid w:val="00A67077"/>
    <w:rsid w:val="00A775F8"/>
    <w:rsid w:val="00A96DD2"/>
    <w:rsid w:val="00AC32C4"/>
    <w:rsid w:val="00AC54F8"/>
    <w:rsid w:val="00B6432D"/>
    <w:rsid w:val="00BD4E36"/>
    <w:rsid w:val="00BF16CD"/>
    <w:rsid w:val="00C44D22"/>
    <w:rsid w:val="00C857D5"/>
    <w:rsid w:val="00CC0993"/>
    <w:rsid w:val="00CE2385"/>
    <w:rsid w:val="00CE4859"/>
    <w:rsid w:val="00D11858"/>
    <w:rsid w:val="00D11C34"/>
    <w:rsid w:val="00D25713"/>
    <w:rsid w:val="00D8699D"/>
    <w:rsid w:val="00D91B53"/>
    <w:rsid w:val="00DC09A0"/>
    <w:rsid w:val="00DC4604"/>
    <w:rsid w:val="00DF227B"/>
    <w:rsid w:val="00DF48D2"/>
    <w:rsid w:val="00E312CC"/>
    <w:rsid w:val="00E3610F"/>
    <w:rsid w:val="00E42B18"/>
    <w:rsid w:val="00E6391E"/>
    <w:rsid w:val="00E67E1E"/>
    <w:rsid w:val="00E70CE9"/>
    <w:rsid w:val="00EA0BD8"/>
    <w:rsid w:val="00F35035"/>
    <w:rsid w:val="00F5691A"/>
    <w:rsid w:val="00FA5F54"/>
    <w:rsid w:val="00FB0F16"/>
    <w:rsid w:val="00FE2AF9"/>
    <w:rsid w:val="0A1914A2"/>
    <w:rsid w:val="0C145382"/>
    <w:rsid w:val="0E5968A8"/>
    <w:rsid w:val="11794537"/>
    <w:rsid w:val="142177C5"/>
    <w:rsid w:val="14CD56AD"/>
    <w:rsid w:val="14FFF4E1"/>
    <w:rsid w:val="16F2B8E0"/>
    <w:rsid w:val="17A63F42"/>
    <w:rsid w:val="198660B6"/>
    <w:rsid w:val="19D05965"/>
    <w:rsid w:val="1CE8780D"/>
    <w:rsid w:val="1DBA15BA"/>
    <w:rsid w:val="1E2F6AC2"/>
    <w:rsid w:val="21AD61D1"/>
    <w:rsid w:val="21C115EE"/>
    <w:rsid w:val="22137BA5"/>
    <w:rsid w:val="2441548E"/>
    <w:rsid w:val="27F7E693"/>
    <w:rsid w:val="291C06EF"/>
    <w:rsid w:val="2B2F61EC"/>
    <w:rsid w:val="2B962826"/>
    <w:rsid w:val="2BA2409D"/>
    <w:rsid w:val="2C350F70"/>
    <w:rsid w:val="2D4F2DDE"/>
    <w:rsid w:val="2E7A2584"/>
    <w:rsid w:val="2EB83212"/>
    <w:rsid w:val="306B537F"/>
    <w:rsid w:val="31BB30A3"/>
    <w:rsid w:val="325A7EA9"/>
    <w:rsid w:val="339D6E92"/>
    <w:rsid w:val="36662CE5"/>
    <w:rsid w:val="36A833FF"/>
    <w:rsid w:val="3723359E"/>
    <w:rsid w:val="3734666D"/>
    <w:rsid w:val="37F519E1"/>
    <w:rsid w:val="39284554"/>
    <w:rsid w:val="397B851E"/>
    <w:rsid w:val="3AC40953"/>
    <w:rsid w:val="3AE1D059"/>
    <w:rsid w:val="3BADEDD4"/>
    <w:rsid w:val="3CF0459A"/>
    <w:rsid w:val="3FFB2066"/>
    <w:rsid w:val="409E12A9"/>
    <w:rsid w:val="40CA27E9"/>
    <w:rsid w:val="417A7DAB"/>
    <w:rsid w:val="420A56E3"/>
    <w:rsid w:val="42D35B43"/>
    <w:rsid w:val="431E3F83"/>
    <w:rsid w:val="437E4701"/>
    <w:rsid w:val="46F25BC4"/>
    <w:rsid w:val="47DF3130"/>
    <w:rsid w:val="48AE1E5C"/>
    <w:rsid w:val="49663DD8"/>
    <w:rsid w:val="497E5ED7"/>
    <w:rsid w:val="4A160019"/>
    <w:rsid w:val="4BC86959"/>
    <w:rsid w:val="4CB052E1"/>
    <w:rsid w:val="4D4A7EFA"/>
    <w:rsid w:val="4E3F6848"/>
    <w:rsid w:val="4EDA586A"/>
    <w:rsid w:val="50575B4E"/>
    <w:rsid w:val="515446D3"/>
    <w:rsid w:val="52BD4820"/>
    <w:rsid w:val="531A2AFF"/>
    <w:rsid w:val="53794425"/>
    <w:rsid w:val="53AA5BFF"/>
    <w:rsid w:val="55650138"/>
    <w:rsid w:val="5688489D"/>
    <w:rsid w:val="5BDF16F0"/>
    <w:rsid w:val="5BF04373"/>
    <w:rsid w:val="5C064A59"/>
    <w:rsid w:val="5D6407DA"/>
    <w:rsid w:val="5E0C385E"/>
    <w:rsid w:val="5F5FDA04"/>
    <w:rsid w:val="5F9B4B6A"/>
    <w:rsid w:val="6199237B"/>
    <w:rsid w:val="621623D4"/>
    <w:rsid w:val="63A24A04"/>
    <w:rsid w:val="67065096"/>
    <w:rsid w:val="6799015A"/>
    <w:rsid w:val="67DBDC2B"/>
    <w:rsid w:val="67DEDEAD"/>
    <w:rsid w:val="68DE7007"/>
    <w:rsid w:val="6C611243"/>
    <w:rsid w:val="6D1C69D8"/>
    <w:rsid w:val="6D607469"/>
    <w:rsid w:val="6DDFFF57"/>
    <w:rsid w:val="6E1A474C"/>
    <w:rsid w:val="6E735A47"/>
    <w:rsid w:val="6F18637D"/>
    <w:rsid w:val="6FD15064"/>
    <w:rsid w:val="6FD95974"/>
    <w:rsid w:val="6FF7BCF9"/>
    <w:rsid w:val="71B5C8C6"/>
    <w:rsid w:val="71B778ED"/>
    <w:rsid w:val="71C34FDA"/>
    <w:rsid w:val="71F801AB"/>
    <w:rsid w:val="72783DCD"/>
    <w:rsid w:val="737D2118"/>
    <w:rsid w:val="747B3156"/>
    <w:rsid w:val="74BFAC7C"/>
    <w:rsid w:val="75076A10"/>
    <w:rsid w:val="771E0F7F"/>
    <w:rsid w:val="778A23CE"/>
    <w:rsid w:val="797E6C8A"/>
    <w:rsid w:val="7C4F4D67"/>
    <w:rsid w:val="7CC00703"/>
    <w:rsid w:val="7CFB2B20"/>
    <w:rsid w:val="7D6DAE39"/>
    <w:rsid w:val="7DEA886A"/>
    <w:rsid w:val="7EDFD591"/>
    <w:rsid w:val="7EFFB384"/>
    <w:rsid w:val="7F3B63B5"/>
    <w:rsid w:val="7FDBED12"/>
    <w:rsid w:val="7FDF78F7"/>
    <w:rsid w:val="7FF60AA1"/>
    <w:rsid w:val="8FBE1018"/>
    <w:rsid w:val="97FA0224"/>
    <w:rsid w:val="A3F9A08B"/>
    <w:rsid w:val="B23B37FF"/>
    <w:rsid w:val="B4EFD167"/>
    <w:rsid w:val="B7C6F716"/>
    <w:rsid w:val="BEFF3A78"/>
    <w:rsid w:val="C0FE694D"/>
    <w:rsid w:val="D77F82BA"/>
    <w:rsid w:val="DBFF39AF"/>
    <w:rsid w:val="DFFE138F"/>
    <w:rsid w:val="E5FF55FA"/>
    <w:rsid w:val="E6BFD01A"/>
    <w:rsid w:val="E75FC011"/>
    <w:rsid w:val="ECF715C0"/>
    <w:rsid w:val="EE16712E"/>
    <w:rsid w:val="EEEFB5C4"/>
    <w:rsid w:val="EEFF3A50"/>
    <w:rsid w:val="EF27B383"/>
    <w:rsid w:val="EFE5671A"/>
    <w:rsid w:val="EFFB9E23"/>
    <w:rsid w:val="F2F6DD44"/>
    <w:rsid w:val="F6FBFD74"/>
    <w:rsid w:val="F7BA7F4C"/>
    <w:rsid w:val="FBEEFE34"/>
    <w:rsid w:val="FC6FEFC8"/>
    <w:rsid w:val="FD9F2866"/>
    <w:rsid w:val="FDDF0013"/>
    <w:rsid w:val="FDF3B732"/>
    <w:rsid w:val="FDFB38A9"/>
    <w:rsid w:val="FE8BA79E"/>
    <w:rsid w:val="FED7B1EC"/>
    <w:rsid w:val="FFD739FC"/>
    <w:rsid w:val="FFE713B3"/>
    <w:rsid w:val="FFF76216"/>
    <w:rsid w:val="FFFB1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3">
    <w:name w:val="Normal Indent"/>
    <w:basedOn w:val="1"/>
    <w:next w:val="4"/>
    <w:unhideWhenUsed/>
    <w:qFormat/>
    <w:uiPriority w:val="99"/>
    <w:pPr>
      <w:spacing w:beforeLines="50" w:afterLines="50" w:line="360" w:lineRule="auto"/>
      <w:ind w:firstLine="420" w:firstLineChars="200"/>
    </w:pPr>
    <w:rPr>
      <w:sz w:val="24"/>
      <w:szCs w:val="21"/>
    </w:rPr>
  </w:style>
  <w:style w:type="paragraph" w:styleId="4">
    <w:name w:val="Body Text Indent"/>
    <w:basedOn w:val="1"/>
    <w:next w:val="3"/>
    <w:link w:val="31"/>
    <w:qFormat/>
    <w:uiPriority w:val="0"/>
    <w:pPr>
      <w:ind w:firstLine="640" w:firstLineChars="200"/>
    </w:pPr>
    <w:rPr>
      <w:rFonts w:ascii="仿宋_GB2312" w:eastAsia="仿宋_GB2312"/>
      <w:sz w:val="32"/>
    </w:rPr>
  </w:style>
  <w:style w:type="paragraph" w:styleId="5">
    <w:name w:val="Body Text"/>
    <w:basedOn w:val="1"/>
    <w:link w:val="30"/>
    <w:qFormat/>
    <w:uiPriority w:val="0"/>
    <w:pPr>
      <w:spacing w:after="120"/>
    </w:pPr>
  </w:style>
  <w:style w:type="paragraph" w:styleId="6">
    <w:name w:val="Block Text"/>
    <w:basedOn w:val="1"/>
    <w:qFormat/>
    <w:uiPriority w:val="0"/>
    <w:pPr>
      <w:spacing w:after="120"/>
      <w:ind w:left="1440" w:leftChars="700" w:right="1440" w:rightChars="700"/>
    </w:pPr>
  </w:style>
  <w:style w:type="paragraph" w:styleId="7">
    <w:name w:val="toc 3"/>
    <w:basedOn w:val="1"/>
    <w:next w:val="1"/>
    <w:unhideWhenUsed/>
    <w:qFormat/>
    <w:uiPriority w:val="39"/>
    <w:pPr>
      <w:ind w:left="840" w:leftChars="400"/>
    </w:pPr>
    <w:rPr>
      <w:b/>
      <w:sz w:val="30"/>
      <w:szCs w:val="30"/>
    </w:rPr>
  </w:style>
  <w:style w:type="paragraph" w:styleId="8">
    <w:name w:val="Plain Text"/>
    <w:basedOn w:val="1"/>
    <w:next w:val="1"/>
    <w:unhideWhenUsed/>
    <w:qFormat/>
    <w:uiPriority w:val="99"/>
    <w:rPr>
      <w:rFonts w:ascii="宋体" w:hAnsi="Courier New"/>
    </w:rPr>
  </w:style>
  <w:style w:type="paragraph" w:styleId="9">
    <w:name w:val="Date"/>
    <w:basedOn w:val="1"/>
    <w:next w:val="1"/>
    <w:qFormat/>
    <w:uiPriority w:val="0"/>
    <w:pPr>
      <w:ind w:left="100" w:leftChars="2500"/>
    </w:pPr>
  </w:style>
  <w:style w:type="paragraph" w:styleId="10">
    <w:name w:val="Body Text Indent 2"/>
    <w:basedOn w:val="1"/>
    <w:next w:val="5"/>
    <w:qFormat/>
    <w:uiPriority w:val="0"/>
    <w:pPr>
      <w:spacing w:line="360" w:lineRule="auto"/>
      <w:ind w:firstLine="705"/>
    </w:pPr>
    <w:rPr>
      <w:rFonts w:ascii="Calibri" w:hAnsi="Calibri" w:eastAsia="宋体" w:cs="Times New Roman"/>
      <w:sz w:val="28"/>
      <w:szCs w:val="24"/>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Times New Roman" w:hAnsi="Times New Roman" w:eastAsia="宋体"/>
      <w:b/>
      <w:bCs/>
      <w:kern w:val="44"/>
      <w:sz w:val="28"/>
      <w:szCs w:val="28"/>
    </w:rPr>
  </w:style>
  <w:style w:type="paragraph" w:styleId="14">
    <w:name w:val="footnote text"/>
    <w:basedOn w:val="1"/>
    <w:qFormat/>
    <w:uiPriority w:val="0"/>
    <w:pPr>
      <w:snapToGrid w:val="0"/>
      <w:jc w:val="left"/>
    </w:pPr>
    <w:rPr>
      <w:sz w:val="18"/>
    </w:rPr>
  </w:style>
  <w:style w:type="paragraph" w:styleId="15">
    <w:name w:val="Body Text 2"/>
    <w:basedOn w:val="1"/>
    <w:qFormat/>
    <w:uiPriority w:val="0"/>
    <w:pPr>
      <w:spacing w:line="360" w:lineRule="auto"/>
      <w:ind w:firstLine="200" w:firstLineChars="200"/>
    </w:pPr>
    <w:rPr>
      <w:rFonts w:ascii="Times New Roman" w:hAnsi="Times New Roman" w:eastAsia="楷体_GB2312" w:cs="Times New Roman"/>
      <w:sz w:val="32"/>
      <w:szCs w:val="21"/>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5"/>
    <w:next w:val="1"/>
    <w:qFormat/>
    <w:uiPriority w:val="0"/>
    <w:pPr>
      <w:tabs>
        <w:tab w:val="left" w:pos="567"/>
      </w:tabs>
      <w:spacing w:line="360" w:lineRule="auto"/>
      <w:ind w:firstLine="562" w:firstLineChars="200"/>
      <w:jc w:val="both"/>
    </w:pPr>
    <w:rPr>
      <w:rFonts w:ascii="文星标宋" w:hAnsi="文星标宋" w:eastAsia="文星标宋" w:cs="Times New Roman"/>
      <w:color w:val="FF0000"/>
      <w:spacing w:val="30"/>
      <w:sz w:val="24"/>
      <w:szCs w:val="72"/>
    </w:rPr>
  </w:style>
  <w:style w:type="paragraph" w:styleId="19">
    <w:name w:val="Body Text First Indent 2"/>
    <w:basedOn w:val="4"/>
    <w:qFormat/>
    <w:uiPriority w:val="0"/>
    <w:pPr>
      <w:ind w:firstLine="420" w:firstLineChars="200"/>
    </w:pPr>
    <w:rPr>
      <w:rFonts w:ascii="Times New Roman" w:hAnsi="Times New Roman" w:eastAsia="宋体" w:cs="Times New Roman"/>
      <w:szCs w:val="20"/>
    </w:rPr>
  </w:style>
  <w:style w:type="table" w:styleId="21">
    <w:name w:val="Table Grid"/>
    <w:qFormat/>
    <w:uiPriority w:val="59"/>
    <w:pPr>
      <w:widowControl w:val="0"/>
      <w:jc w:val="both"/>
    </w:pPr>
    <w:rPr>
      <w:rFonts w:ascii="Calibri" w:hAnsi="Calibri" w:cs="Arial"/>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Strong"/>
    <w:basedOn w:val="22"/>
    <w:qFormat/>
    <w:uiPriority w:val="22"/>
    <w:rPr>
      <w:b/>
      <w:bCs/>
    </w:rPr>
  </w:style>
  <w:style w:type="character" w:styleId="24">
    <w:name w:val="Hyperlink"/>
    <w:unhideWhenUsed/>
    <w:qFormat/>
    <w:uiPriority w:val="99"/>
    <w:rPr>
      <w:color w:val="0000FF"/>
      <w:u w:val="single"/>
    </w:rPr>
  </w:style>
  <w:style w:type="character" w:styleId="25">
    <w:name w:val="footnote reference"/>
    <w:basedOn w:val="22"/>
    <w:qFormat/>
    <w:uiPriority w:val="0"/>
    <w:rPr>
      <w:vertAlign w:val="superscript"/>
    </w:rPr>
  </w:style>
  <w:style w:type="paragraph" w:customStyle="1" w:styleId="26">
    <w:name w:val="Normal Indent1"/>
    <w:basedOn w:val="1"/>
    <w:qFormat/>
    <w:uiPriority w:val="0"/>
    <w:pPr>
      <w:ind w:firstLine="420" w:firstLineChars="200"/>
      <w:jc w:val="left"/>
    </w:pPr>
    <w:rPr>
      <w:rFonts w:ascii="Calibri" w:hAnsi="Calibri" w:eastAsia="宋体" w:cs="Times New Roman"/>
      <w:kern w:val="0"/>
      <w:sz w:val="24"/>
    </w:rPr>
  </w:style>
  <w:style w:type="paragraph" w:customStyle="1" w:styleId="27">
    <w:name w:val="TOC 11"/>
    <w:next w:val="1"/>
    <w:qFormat/>
    <w:uiPriority w:val="0"/>
    <w:pPr>
      <w:wordWrap w:val="0"/>
      <w:jc w:val="both"/>
    </w:pPr>
    <w:rPr>
      <w:rFonts w:ascii="Times New Roman" w:hAnsi="Times New Roman" w:eastAsia="仿宋_GB2312" w:cs="Times New Roman"/>
      <w:sz w:val="21"/>
      <w:szCs w:val="22"/>
      <w:lang w:val="en-US" w:eastAsia="zh-CN" w:bidi="ar-SA"/>
    </w:rPr>
  </w:style>
  <w:style w:type="paragraph" w:customStyle="1" w:styleId="28">
    <w:name w:val="Body Text First Indent1"/>
    <w:basedOn w:val="5"/>
    <w:qFormat/>
    <w:uiPriority w:val="0"/>
    <w:pPr>
      <w:ind w:firstLine="420"/>
    </w:pPr>
  </w:style>
  <w:style w:type="paragraph" w:customStyle="1" w:styleId="29">
    <w:name w:val="Body Text 21"/>
    <w:basedOn w:val="1"/>
    <w:qFormat/>
    <w:uiPriority w:val="0"/>
    <w:pPr>
      <w:spacing w:line="360" w:lineRule="auto"/>
      <w:ind w:firstLine="200" w:firstLineChars="200"/>
    </w:pPr>
  </w:style>
  <w:style w:type="character" w:customStyle="1" w:styleId="30">
    <w:name w:val="正文文本 Char"/>
    <w:basedOn w:val="22"/>
    <w:link w:val="5"/>
    <w:qFormat/>
    <w:uiPriority w:val="0"/>
    <w:rPr>
      <w:kern w:val="2"/>
      <w:sz w:val="21"/>
      <w:szCs w:val="24"/>
    </w:rPr>
  </w:style>
  <w:style w:type="character" w:customStyle="1" w:styleId="31">
    <w:name w:val="正文文本缩进 Char"/>
    <w:basedOn w:val="22"/>
    <w:link w:val="4"/>
    <w:qFormat/>
    <w:uiPriority w:val="0"/>
    <w:rPr>
      <w:rFonts w:ascii="仿宋_GB2312" w:eastAsia="仿宋_GB2312"/>
      <w:kern w:val="2"/>
      <w:sz w:val="32"/>
      <w:szCs w:val="24"/>
      <w:lang w:val="en-US" w:eastAsia="zh-CN" w:bidi="ar-SA"/>
    </w:rPr>
  </w:style>
  <w:style w:type="character" w:customStyle="1" w:styleId="32">
    <w:name w:val="页脚 Char"/>
    <w:basedOn w:val="22"/>
    <w:link w:val="11"/>
    <w:qFormat/>
    <w:uiPriority w:val="99"/>
    <w:rPr>
      <w:kern w:val="2"/>
      <w:sz w:val="18"/>
      <w:szCs w:val="18"/>
    </w:rPr>
  </w:style>
  <w:style w:type="character" w:customStyle="1" w:styleId="33">
    <w:name w:val="页眉 Char"/>
    <w:basedOn w:val="22"/>
    <w:link w:val="12"/>
    <w:qFormat/>
    <w:uiPriority w:val="0"/>
    <w:rPr>
      <w:kern w:val="2"/>
      <w:sz w:val="18"/>
      <w:szCs w:val="18"/>
    </w:rPr>
  </w:style>
  <w:style w:type="character" w:customStyle="1" w:styleId="34">
    <w:name w:val="font141"/>
    <w:basedOn w:val="22"/>
    <w:qFormat/>
    <w:uiPriority w:val="0"/>
    <w:rPr>
      <w:rFonts w:hint="default" w:ascii="Arial" w:hAnsi="Arial" w:cs="Arial"/>
      <w:color w:val="000000"/>
      <w:sz w:val="20"/>
      <w:szCs w:val="20"/>
      <w:u w:val="none"/>
    </w:rPr>
  </w:style>
  <w:style w:type="paragraph" w:customStyle="1" w:styleId="35">
    <w:name w:val="BodyText"/>
    <w:basedOn w:val="1"/>
    <w:next w:val="36"/>
    <w:qFormat/>
    <w:uiPriority w:val="0"/>
    <w:pPr>
      <w:jc w:val="center"/>
      <w:textAlignment w:val="baseline"/>
    </w:pPr>
    <w:rPr>
      <w:rFonts w:ascii="华文中宋" w:hAnsi="宋体" w:eastAsia="华文中宋" w:cs="Times New Roman"/>
      <w:b/>
      <w:bCs/>
      <w:color w:val="000000"/>
      <w:kern w:val="2"/>
      <w:sz w:val="36"/>
      <w:lang w:val="en-US" w:eastAsia="zh-CN" w:bidi="ar-SA"/>
    </w:rPr>
  </w:style>
  <w:style w:type="paragraph" w:customStyle="1" w:styleId="36">
    <w:name w:val="UserStyle_0"/>
    <w:next w:val="1"/>
    <w:qFormat/>
    <w:uiPriority w:val="0"/>
    <w:pPr>
      <w:jc w:val="both"/>
    </w:pPr>
    <w:rPr>
      <w:rFonts w:ascii="Times New Roman" w:hAnsi="Times New Roman" w:eastAsia="宋体" w:cs="Times New Roman"/>
      <w:sz w:val="21"/>
      <w:szCs w:val="22"/>
      <w:lang w:val="en-US" w:eastAsia="zh-CN" w:bidi="ar-SA"/>
    </w:rPr>
  </w:style>
  <w:style w:type="character" w:customStyle="1" w:styleId="37">
    <w:name w:val="NormalCharacter"/>
    <w:link w:val="38"/>
    <w:qFormat/>
    <w:uiPriority w:val="0"/>
    <w:rPr>
      <w:rFonts w:ascii="Times New Roman" w:hAnsi="Times New Roman" w:eastAsia="宋体" w:cs="Times New Roman"/>
      <w:kern w:val="0"/>
      <w:sz w:val="20"/>
    </w:rPr>
  </w:style>
  <w:style w:type="paragraph" w:customStyle="1" w:styleId="38">
    <w:name w:val="UserStyle_5"/>
    <w:basedOn w:val="1"/>
    <w:link w:val="37"/>
    <w:qFormat/>
    <w:uiPriority w:val="0"/>
    <w:pPr>
      <w:widowControl w:val="0"/>
    </w:pPr>
    <w:rPr>
      <w:rFonts w:ascii="Times New Roman" w:hAnsi="Times New Roman" w:eastAsia="宋体" w:cs="Times New Roman"/>
      <w:kern w:val="0"/>
      <w:sz w:val="20"/>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20</Pages>
  <Words>149</Words>
  <Characters>855</Characters>
  <Lines>7</Lines>
  <Paragraphs>2</Paragraphs>
  <TotalTime>16</TotalTime>
  <ScaleCrop>false</ScaleCrop>
  <LinksUpToDate>false</LinksUpToDate>
  <CharactersWithSpaces>1002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2020-02-21T17:25:00Z</dcterms:created>
  <dc:creator>杨镜坡</dc:creator>
  <cp:lastModifiedBy>user</cp:lastModifiedBy>
  <cp:lastPrinted>2026-01-09T09:01:00Z</cp:lastPrinted>
  <dcterms:modified xsi:type="dcterms:W3CDTF">2026-03-04T14:27:11Z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8013FDCBDDD0B41BC9705F69FD20BDD3</vt:lpwstr>
  </property>
</Properties>
</file>