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北京市通州区文景街道办事处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2025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年政府信息公开工作年度报告</w:t>
      </w:r>
    </w:p>
    <w:p>
      <w:pPr>
        <w:spacing w:line="560" w:lineRule="exact"/>
        <w:jc w:val="center"/>
        <w:rPr>
          <w:sz w:val="44"/>
          <w:szCs w:val="44"/>
        </w:rPr>
      </w:pPr>
      <w:r>
        <w:rPr>
          <w:rFonts w:hint="eastAsia" w:ascii="微软雅黑" w:hAnsi="微软雅黑" w:eastAsia="微软雅黑" w:cs="宋体"/>
          <w:color w:val="404040"/>
          <w:kern w:val="0"/>
          <w:sz w:val="24"/>
        </w:rPr>
        <w:t>　</w:t>
      </w:r>
      <w:r>
        <w:rPr>
          <w:rFonts w:hint="eastAsia" w:ascii="微软雅黑" w:hAnsi="微软雅黑" w:eastAsia="微软雅黑" w:cs="宋体"/>
          <w:color w:val="404040"/>
          <w:kern w:val="0"/>
          <w:sz w:val="32"/>
          <w:szCs w:val="32"/>
        </w:rPr>
        <w:t xml:space="preserve"> </w:t>
      </w:r>
      <w:r>
        <w:rPr>
          <w:rFonts w:ascii="微软雅黑" w:hAnsi="微软雅黑" w:eastAsia="微软雅黑" w:cs="宋体"/>
          <w:color w:val="404040"/>
          <w:kern w:val="0"/>
          <w:sz w:val="32"/>
          <w:szCs w:val="32"/>
        </w:rPr>
        <w:t xml:space="preserve">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宋体" w:eastAsia="仿宋_GB2312" w:cs="宋体"/>
          <w:spacing w:val="0"/>
          <w:kern w:val="0"/>
          <w:sz w:val="32"/>
          <w:szCs w:val="32"/>
          <w:highlight w:val="none"/>
          <w:lang w:eastAsia="zh-CN"/>
        </w:rPr>
      </w:pPr>
      <w:r>
        <w:rPr>
          <w:rFonts w:hint="eastAsia" w:ascii="仿宋_GB2312" w:hAnsi="宋体" w:eastAsia="仿宋_GB2312" w:cs="宋体"/>
          <w:spacing w:val="0"/>
          <w:kern w:val="0"/>
          <w:sz w:val="32"/>
          <w:szCs w:val="32"/>
          <w:highlight w:val="none"/>
        </w:rPr>
        <w:t>依据《中华人民共和国政府信息公开条例》(以下简称《政府信息公开条例》)第五十条规定，编制本报告</w:t>
      </w:r>
      <w:r>
        <w:rPr>
          <w:rFonts w:hint="eastAsia" w:ascii="仿宋_GB2312" w:hAnsi="宋体" w:eastAsia="仿宋_GB2312" w:cs="宋体"/>
          <w:spacing w:val="0"/>
          <w:kern w:val="0"/>
          <w:sz w:val="32"/>
          <w:szCs w:val="32"/>
          <w:highlight w:val="none"/>
          <w:lang w:eastAsia="zh-CN"/>
        </w:rPr>
        <w:t>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ascii="黑体" w:hAnsi="黑体" w:eastAsia="黑体" w:cs="宋体"/>
          <w:spacing w:val="0"/>
          <w:kern w:val="0"/>
          <w:sz w:val="32"/>
          <w:szCs w:val="32"/>
          <w:highlight w:val="none"/>
        </w:rPr>
      </w:pPr>
      <w:r>
        <w:rPr>
          <w:rFonts w:ascii="黑体" w:hAnsi="黑体" w:eastAsia="黑体" w:cs="宋体"/>
          <w:spacing w:val="0"/>
          <w:kern w:val="0"/>
          <w:sz w:val="32"/>
          <w:szCs w:val="32"/>
          <w:highlight w:val="none"/>
        </w:rPr>
        <w:t>一、总体情况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snapToGrid w:val="0"/>
          <w:spacing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napToGrid w:val="0"/>
          <w:spacing w:val="0"/>
          <w:sz w:val="32"/>
          <w:szCs w:val="32"/>
          <w:highlight w:val="none"/>
          <w:lang w:eastAsia="zh-CN"/>
        </w:rPr>
        <w:t>文景街道</w:t>
      </w:r>
      <w:r>
        <w:rPr>
          <w:rFonts w:hint="default" w:ascii="仿宋_GB2312" w:hAnsi="仿宋_GB2312" w:eastAsia="仿宋_GB2312" w:cs="仿宋_GB2312"/>
          <w:snapToGrid w:val="0"/>
          <w:spacing w:val="0"/>
          <w:sz w:val="32"/>
          <w:szCs w:val="32"/>
          <w:highlight w:val="none"/>
        </w:rPr>
        <w:t>深入贯彻落实区委</w:t>
      </w:r>
      <w:r>
        <w:rPr>
          <w:rFonts w:hint="eastAsia" w:ascii="仿宋_GB2312" w:hAnsi="仿宋_GB2312" w:eastAsia="仿宋_GB2312" w:cs="仿宋_GB2312"/>
          <w:snapToGrid w:val="0"/>
          <w:spacing w:val="0"/>
          <w:sz w:val="32"/>
          <w:szCs w:val="32"/>
          <w:highlight w:val="none"/>
          <w:lang w:eastAsia="zh-CN"/>
        </w:rPr>
        <w:t>、</w:t>
      </w:r>
      <w:r>
        <w:rPr>
          <w:rFonts w:hint="default" w:ascii="仿宋_GB2312" w:hAnsi="仿宋_GB2312" w:eastAsia="仿宋_GB2312" w:cs="仿宋_GB2312"/>
          <w:snapToGrid w:val="0"/>
          <w:spacing w:val="0"/>
          <w:sz w:val="32"/>
          <w:szCs w:val="32"/>
          <w:highlight w:val="none"/>
        </w:rPr>
        <w:t>区政府关于</w:t>
      </w:r>
      <w:r>
        <w:rPr>
          <w:rFonts w:hint="eastAsia" w:ascii="仿宋_GB2312" w:hAnsi="仿宋_GB2312" w:eastAsia="仿宋_GB2312" w:cs="仿宋_GB2312"/>
          <w:snapToGrid w:val="0"/>
          <w:spacing w:val="0"/>
          <w:sz w:val="32"/>
          <w:szCs w:val="32"/>
          <w:highlight w:val="none"/>
          <w:lang w:eastAsia="zh-CN"/>
        </w:rPr>
        <w:t>政府信息</w:t>
      </w:r>
      <w:r>
        <w:rPr>
          <w:rFonts w:hint="default" w:ascii="仿宋_GB2312" w:hAnsi="仿宋_GB2312" w:eastAsia="仿宋_GB2312" w:cs="仿宋_GB2312"/>
          <w:snapToGrid w:val="0"/>
          <w:spacing w:val="0"/>
          <w:sz w:val="32"/>
          <w:szCs w:val="32"/>
          <w:highlight w:val="none"/>
        </w:rPr>
        <w:t>公开的工作要求，严格按照《政府信息公开条例》《2024年北京市通州区政务公开工作要点》</w:t>
      </w:r>
      <w:r>
        <w:rPr>
          <w:rFonts w:hint="eastAsia" w:ascii="仿宋_GB2312" w:hAnsi="仿宋_GB2312" w:eastAsia="仿宋_GB2312" w:cs="仿宋_GB2312"/>
          <w:snapToGrid w:val="0"/>
          <w:spacing w:val="0"/>
          <w:sz w:val="32"/>
          <w:szCs w:val="32"/>
          <w:highlight w:val="none"/>
          <w:lang w:eastAsia="zh-CN"/>
        </w:rPr>
        <w:t>《政府信息公开应知应会手册》等</w:t>
      </w:r>
      <w:r>
        <w:rPr>
          <w:rFonts w:hint="default" w:ascii="仿宋_GB2312" w:hAnsi="仿宋_GB2312" w:eastAsia="仿宋_GB2312" w:cs="仿宋_GB2312"/>
          <w:snapToGrid w:val="0"/>
          <w:spacing w:val="0"/>
          <w:sz w:val="32"/>
          <w:szCs w:val="32"/>
          <w:highlight w:val="none"/>
        </w:rPr>
        <w:t>相关规定，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eastAsia="zh-CN"/>
        </w:rPr>
        <w:t>压实责任、狠抓落实，</w:t>
      </w:r>
      <w:r>
        <w:rPr>
          <w:rFonts w:hint="eastAsia" w:ascii="仿宋_GB2312" w:hAnsi="仿宋_GB2312" w:eastAsia="仿宋_GB2312" w:cs="仿宋_GB2312"/>
          <w:snapToGrid w:val="0"/>
          <w:spacing w:val="0"/>
          <w:sz w:val="32"/>
          <w:szCs w:val="32"/>
          <w:highlight w:val="none"/>
          <w:lang w:eastAsia="zh-CN"/>
        </w:rPr>
        <w:t>持续</w:t>
      </w:r>
      <w:r>
        <w:rPr>
          <w:rFonts w:hint="default" w:ascii="仿宋_GB2312" w:hAnsi="仿宋_GB2312" w:eastAsia="仿宋_GB2312" w:cs="仿宋_GB2312"/>
          <w:snapToGrid w:val="0"/>
          <w:spacing w:val="0"/>
          <w:sz w:val="32"/>
          <w:szCs w:val="32"/>
          <w:highlight w:val="none"/>
        </w:rPr>
        <w:t>推进</w:t>
      </w:r>
      <w:r>
        <w:rPr>
          <w:rFonts w:hint="eastAsia" w:ascii="仿宋_GB2312" w:hAnsi="仿宋_GB2312" w:eastAsia="仿宋_GB2312" w:cs="仿宋_GB2312"/>
          <w:snapToGrid w:val="0"/>
          <w:spacing w:val="0"/>
          <w:sz w:val="32"/>
          <w:szCs w:val="32"/>
          <w:highlight w:val="none"/>
          <w:lang w:eastAsia="zh-CN"/>
        </w:rPr>
        <w:t>政府信息</w:t>
      </w:r>
      <w:r>
        <w:rPr>
          <w:rFonts w:hint="default" w:ascii="仿宋_GB2312" w:hAnsi="仿宋_GB2312" w:eastAsia="仿宋_GB2312" w:cs="仿宋_GB2312"/>
          <w:snapToGrid w:val="0"/>
          <w:spacing w:val="0"/>
          <w:sz w:val="32"/>
          <w:szCs w:val="32"/>
          <w:highlight w:val="none"/>
        </w:rPr>
        <w:t>公开工作</w:t>
      </w:r>
      <w:r>
        <w:rPr>
          <w:rFonts w:hint="eastAsia" w:ascii="仿宋_GB2312" w:hAnsi="仿宋_GB2312" w:eastAsia="仿宋_GB2312" w:cs="仿宋_GB2312"/>
          <w:snapToGrid w:val="0"/>
          <w:spacing w:val="0"/>
          <w:sz w:val="32"/>
          <w:szCs w:val="32"/>
          <w:highlight w:val="none"/>
          <w:lang w:eastAsia="zh-CN"/>
        </w:rPr>
        <w:t>走深走实</w:t>
      </w:r>
      <w:r>
        <w:rPr>
          <w:rFonts w:hint="default" w:ascii="仿宋_GB2312" w:hAnsi="仿宋_GB2312" w:eastAsia="仿宋_GB2312" w:cs="仿宋_GB2312"/>
          <w:snapToGrid w:val="0"/>
          <w:spacing w:val="0"/>
          <w:sz w:val="32"/>
          <w:szCs w:val="32"/>
          <w:highlight w:val="none"/>
        </w:rPr>
        <w:t>。现将工作情况报告如下：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楷体_GB2312" w:hAnsi="楷体_GB2312" w:eastAsia="楷体_GB2312" w:cs="楷体_GB2312"/>
          <w:b w:val="0"/>
          <w:bCs w:val="0"/>
          <w:color w:val="000000"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b w:val="0"/>
          <w:bCs w:val="0"/>
          <w:color w:val="000000"/>
          <w:sz w:val="32"/>
          <w:szCs w:val="32"/>
          <w:lang w:eastAsia="zh-CN"/>
        </w:rPr>
        <w:t>（一）</w:t>
      </w:r>
      <w:r>
        <w:rPr>
          <w:rFonts w:hint="eastAsia" w:ascii="楷体_GB2312" w:hAnsi="楷体_GB2312" w:eastAsia="楷体_GB2312" w:cs="楷体_GB2312"/>
          <w:b w:val="0"/>
          <w:bCs w:val="0"/>
          <w:color w:val="000000"/>
          <w:sz w:val="32"/>
          <w:szCs w:val="32"/>
        </w:rPr>
        <w:t>组织领导</w:t>
      </w:r>
      <w:r>
        <w:rPr>
          <w:rFonts w:hint="eastAsia" w:ascii="楷体_GB2312" w:hAnsi="楷体_GB2312" w:eastAsia="楷体_GB2312" w:cs="楷体_GB2312"/>
          <w:b w:val="0"/>
          <w:bCs w:val="0"/>
          <w:color w:val="000000"/>
          <w:sz w:val="32"/>
          <w:szCs w:val="32"/>
          <w:lang w:eastAsia="zh-CN"/>
        </w:rPr>
        <w:t>情况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文景街道坚持“一盘棋”思想，统筹谋划政府信息公开工作，重点围绕区委、区政府相关要求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eastAsia="zh-CN"/>
        </w:rPr>
        <w:t>，</w:t>
      </w:r>
      <w:r>
        <w:rPr>
          <w:rFonts w:hint="default" w:ascii="仿宋_GB2312" w:hAnsi="仿宋_GB2312" w:eastAsia="仿宋_GB2312" w:cs="仿宋_GB2312"/>
          <w:snapToGrid w:val="0"/>
          <w:spacing w:val="0"/>
          <w:sz w:val="32"/>
          <w:szCs w:val="32"/>
          <w:highlight w:val="none"/>
        </w:rPr>
        <w:t>加强组织领导</w:t>
      </w:r>
      <w:r>
        <w:rPr>
          <w:rFonts w:hint="eastAsia" w:ascii="仿宋_GB2312" w:hAnsi="仿宋_GB2312" w:eastAsia="仿宋_GB2312" w:cs="仿宋_GB2312"/>
          <w:snapToGrid w:val="0"/>
          <w:spacing w:val="0"/>
          <w:sz w:val="32"/>
          <w:szCs w:val="32"/>
          <w:highlight w:val="none"/>
          <w:lang w:eastAsia="zh-CN"/>
        </w:rPr>
        <w:t>、</w:t>
      </w:r>
      <w:r>
        <w:rPr>
          <w:rFonts w:hint="default" w:ascii="仿宋_GB2312" w:hAnsi="仿宋_GB2312" w:eastAsia="仿宋_GB2312" w:cs="仿宋_GB2312"/>
          <w:snapToGrid w:val="0"/>
          <w:spacing w:val="0"/>
          <w:sz w:val="32"/>
          <w:szCs w:val="32"/>
          <w:highlight w:val="none"/>
        </w:rPr>
        <w:t>完善公开制度</w:t>
      </w:r>
      <w:r>
        <w:rPr>
          <w:rFonts w:hint="eastAsia" w:ascii="仿宋_GB2312" w:hAnsi="仿宋_GB2312" w:eastAsia="仿宋_GB2312" w:cs="仿宋_GB2312"/>
          <w:snapToGrid w:val="0"/>
          <w:spacing w:val="0"/>
          <w:sz w:val="32"/>
          <w:szCs w:val="32"/>
          <w:highlight w:val="none"/>
          <w:lang w:eastAsia="zh-CN"/>
        </w:rPr>
        <w:t>、细化</w:t>
      </w:r>
      <w:r>
        <w:rPr>
          <w:rFonts w:hint="default" w:ascii="仿宋_GB2312" w:hAnsi="仿宋_GB2312" w:eastAsia="仿宋_GB2312" w:cs="仿宋_GB2312"/>
          <w:snapToGrid w:val="0"/>
          <w:spacing w:val="0"/>
          <w:sz w:val="32"/>
          <w:szCs w:val="32"/>
          <w:highlight w:val="none"/>
        </w:rPr>
        <w:t>公开内容，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认真组织开展各项工作。</w:t>
      </w:r>
      <w:r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  <w:lang w:eastAsia="zh-CN"/>
        </w:rPr>
        <w:t>一是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分管领导不定期调度，指导责任科室开展政府信息公开工作，确保部署有序、落实到位。</w:t>
      </w:r>
      <w:r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  <w:lang w:eastAsia="zh-CN"/>
        </w:rPr>
        <w:t>二是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eastAsia="zh-CN"/>
        </w:rPr>
        <w:t>按照要求及时更新街乡镇动态、预决算报告、行政处罚结果等相关信息。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截至202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年底，文景街道政府信息公开工作运行平稳有序，总体向好。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  <w:b w:val="0"/>
          <w:bCs w:val="0"/>
          <w:color w:val="000000"/>
          <w:sz w:val="32"/>
          <w:szCs w:val="32"/>
          <w:highlight w:val="none"/>
          <w:lang w:eastAsia="zh-CN"/>
        </w:rPr>
      </w:pPr>
      <w:r>
        <w:rPr>
          <w:rFonts w:hint="eastAsia" w:ascii="楷体_GB2312" w:hAnsi="楷体_GB2312" w:eastAsia="楷体_GB2312" w:cs="楷体_GB2312"/>
          <w:b w:val="0"/>
          <w:bCs w:val="0"/>
          <w:color w:val="000000"/>
          <w:sz w:val="32"/>
          <w:szCs w:val="32"/>
          <w:highlight w:val="none"/>
          <w:lang w:eastAsia="zh-CN"/>
        </w:rPr>
        <w:t>（二）</w:t>
      </w:r>
      <w:r>
        <w:rPr>
          <w:rFonts w:hint="eastAsia" w:ascii="楷体_GB2312" w:hAnsi="楷体_GB2312" w:eastAsia="楷体_GB2312" w:cs="楷体_GB2312"/>
          <w:b w:val="0"/>
          <w:bCs w:val="0"/>
          <w:color w:val="000000"/>
          <w:sz w:val="32"/>
          <w:szCs w:val="32"/>
          <w:highlight w:val="none"/>
        </w:rPr>
        <w:t>主动公开</w:t>
      </w:r>
      <w:r>
        <w:rPr>
          <w:rFonts w:hint="eastAsia" w:ascii="楷体_GB2312" w:hAnsi="楷体_GB2312" w:eastAsia="楷体_GB2312" w:cs="楷体_GB2312"/>
          <w:b w:val="0"/>
          <w:bCs w:val="0"/>
          <w:color w:val="000000"/>
          <w:sz w:val="32"/>
          <w:szCs w:val="32"/>
          <w:highlight w:val="none"/>
          <w:lang w:eastAsia="zh-CN"/>
        </w:rPr>
        <w:t>情况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eastAsia="zh-CN"/>
        </w:rPr>
        <w:t>202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eastAsia="zh-CN"/>
        </w:rPr>
        <w:t>年度，文景街道通过政府网站主动公开政府信息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val="en-US" w:eastAsia="zh-CN"/>
        </w:rPr>
        <w:t>57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eastAsia="zh-CN"/>
        </w:rPr>
        <w:t>条，其中街乡镇动态栏目</w:t>
      </w:r>
      <w:r>
        <w:rPr>
          <w:rFonts w:hint="default" w:ascii="仿宋_GB2312" w:hAnsi="仿宋_GB2312" w:eastAsia="仿宋_GB2312" w:cs="仿宋_GB2312"/>
          <w:color w:val="000000"/>
          <w:sz w:val="32"/>
          <w:szCs w:val="32"/>
          <w:highlight w:val="none"/>
          <w:lang w:val="en" w:eastAsia="zh-CN"/>
        </w:rPr>
        <w:t>3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val="en-US" w:eastAsia="zh-CN"/>
        </w:rPr>
        <w:t>9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eastAsia="zh-CN"/>
        </w:rPr>
        <w:t>条；预决算公开栏目2条；行政执法公示栏目</w:t>
      </w:r>
      <w:r>
        <w:rPr>
          <w:rFonts w:hint="default" w:ascii="仿宋_GB2312" w:hAnsi="仿宋_GB2312" w:eastAsia="仿宋_GB2312" w:cs="仿宋_GB2312"/>
          <w:color w:val="000000"/>
          <w:sz w:val="32"/>
          <w:szCs w:val="32"/>
          <w:highlight w:val="none"/>
          <w:lang w:val="en" w:eastAsia="zh-CN"/>
        </w:rPr>
        <w:t>16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eastAsia="zh-CN"/>
        </w:rPr>
        <w:t>条；“乐游文景”公众号发布信息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val="en-US" w:eastAsia="zh-CN"/>
        </w:rPr>
        <w:t>702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eastAsia="zh-CN"/>
        </w:rPr>
        <w:t>篇，其中原创文章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val="en-US" w:eastAsia="zh-CN"/>
        </w:rPr>
        <w:t>449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eastAsia="zh-CN"/>
        </w:rPr>
        <w:t>篇；依法公开街道领导班子成员调整信息；及时发布202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eastAsia="zh-CN"/>
        </w:rPr>
        <w:t>年政府信息公开年度报告等。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  <w:b w:val="0"/>
          <w:bCs w:val="0"/>
          <w:color w:val="000000"/>
          <w:sz w:val="32"/>
          <w:szCs w:val="32"/>
          <w:highlight w:val="none"/>
          <w:lang w:eastAsia="zh-CN"/>
        </w:rPr>
      </w:pPr>
      <w:r>
        <w:rPr>
          <w:rFonts w:hint="eastAsia" w:ascii="楷体_GB2312" w:hAnsi="楷体_GB2312" w:eastAsia="楷体_GB2312" w:cs="楷体_GB2312"/>
          <w:b w:val="0"/>
          <w:bCs w:val="0"/>
          <w:color w:val="000000"/>
          <w:sz w:val="32"/>
          <w:szCs w:val="32"/>
          <w:highlight w:val="none"/>
          <w:lang w:eastAsia="zh-CN"/>
        </w:rPr>
        <w:t>（三）</w:t>
      </w:r>
      <w:r>
        <w:rPr>
          <w:rFonts w:hint="eastAsia" w:ascii="楷体_GB2312" w:hAnsi="楷体_GB2312" w:eastAsia="楷体_GB2312" w:cs="楷体_GB2312"/>
          <w:b w:val="0"/>
          <w:bCs w:val="0"/>
          <w:color w:val="000000"/>
          <w:sz w:val="32"/>
          <w:szCs w:val="32"/>
          <w:highlight w:val="none"/>
        </w:rPr>
        <w:t>依申请公开</w:t>
      </w:r>
      <w:r>
        <w:rPr>
          <w:rFonts w:hint="eastAsia" w:ascii="楷体_GB2312" w:hAnsi="楷体_GB2312" w:eastAsia="楷体_GB2312" w:cs="楷体_GB2312"/>
          <w:b w:val="0"/>
          <w:bCs w:val="0"/>
          <w:color w:val="000000"/>
          <w:sz w:val="32"/>
          <w:szCs w:val="32"/>
          <w:highlight w:val="none"/>
          <w:lang w:eastAsia="zh-CN"/>
        </w:rPr>
        <w:t>情况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val="en-US" w:eastAsia="zh-CN"/>
        </w:rPr>
        <w:t>2025年度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  <w:t>依申请公开共受理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  <w:t>件,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eastAsia="zh-CN"/>
        </w:rPr>
        <w:t>均通过邮寄方式获取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val="en-US" w:eastAsia="zh-CN"/>
        </w:rPr>
        <w:t>，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eastAsia="zh-CN"/>
        </w:rPr>
        <w:t>并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  <w:t>及时给予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eastAsia="zh-CN"/>
        </w:rPr>
        <w:t>申请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  <w:t>人答复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  <w:t>按时办结，完成率100%。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eastAsia="zh-CN"/>
        </w:rPr>
        <w:t>截至202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eastAsia="zh-CN"/>
        </w:rPr>
        <w:t>年底，未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  <w:t>接到行政诉讼或行政复议等申请。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  <w:b w:val="0"/>
          <w:bCs w:val="0"/>
          <w:color w:val="000000"/>
          <w:sz w:val="32"/>
          <w:szCs w:val="32"/>
          <w:highlight w:val="none"/>
          <w:lang w:eastAsia="zh-CN"/>
        </w:rPr>
      </w:pPr>
      <w:r>
        <w:rPr>
          <w:rFonts w:hint="eastAsia" w:ascii="楷体_GB2312" w:hAnsi="楷体_GB2312" w:eastAsia="楷体_GB2312" w:cs="楷体_GB2312"/>
          <w:b w:val="0"/>
          <w:bCs w:val="0"/>
          <w:color w:val="000000"/>
          <w:sz w:val="32"/>
          <w:szCs w:val="32"/>
          <w:highlight w:val="none"/>
          <w:lang w:eastAsia="zh-CN"/>
        </w:rPr>
        <w:t>（四）政府信息管理和政府信息公开平台建设情况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2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  <w:highlight w:val="none"/>
          <w:lang w:eastAsia="zh-CN"/>
        </w:rPr>
        <w:t>一是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eastAsia="zh-CN"/>
        </w:rPr>
        <w:t>持续夯实公开阵地。通过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  <w:t>北京市通州区人民政府网站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eastAsia="zh-CN"/>
        </w:rPr>
        <w:t>及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  <w:t>政务新媒体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eastAsia="zh-CN"/>
        </w:rPr>
        <w:t>两个主要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  <w:t>政府信息公开平台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eastAsia="zh-CN"/>
        </w:rPr>
        <w:t>，根据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  <w:t>公开事项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eastAsia="zh-CN"/>
        </w:rPr>
        <w:t>性质确定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  <w:t>公开时间，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eastAsia="zh-CN"/>
        </w:rPr>
        <w:t>力求公开信息准确、及时、规范。</w:t>
      </w:r>
      <w:r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  <w:highlight w:val="none"/>
          <w:lang w:eastAsia="zh-CN"/>
        </w:rPr>
        <w:t>二是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eastAsia="zh-CN"/>
        </w:rPr>
        <w:t>着力提升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  <w:t>内容特色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eastAsia="zh-CN"/>
        </w:rPr>
        <w:t>。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  <w:t>结合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eastAsia="zh-CN"/>
        </w:rPr>
        <w:t>辖区特点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  <w:t>，坚持把群众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eastAsia="zh-CN"/>
        </w:rPr>
        <w:t>关切问题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  <w:t>作为政务公开的重点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eastAsia="zh-CN"/>
        </w:rPr>
        <w:t>，让信息公开“有用、好懂、可参与”。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val="en-US" w:eastAsia="zh-CN"/>
        </w:rPr>
        <w:t>2025年度，公众号发布信息被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eastAsia="zh-CN"/>
        </w:rPr>
        <w:t>市区主流媒体报道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val="en-US" w:eastAsia="zh-CN"/>
        </w:rPr>
        <w:t>140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eastAsia="zh-CN"/>
        </w:rPr>
        <w:t>余次。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  <w:b w:val="0"/>
          <w:bCs w:val="0"/>
          <w:color w:val="000000"/>
          <w:spacing w:val="0"/>
          <w:sz w:val="32"/>
          <w:szCs w:val="32"/>
          <w:highlight w:val="none"/>
          <w:lang w:eastAsia="zh-CN"/>
        </w:rPr>
      </w:pPr>
      <w:r>
        <w:rPr>
          <w:rFonts w:hint="eastAsia" w:ascii="楷体_GB2312" w:hAnsi="楷体_GB2312" w:eastAsia="楷体_GB2312" w:cs="楷体_GB2312"/>
          <w:b w:val="0"/>
          <w:bCs w:val="0"/>
          <w:color w:val="000000"/>
          <w:spacing w:val="0"/>
          <w:sz w:val="32"/>
          <w:szCs w:val="32"/>
          <w:highlight w:val="none"/>
          <w:lang w:eastAsia="zh-CN"/>
        </w:rPr>
        <w:t>（五）</w:t>
      </w:r>
      <w:r>
        <w:rPr>
          <w:rFonts w:hint="eastAsia" w:ascii="楷体_GB2312" w:hAnsi="楷体_GB2312" w:eastAsia="楷体_GB2312" w:cs="楷体_GB2312"/>
          <w:b w:val="0"/>
          <w:bCs w:val="0"/>
          <w:color w:val="000000"/>
          <w:spacing w:val="0"/>
          <w:sz w:val="32"/>
          <w:szCs w:val="32"/>
          <w:highlight w:val="none"/>
        </w:rPr>
        <w:t>教育培训</w:t>
      </w:r>
      <w:r>
        <w:rPr>
          <w:rFonts w:hint="eastAsia" w:ascii="楷体_GB2312" w:hAnsi="楷体_GB2312" w:eastAsia="楷体_GB2312" w:cs="楷体_GB2312"/>
          <w:b w:val="0"/>
          <w:bCs w:val="0"/>
          <w:color w:val="000000"/>
          <w:spacing w:val="0"/>
          <w:sz w:val="32"/>
          <w:szCs w:val="32"/>
          <w:highlight w:val="none"/>
          <w:lang w:eastAsia="zh-CN"/>
        </w:rPr>
        <w:t>和</w:t>
      </w:r>
      <w:r>
        <w:rPr>
          <w:rFonts w:hint="eastAsia" w:ascii="楷体_GB2312" w:hAnsi="楷体_GB2312" w:eastAsia="楷体_GB2312" w:cs="楷体_GB2312"/>
          <w:b w:val="0"/>
          <w:bCs w:val="0"/>
          <w:color w:val="000000"/>
          <w:spacing w:val="0"/>
          <w:sz w:val="32"/>
          <w:szCs w:val="32"/>
          <w:highlight w:val="none"/>
        </w:rPr>
        <w:t>监督保障</w:t>
      </w:r>
      <w:r>
        <w:rPr>
          <w:rFonts w:hint="eastAsia" w:ascii="楷体_GB2312" w:hAnsi="楷体_GB2312" w:eastAsia="楷体_GB2312" w:cs="楷体_GB2312"/>
          <w:b w:val="0"/>
          <w:bCs w:val="0"/>
          <w:color w:val="000000"/>
          <w:spacing w:val="0"/>
          <w:sz w:val="32"/>
          <w:szCs w:val="32"/>
          <w:highlight w:val="none"/>
          <w:lang w:eastAsia="zh-CN"/>
        </w:rPr>
        <w:t>情况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pacing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000000"/>
          <w:spacing w:val="0"/>
          <w:sz w:val="32"/>
          <w:szCs w:val="32"/>
          <w:highlight w:val="none"/>
          <w:lang w:eastAsia="zh-CN"/>
        </w:rPr>
        <w:t>文景</w:t>
      </w:r>
      <w:r>
        <w:rPr>
          <w:rFonts w:hint="eastAsia" w:ascii="仿宋_GB2312" w:hAnsi="仿宋_GB2312" w:eastAsia="仿宋_GB2312" w:cs="仿宋_GB2312"/>
          <w:color w:val="000000"/>
          <w:spacing w:val="0"/>
          <w:sz w:val="32"/>
          <w:szCs w:val="32"/>
          <w:highlight w:val="none"/>
        </w:rPr>
        <w:t>街道严格按照</w:t>
      </w:r>
      <w:r>
        <w:rPr>
          <w:rFonts w:hint="default" w:ascii="仿宋_GB2312" w:hAnsi="仿宋_GB2312" w:eastAsia="仿宋_GB2312" w:cs="仿宋_GB2312"/>
          <w:spacing w:val="0"/>
          <w:sz w:val="32"/>
          <w:szCs w:val="32"/>
          <w:highlight w:val="none"/>
        </w:rPr>
        <w:t>《政府信息公开条例》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highlight w:val="none"/>
          <w:lang w:eastAsia="zh-CN"/>
        </w:rPr>
        <w:t>《政府信息公开应知应会手册》</w:t>
      </w:r>
      <w:r>
        <w:rPr>
          <w:rFonts w:hint="eastAsia" w:ascii="仿宋_GB2312" w:hAnsi="仿宋_GB2312" w:eastAsia="仿宋_GB2312" w:cs="仿宋_GB2312"/>
          <w:color w:val="000000"/>
          <w:spacing w:val="0"/>
          <w:sz w:val="32"/>
          <w:szCs w:val="32"/>
          <w:highlight w:val="none"/>
          <w:lang w:eastAsia="zh-CN"/>
        </w:rPr>
        <w:t>及相关工作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highlight w:val="none"/>
          <w:lang w:eastAsia="zh-CN"/>
        </w:rPr>
        <w:t>要求</w:t>
      </w:r>
      <w:r>
        <w:rPr>
          <w:rFonts w:hint="eastAsia" w:ascii="仿宋_GB2312" w:hAnsi="仿宋_GB2312" w:eastAsia="仿宋_GB2312" w:cs="仿宋_GB2312"/>
          <w:color w:val="000000"/>
          <w:spacing w:val="0"/>
          <w:sz w:val="32"/>
          <w:szCs w:val="32"/>
          <w:highlight w:val="none"/>
        </w:rPr>
        <w:t>，细化工作部署、加强平台建设</w:t>
      </w:r>
      <w:r>
        <w:rPr>
          <w:rFonts w:hint="eastAsia" w:ascii="仿宋_GB2312" w:hAnsi="仿宋_GB2312" w:eastAsia="仿宋_GB2312" w:cs="仿宋_GB2312"/>
          <w:color w:val="000000"/>
          <w:spacing w:val="0"/>
          <w:sz w:val="32"/>
          <w:szCs w:val="32"/>
          <w:highlight w:val="none"/>
          <w:lang w:eastAsia="zh-CN"/>
        </w:rPr>
        <w:t>。</w:t>
      </w:r>
      <w:r>
        <w:rPr>
          <w:rFonts w:hint="eastAsia" w:ascii="仿宋_GB2312" w:hAnsi="仿宋_GB2312" w:eastAsia="仿宋_GB2312" w:cs="仿宋_GB2312"/>
          <w:b/>
          <w:bCs/>
          <w:color w:val="000000"/>
          <w:spacing w:val="0"/>
          <w:sz w:val="32"/>
          <w:szCs w:val="32"/>
          <w:highlight w:val="none"/>
          <w:lang w:eastAsia="zh-CN"/>
        </w:rPr>
        <w:t>一是</w:t>
      </w:r>
      <w:r>
        <w:rPr>
          <w:rFonts w:hint="eastAsia" w:ascii="仿宋_GB2312" w:hAnsi="宋体" w:eastAsia="仿宋_GB2312" w:cs="宋体"/>
          <w:spacing w:val="0"/>
          <w:kern w:val="0"/>
          <w:sz w:val="32"/>
          <w:szCs w:val="32"/>
          <w:highlight w:val="none"/>
        </w:rPr>
        <w:t>积极参加</w:t>
      </w:r>
      <w:r>
        <w:rPr>
          <w:rFonts w:hint="eastAsia" w:ascii="仿宋_GB2312" w:hAnsi="宋体" w:eastAsia="仿宋_GB2312" w:cs="宋体"/>
          <w:spacing w:val="0"/>
          <w:kern w:val="0"/>
          <w:sz w:val="32"/>
          <w:szCs w:val="32"/>
          <w:highlight w:val="none"/>
          <w:lang w:eastAsia="zh-CN"/>
        </w:rPr>
        <w:t>区级部门</w:t>
      </w:r>
      <w:r>
        <w:rPr>
          <w:rFonts w:hint="eastAsia" w:ascii="仿宋_GB2312" w:hAnsi="宋体" w:eastAsia="仿宋_GB2312" w:cs="宋体"/>
          <w:spacing w:val="0"/>
          <w:kern w:val="0"/>
          <w:sz w:val="32"/>
          <w:szCs w:val="32"/>
          <w:highlight w:val="none"/>
          <w:lang w:val="en-US" w:eastAsia="zh-CN"/>
        </w:rPr>
        <w:t>组织的</w:t>
      </w:r>
      <w:r>
        <w:rPr>
          <w:rFonts w:hint="eastAsia" w:ascii="仿宋_GB2312" w:hAnsi="宋体" w:eastAsia="仿宋_GB2312" w:cs="宋体"/>
          <w:spacing w:val="0"/>
          <w:kern w:val="0"/>
          <w:sz w:val="32"/>
          <w:szCs w:val="32"/>
          <w:highlight w:val="none"/>
        </w:rPr>
        <w:t>培训会</w:t>
      </w:r>
      <w:r>
        <w:rPr>
          <w:rFonts w:hint="eastAsia" w:ascii="仿宋_GB2312" w:hAnsi="宋体" w:eastAsia="仿宋_GB2312" w:cs="宋体"/>
          <w:spacing w:val="0"/>
          <w:kern w:val="0"/>
          <w:sz w:val="32"/>
          <w:szCs w:val="32"/>
          <w:highlight w:val="none"/>
          <w:lang w:eastAsia="zh-CN"/>
        </w:rPr>
        <w:t>，并</w:t>
      </w:r>
      <w:r>
        <w:rPr>
          <w:rFonts w:hint="eastAsia" w:ascii="仿宋_GB2312" w:hAnsi="仿宋_GB2312" w:eastAsia="仿宋_GB2312" w:cs="仿宋_GB2312"/>
          <w:color w:val="000000"/>
          <w:spacing w:val="0"/>
          <w:sz w:val="32"/>
          <w:szCs w:val="32"/>
          <w:highlight w:val="none"/>
        </w:rPr>
        <w:t>开展</w:t>
      </w:r>
      <w:r>
        <w:rPr>
          <w:rFonts w:hint="eastAsia" w:ascii="仿宋_GB2312" w:hAnsi="仿宋_GB2312" w:eastAsia="仿宋_GB2312" w:cs="仿宋_GB2312"/>
          <w:color w:val="000000"/>
          <w:spacing w:val="0"/>
          <w:sz w:val="32"/>
          <w:szCs w:val="32"/>
          <w:highlight w:val="none"/>
          <w:lang w:eastAsia="zh-CN"/>
        </w:rPr>
        <w:t>内部</w:t>
      </w:r>
      <w:r>
        <w:rPr>
          <w:rFonts w:hint="eastAsia" w:ascii="仿宋_GB2312" w:hAnsi="仿宋_GB2312" w:eastAsia="仿宋_GB2312" w:cs="仿宋_GB2312"/>
          <w:color w:val="000000"/>
          <w:spacing w:val="0"/>
          <w:sz w:val="32"/>
          <w:szCs w:val="32"/>
          <w:highlight w:val="none"/>
        </w:rPr>
        <w:t>信息公开</w:t>
      </w:r>
      <w:r>
        <w:rPr>
          <w:rFonts w:hint="eastAsia" w:ascii="仿宋_GB2312" w:hAnsi="仿宋_GB2312" w:eastAsia="仿宋_GB2312" w:cs="仿宋_GB2312"/>
          <w:color w:val="000000"/>
          <w:spacing w:val="0"/>
          <w:sz w:val="32"/>
          <w:szCs w:val="32"/>
          <w:highlight w:val="none"/>
          <w:lang w:eastAsia="zh-CN"/>
        </w:rPr>
        <w:t>交流研讨会</w:t>
      </w:r>
      <w:r>
        <w:rPr>
          <w:rFonts w:hint="eastAsia" w:ascii="仿宋_GB2312" w:hAnsi="仿宋_GB2312" w:eastAsia="仿宋_GB2312" w:cs="仿宋_GB2312"/>
          <w:color w:val="000000"/>
          <w:spacing w:val="0"/>
          <w:sz w:val="32"/>
          <w:szCs w:val="32"/>
          <w:highlight w:val="none"/>
        </w:rPr>
        <w:t>，切实提高政务公开队伍的业务素养和工作能力。</w:t>
      </w:r>
      <w:r>
        <w:rPr>
          <w:rFonts w:hint="eastAsia" w:ascii="仿宋_GB2312" w:hAnsi="仿宋_GB2312" w:eastAsia="仿宋_GB2312" w:cs="仿宋_GB2312"/>
          <w:b/>
          <w:bCs/>
          <w:color w:val="000000"/>
          <w:spacing w:val="0"/>
          <w:sz w:val="32"/>
          <w:szCs w:val="32"/>
          <w:highlight w:val="none"/>
          <w:lang w:eastAsia="zh-CN"/>
        </w:rPr>
        <w:t>二是</w:t>
      </w:r>
      <w:r>
        <w:rPr>
          <w:rFonts w:hint="eastAsia" w:ascii="仿宋_GB2312" w:hAnsi="仿宋_GB2312" w:eastAsia="仿宋_GB2312" w:cs="仿宋_GB2312"/>
          <w:color w:val="000000"/>
          <w:spacing w:val="0"/>
          <w:sz w:val="32"/>
          <w:szCs w:val="32"/>
          <w:highlight w:val="none"/>
        </w:rPr>
        <w:t>畅通群众来信、来电、来访诉求</w:t>
      </w:r>
      <w:r>
        <w:rPr>
          <w:rFonts w:hint="eastAsia" w:ascii="仿宋_GB2312" w:hAnsi="仿宋_GB2312" w:eastAsia="仿宋_GB2312" w:cs="仿宋_GB2312"/>
          <w:color w:val="000000"/>
          <w:spacing w:val="0"/>
          <w:sz w:val="32"/>
          <w:szCs w:val="32"/>
          <w:highlight w:val="none"/>
          <w:lang w:eastAsia="zh-CN"/>
        </w:rPr>
        <w:t>渠道</w:t>
      </w:r>
      <w:r>
        <w:rPr>
          <w:rFonts w:hint="eastAsia" w:ascii="仿宋_GB2312" w:hAnsi="仿宋_GB2312" w:eastAsia="仿宋_GB2312" w:cs="仿宋_GB2312"/>
          <w:color w:val="000000"/>
          <w:spacing w:val="0"/>
          <w:sz w:val="32"/>
          <w:szCs w:val="32"/>
          <w:highlight w:val="none"/>
        </w:rPr>
        <w:t>，及时回复，自觉接受有关部门和社会各界的监督，</w:t>
      </w:r>
      <w:r>
        <w:rPr>
          <w:rFonts w:hint="eastAsia" w:ascii="仿宋_GB2312" w:hAnsi="仿宋_GB2312" w:eastAsia="仿宋_GB2312" w:cs="仿宋_GB2312"/>
          <w:color w:val="000000"/>
          <w:spacing w:val="0"/>
          <w:sz w:val="32"/>
          <w:szCs w:val="32"/>
          <w:highlight w:val="none"/>
          <w:lang w:eastAsia="zh-CN"/>
        </w:rPr>
        <w:t>全面提升</w:t>
      </w:r>
      <w:r>
        <w:rPr>
          <w:rFonts w:hint="eastAsia" w:ascii="仿宋_GB2312" w:hAnsi="仿宋_GB2312" w:eastAsia="仿宋_GB2312" w:cs="仿宋_GB2312"/>
          <w:color w:val="000000"/>
          <w:spacing w:val="0"/>
          <w:sz w:val="32"/>
          <w:szCs w:val="32"/>
          <w:highlight w:val="none"/>
        </w:rPr>
        <w:t>政府信息公开</w:t>
      </w:r>
      <w:r>
        <w:rPr>
          <w:rFonts w:hint="eastAsia" w:ascii="仿宋_GB2312" w:hAnsi="仿宋_GB2312" w:eastAsia="仿宋_GB2312" w:cs="仿宋_GB2312"/>
          <w:color w:val="000000"/>
          <w:spacing w:val="0"/>
          <w:sz w:val="32"/>
          <w:szCs w:val="32"/>
          <w:highlight w:val="none"/>
          <w:lang w:eastAsia="zh-CN"/>
        </w:rPr>
        <w:t>工作质效</w:t>
      </w:r>
      <w:r>
        <w:rPr>
          <w:rFonts w:hint="eastAsia" w:ascii="仿宋_GB2312" w:hAnsi="仿宋_GB2312" w:eastAsia="仿宋_GB2312" w:cs="仿宋_GB2312"/>
          <w:color w:val="000000"/>
          <w:spacing w:val="0"/>
          <w:sz w:val="32"/>
          <w:szCs w:val="32"/>
          <w:highlight w:val="none"/>
        </w:rPr>
        <w:t>。</w:t>
      </w:r>
    </w:p>
    <w:p>
      <w:pPr>
        <w:rPr>
          <w:rFonts w:hint="eastAsia" w:ascii="黑体" w:hAnsi="黑体" w:eastAsia="黑体" w:cs="黑体"/>
          <w:spacing w:val="0"/>
          <w:sz w:val="32"/>
          <w:szCs w:val="32"/>
        </w:rPr>
      </w:pPr>
      <w:r>
        <w:rPr>
          <w:rFonts w:hint="eastAsia" w:ascii="黑体" w:hAnsi="黑体" w:eastAsia="黑体" w:cs="黑体"/>
          <w:spacing w:val="0"/>
          <w:sz w:val="32"/>
          <w:szCs w:val="32"/>
        </w:rPr>
        <w:br w:type="page"/>
      </w:r>
    </w:p>
    <w:p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textAlignment w:val="auto"/>
        <w:rPr>
          <w:rFonts w:hint="eastAsia" w:ascii="黑体" w:hAnsi="黑体" w:eastAsia="黑体" w:cs="黑体"/>
          <w:spacing w:val="0"/>
          <w:sz w:val="32"/>
          <w:szCs w:val="32"/>
        </w:rPr>
      </w:pPr>
      <w:r>
        <w:rPr>
          <w:rFonts w:hint="eastAsia" w:ascii="黑体" w:hAnsi="黑体" w:eastAsia="黑体" w:cs="黑体"/>
          <w:spacing w:val="0"/>
          <w:sz w:val="32"/>
          <w:szCs w:val="32"/>
        </w:rPr>
        <w:t>主动公开政府信息情况</w:t>
      </w:r>
    </w:p>
    <w:p>
      <w:pPr>
        <w:pStyle w:val="2"/>
        <w:spacing w:line="560" w:lineRule="exact"/>
        <w:rPr>
          <w:rFonts w:hint="eastAsia"/>
          <w:spacing w:val="0"/>
        </w:rPr>
      </w:pPr>
    </w:p>
    <w:tbl>
      <w:tblPr>
        <w:tblStyle w:val="8"/>
        <w:tblW w:w="9740" w:type="dxa"/>
        <w:jc w:val="cente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435"/>
        <w:gridCol w:w="2435"/>
        <w:gridCol w:w="2435"/>
        <w:gridCol w:w="2435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第二十条第（一）项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信息内容</w:t>
            </w:r>
          </w:p>
        </w:tc>
        <w:tc>
          <w:tcPr>
            <w:tcW w:w="24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本年制发件数</w:t>
            </w:r>
          </w:p>
        </w:tc>
        <w:tc>
          <w:tcPr>
            <w:tcW w:w="24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本年废止件数</w:t>
            </w:r>
          </w:p>
        </w:tc>
        <w:tc>
          <w:tcPr>
            <w:tcW w:w="24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现行有效件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数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规章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行政规范性文件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第二十条第（五）项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信息内容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本年处理决定数量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行政许可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第二十条第（六）项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信息内容</w:t>
            </w:r>
          </w:p>
        </w:tc>
        <w:tc>
          <w:tcPr>
            <w:tcW w:w="7305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本年处理决定数量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行政处罚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行政强制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第二十条第（八）项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信息内容</w:t>
            </w:r>
          </w:p>
        </w:tc>
        <w:tc>
          <w:tcPr>
            <w:tcW w:w="730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本年收费金额（单位：万元）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行政事业性收费</w:t>
            </w:r>
          </w:p>
        </w:tc>
        <w:tc>
          <w:tcPr>
            <w:tcW w:w="730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jc w:val="center"/>
              <w:rPr>
                <w:rFonts w:hint="eastAsia" w:ascii="宋体" w:eastAsiaTheme="minorEastAsia"/>
                <w:sz w:val="24"/>
                <w:lang w:val="en-US" w:eastAsia="zh-CN"/>
              </w:rPr>
            </w:pPr>
            <w:r>
              <w:rPr>
                <w:rFonts w:hint="eastAsia" w:ascii="宋体"/>
                <w:sz w:val="20"/>
                <w:szCs w:val="20"/>
                <w:lang w:val="en-US" w:eastAsia="zh-CN"/>
              </w:rPr>
              <w:t>0</w:t>
            </w:r>
          </w:p>
        </w:tc>
      </w:tr>
    </w:tbl>
    <w:p>
      <w:pPr>
        <w:pStyle w:val="2"/>
        <w:spacing w:line="560" w:lineRule="exact"/>
        <w:rPr>
          <w:rFonts w:hint="eastAsia"/>
        </w:rPr>
      </w:pPr>
    </w:p>
    <w:p>
      <w:pPr>
        <w:numPr>
          <w:ilvl w:val="0"/>
          <w:numId w:val="1"/>
        </w:numPr>
        <w:spacing w:line="560" w:lineRule="exact"/>
        <w:ind w:firstLine="64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收到和处理政府信息公开申请情况</w:t>
      </w:r>
    </w:p>
    <w:p>
      <w:pPr>
        <w:pStyle w:val="7"/>
        <w:widowControl/>
        <w:shd w:val="clear" w:color="auto" w:fill="FFFFFF"/>
        <w:spacing w:before="0" w:beforeAutospacing="0" w:after="0" w:afterAutospacing="0" w:line="560" w:lineRule="exact"/>
        <w:ind w:firstLine="420"/>
        <w:jc w:val="both"/>
        <w:rPr>
          <w:rFonts w:hint="eastAsia" w:ascii="宋体" w:hAnsi="宋体" w:cs="宋体"/>
          <w:color w:val="333333"/>
        </w:rPr>
      </w:pPr>
    </w:p>
    <w:tbl>
      <w:tblPr>
        <w:tblStyle w:val="8"/>
        <w:tblW w:w="9748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767"/>
        <w:gridCol w:w="943"/>
        <w:gridCol w:w="3217"/>
        <w:gridCol w:w="688"/>
        <w:gridCol w:w="693"/>
        <w:gridCol w:w="688"/>
        <w:gridCol w:w="688"/>
        <w:gridCol w:w="688"/>
        <w:gridCol w:w="688"/>
        <w:gridCol w:w="688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27" w:type="dxa"/>
            <w:gridSpan w:val="3"/>
            <w:vMerge w:val="restart"/>
            <w:tcBorders>
              <w:top w:val="single" w:color="auto" w:sz="8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left"/>
            </w:pPr>
            <w:r>
              <w:rPr>
                <w:rFonts w:ascii="楷体" w:hAnsi="楷体" w:eastAsia="楷体" w:cs="楷体"/>
                <w:kern w:val="0"/>
                <w:sz w:val="20"/>
                <w:szCs w:val="20"/>
                <w:lang w:bidi="ar"/>
              </w:rPr>
              <w:t>（本列数据的勾稽关系为：第一项加第二项之和，等于第三项加第四项之和）</w:t>
            </w:r>
          </w:p>
        </w:tc>
        <w:tc>
          <w:tcPr>
            <w:tcW w:w="4821" w:type="dxa"/>
            <w:gridSpan w:val="7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申请人情况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27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688" w:type="dxa"/>
            <w:vMerge w:val="restart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自然人</w:t>
            </w:r>
          </w:p>
        </w:tc>
        <w:tc>
          <w:tcPr>
            <w:tcW w:w="3445" w:type="dxa"/>
            <w:gridSpan w:val="5"/>
            <w:tcBorders>
              <w:top w:val="single" w:color="auto" w:sz="8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法人或其他组织</w:t>
            </w:r>
          </w:p>
        </w:tc>
        <w:tc>
          <w:tcPr>
            <w:tcW w:w="688" w:type="dxa"/>
            <w:vMerge w:val="restart"/>
            <w:tcBorders>
              <w:top w:val="single" w:color="auto" w:sz="8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总计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27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688" w:type="dxa"/>
            <w:vMerge w:val="continue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693" w:type="dxa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商业</w:t>
            </w:r>
          </w:p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企业</w:t>
            </w:r>
          </w:p>
        </w:tc>
        <w:tc>
          <w:tcPr>
            <w:tcW w:w="688" w:type="dxa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科研</w:t>
            </w:r>
          </w:p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机构</w:t>
            </w:r>
          </w:p>
        </w:tc>
        <w:tc>
          <w:tcPr>
            <w:tcW w:w="688" w:type="dxa"/>
            <w:tcBorders>
              <w:top w:val="single" w:color="auto" w:sz="8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社会公益组织</w:t>
            </w:r>
          </w:p>
        </w:tc>
        <w:tc>
          <w:tcPr>
            <w:tcW w:w="688" w:type="dxa"/>
            <w:tcBorders>
              <w:top w:val="single" w:color="auto" w:sz="8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法律服务机构</w:t>
            </w:r>
          </w:p>
        </w:tc>
        <w:tc>
          <w:tcPr>
            <w:tcW w:w="688" w:type="dxa"/>
            <w:tcBorders>
              <w:top w:val="single" w:color="auto" w:sz="8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其他</w:t>
            </w:r>
          </w:p>
        </w:tc>
        <w:tc>
          <w:tcPr>
            <w:tcW w:w="688" w:type="dxa"/>
            <w:vMerge w:val="continue"/>
            <w:tcBorders>
              <w:top w:val="single" w:color="auto" w:sz="8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</w:tblPrEx>
        <w:trPr>
          <w:jc w:val="center"/>
        </w:trPr>
        <w:tc>
          <w:tcPr>
            <w:tcW w:w="4927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一、本年新收政府信息公开申请数量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val="en-US" w:eastAsia="zh-CN" w:bidi="ar"/>
              </w:rPr>
              <w:t>3</w:t>
            </w:r>
          </w:p>
        </w:tc>
        <w:tc>
          <w:tcPr>
            <w:tcW w:w="69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val="en-US" w:eastAsia="zh-CN" w:bidi="ar"/>
              </w:rPr>
              <w:t>3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27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二、上年结转政府信息公开申请数量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9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7" w:type="dxa"/>
            <w:vMerge w:val="restart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三、本年度办理结果</w:t>
            </w:r>
          </w:p>
        </w:tc>
        <w:tc>
          <w:tcPr>
            <w:tcW w:w="4160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（一）予以公开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default" w:asciiTheme="minorEastAsia" w:hAnsiTheme="minorEastAsia" w:eastAsiaTheme="minorEastAsia" w:cstheme="minorEastAsia"/>
                <w:sz w:val="20"/>
                <w:szCs w:val="20"/>
                <w:lang w:val="en" w:eastAsia="zh-CN"/>
              </w:rPr>
            </w:pPr>
            <w:r>
              <w:rPr>
                <w:rFonts w:hint="default" w:asciiTheme="minorEastAsia" w:hAnsiTheme="minorEastAsia" w:cstheme="minorEastAsia"/>
                <w:kern w:val="0"/>
                <w:sz w:val="20"/>
                <w:szCs w:val="20"/>
                <w:lang w:val="en" w:eastAsia="zh-CN" w:bidi="ar"/>
              </w:rPr>
              <w:t>1</w:t>
            </w:r>
          </w:p>
        </w:tc>
        <w:tc>
          <w:tcPr>
            <w:tcW w:w="69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default" w:asciiTheme="minorEastAsia" w:hAnsiTheme="minorEastAsia" w:eastAsiaTheme="minorEastAsia" w:cstheme="minorEastAsia"/>
                <w:sz w:val="20"/>
                <w:szCs w:val="20"/>
                <w:lang w:val="en" w:eastAsia="zh-CN"/>
              </w:rPr>
            </w:pPr>
            <w:r>
              <w:rPr>
                <w:rFonts w:hint="default" w:asciiTheme="minorEastAsia" w:hAnsiTheme="minorEastAsia" w:cstheme="minorEastAsia"/>
                <w:kern w:val="0"/>
                <w:sz w:val="20"/>
                <w:szCs w:val="20"/>
                <w:lang w:val="en" w:eastAsia="zh-CN" w:bidi="ar"/>
              </w:rPr>
              <w:t>1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7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4160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（二）部分公开</w:t>
            </w:r>
            <w:r>
              <w:rPr>
                <w:rFonts w:ascii="楷体" w:hAnsi="楷体" w:eastAsia="楷体" w:cs="楷体"/>
                <w:kern w:val="0"/>
                <w:sz w:val="20"/>
                <w:szCs w:val="20"/>
                <w:lang w:bidi="ar"/>
              </w:rPr>
              <w:t>（区分处理的，只计这一情形，不计其他情形）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9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default" w:asciiTheme="minorEastAsia" w:hAnsiTheme="minorEastAsia" w:eastAsiaTheme="minorEastAsia" w:cstheme="minorEastAsia"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7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restart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（三）不予公开</w:t>
            </w:r>
          </w:p>
        </w:tc>
        <w:tc>
          <w:tcPr>
            <w:tcW w:w="32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1.属于国家秘密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9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7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32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2.其他法律行政法规禁止公开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9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7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32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3.危及“三安全一稳定”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9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7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32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4.保护第三方合法权益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9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7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32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5.属于三类内部事务信息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69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7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3217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6.属于四类过程性信息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93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7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32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7.属于行政执法案卷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7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32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8.属于行政查询事项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7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restart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（四）无法提供</w:t>
            </w:r>
          </w:p>
        </w:tc>
        <w:tc>
          <w:tcPr>
            <w:tcW w:w="32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1.本机关不掌握相关政府信息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default" w:asciiTheme="minorEastAsia" w:hAnsiTheme="minorEastAsia" w:eastAsiaTheme="minorEastAsia" w:cstheme="minorEastAsia"/>
                <w:kern w:val="2"/>
                <w:sz w:val="20"/>
                <w:szCs w:val="20"/>
                <w:lang w:val="en" w:eastAsia="zh-CN" w:bidi="ar-SA"/>
              </w:rPr>
            </w:pPr>
            <w:r>
              <w:rPr>
                <w:rFonts w:hint="default" w:asciiTheme="minorEastAsia" w:hAnsiTheme="minorEastAsia" w:cstheme="minorEastAsia"/>
                <w:kern w:val="0"/>
                <w:sz w:val="20"/>
                <w:szCs w:val="20"/>
                <w:lang w:val="en" w:eastAsia="zh-CN" w:bidi="ar"/>
              </w:rPr>
              <w:t>1</w:t>
            </w:r>
          </w:p>
        </w:tc>
        <w:tc>
          <w:tcPr>
            <w:tcW w:w="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default" w:asciiTheme="minorEastAsia" w:hAnsiTheme="minorEastAsia" w:eastAsiaTheme="minorEastAsia" w:cstheme="minorEastAsia"/>
                <w:kern w:val="2"/>
                <w:sz w:val="20"/>
                <w:szCs w:val="20"/>
                <w:lang w:val="en" w:eastAsia="zh-CN" w:bidi="ar-SA"/>
              </w:rPr>
            </w:pPr>
            <w:r>
              <w:rPr>
                <w:rFonts w:hint="default" w:asciiTheme="minorEastAsia" w:hAnsiTheme="minorEastAsia" w:cstheme="minorEastAsia"/>
                <w:sz w:val="20"/>
                <w:szCs w:val="20"/>
                <w:lang w:val="en" w:eastAsia="zh-CN"/>
              </w:rPr>
              <w:t>1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7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32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2.没有现成信息需要另行制作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7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321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3.补正后申请内容仍不明确</w:t>
            </w:r>
          </w:p>
        </w:tc>
        <w:tc>
          <w:tcPr>
            <w:tcW w:w="688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93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7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restart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（五）不予处理</w:t>
            </w:r>
          </w:p>
        </w:tc>
        <w:tc>
          <w:tcPr>
            <w:tcW w:w="32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1.信访举报投诉类申请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9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7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32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2.重复申请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9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7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32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3.要求提供公开出版物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9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7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32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4.无正当理由大量反复申请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9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9" w:hRule="atLeast"/>
          <w:jc w:val="center"/>
        </w:trPr>
        <w:tc>
          <w:tcPr>
            <w:tcW w:w="767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3217" w:type="dxa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5.要求行政机关确认或重新出具已获取信息</w:t>
            </w:r>
          </w:p>
        </w:tc>
        <w:tc>
          <w:tcPr>
            <w:tcW w:w="688" w:type="dxa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93" w:type="dxa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7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restart"/>
            <w:tcBorders>
              <w:top w:val="outset" w:color="auto" w:sz="8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（六）其他处理</w:t>
            </w:r>
          </w:p>
        </w:tc>
        <w:tc>
          <w:tcPr>
            <w:tcW w:w="32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1.申请人无正当理由逾期不补正、行政机关不再处理其政府信息公开申请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9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7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outset" w:color="auto" w:sz="8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32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2.申请人逾期未按收费通知要求缴纳费用、行政机关不再处理其政府信息公开申请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9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7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outset" w:color="auto" w:sz="8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32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3.其他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9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7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4160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（七）总计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default" w:asciiTheme="minorEastAsia" w:hAnsiTheme="minorEastAsia" w:eastAsiaTheme="minorEastAsia" w:cstheme="minorEastAsia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val="en-US" w:eastAsia="zh-CN" w:bidi="ar"/>
              </w:rPr>
              <w:t>3</w:t>
            </w:r>
          </w:p>
        </w:tc>
        <w:tc>
          <w:tcPr>
            <w:tcW w:w="69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val="en-US" w:eastAsia="zh-CN" w:bidi="ar"/>
              </w:rPr>
              <w:t>3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27" w:type="dxa"/>
            <w:gridSpan w:val="3"/>
            <w:tcBorders>
              <w:top w:val="single" w:color="auto" w:sz="0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四、结转下年度继续办理</w:t>
            </w:r>
          </w:p>
        </w:tc>
        <w:tc>
          <w:tcPr>
            <w:tcW w:w="0" w:type="auto"/>
            <w:tcBorders>
              <w:top w:val="outset" w:color="auto" w:sz="6" w:space="0"/>
              <w:left w:val="single" w:color="auto" w:sz="0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outset" w:color="auto" w:sz="6" w:space="0"/>
              <w:left w:val="single" w:color="auto" w:sz="0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outset" w:color="auto" w:sz="6" w:space="0"/>
              <w:left w:val="single" w:color="auto" w:sz="0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outset" w:color="auto" w:sz="6" w:space="0"/>
              <w:left w:val="single" w:color="auto" w:sz="0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outset" w:color="auto" w:sz="6" w:space="0"/>
              <w:left w:val="single" w:color="auto" w:sz="0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outset" w:color="auto" w:sz="6" w:space="0"/>
              <w:left w:val="single" w:color="auto" w:sz="0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outset" w:color="auto" w:sz="6" w:space="0"/>
              <w:left w:val="single" w:color="auto" w:sz="0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sz w:val="20"/>
                <w:szCs w:val="20"/>
                <w:lang w:val="en-US" w:eastAsia="zh-CN"/>
              </w:rPr>
              <w:t>0</w:t>
            </w:r>
          </w:p>
        </w:tc>
      </w:tr>
    </w:tbl>
    <w:p>
      <w:pPr>
        <w:pStyle w:val="2"/>
        <w:spacing w:line="560" w:lineRule="exact"/>
        <w:ind w:left="420" w:leftChars="200"/>
        <w:rPr>
          <w:rFonts w:hint="eastAsia"/>
        </w:rPr>
      </w:pPr>
    </w:p>
    <w:p>
      <w:pPr>
        <w:pStyle w:val="2"/>
        <w:spacing w:line="560" w:lineRule="exact"/>
        <w:ind w:left="420" w:leftChars="200"/>
        <w:rPr>
          <w:rFonts w:hint="eastAsia"/>
        </w:rPr>
      </w:pPr>
    </w:p>
    <w:p>
      <w:pPr>
        <w:spacing w:line="560" w:lineRule="exact"/>
        <w:ind w:firstLine="640" w:firstLineChars="20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四、政府信息公开行政复议、行政诉讼情况</w:t>
      </w:r>
    </w:p>
    <w:p>
      <w:pPr>
        <w:widowControl/>
        <w:spacing w:line="560" w:lineRule="exact"/>
        <w:jc w:val="center"/>
      </w:pPr>
    </w:p>
    <w:tbl>
      <w:tblPr>
        <w:tblStyle w:val="8"/>
        <w:tblW w:w="9748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649"/>
        <w:gridCol w:w="649"/>
        <w:gridCol w:w="649"/>
        <w:gridCol w:w="649"/>
        <w:gridCol w:w="649"/>
        <w:gridCol w:w="649"/>
        <w:gridCol w:w="649"/>
        <w:gridCol w:w="650"/>
        <w:gridCol w:w="650"/>
        <w:gridCol w:w="650"/>
        <w:gridCol w:w="651"/>
        <w:gridCol w:w="651"/>
        <w:gridCol w:w="651"/>
        <w:gridCol w:w="651"/>
        <w:gridCol w:w="651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7" w:hRule="atLeast"/>
          <w:jc w:val="center"/>
        </w:trPr>
        <w:tc>
          <w:tcPr>
            <w:tcW w:w="3210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行政复议</w:t>
            </w:r>
          </w:p>
        </w:tc>
        <w:tc>
          <w:tcPr>
            <w:tcW w:w="6428" w:type="dxa"/>
            <w:gridSpan w:val="10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行政诉讼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2" w:hRule="atLeast"/>
          <w:jc w:val="center"/>
        </w:trPr>
        <w:tc>
          <w:tcPr>
            <w:tcW w:w="642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结果维持</w:t>
            </w:r>
          </w:p>
        </w:tc>
        <w:tc>
          <w:tcPr>
            <w:tcW w:w="642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纠正</w:t>
            </w:r>
          </w:p>
        </w:tc>
        <w:tc>
          <w:tcPr>
            <w:tcW w:w="642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其他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</w:t>
            </w:r>
          </w:p>
        </w:tc>
        <w:tc>
          <w:tcPr>
            <w:tcW w:w="642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尚未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审结</w:t>
            </w:r>
          </w:p>
        </w:tc>
        <w:tc>
          <w:tcPr>
            <w:tcW w:w="642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总计</w:t>
            </w:r>
          </w:p>
        </w:tc>
        <w:tc>
          <w:tcPr>
            <w:tcW w:w="3213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未经复议直接起诉</w:t>
            </w:r>
          </w:p>
        </w:tc>
        <w:tc>
          <w:tcPr>
            <w:tcW w:w="3215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复议后起诉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4" w:hRule="atLeast"/>
          <w:jc w:val="center"/>
        </w:trPr>
        <w:tc>
          <w:tcPr>
            <w:tcW w:w="642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642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642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642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642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维持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纠正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其他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尚未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审结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总计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维持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纠正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其他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结果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尚未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审结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总计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2" w:hRule="atLeast"/>
          <w:jc w:val="center"/>
        </w:trPr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both"/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both"/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both"/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both"/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both"/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both"/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both"/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both"/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560" w:lineRule="exact"/>
              <w:jc w:val="center"/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val="en-US" w:eastAsia="zh-CN"/>
              </w:rPr>
              <w:t>0</w:t>
            </w:r>
          </w:p>
        </w:tc>
      </w:tr>
    </w:tbl>
    <w:p>
      <w:pPr>
        <w:widowControl/>
        <w:spacing w:line="560" w:lineRule="exact"/>
        <w:jc w:val="left"/>
      </w:pPr>
    </w:p>
    <w:p>
      <w:pPr>
        <w:rPr>
          <w:rFonts w:ascii="黑体" w:hAnsi="黑体" w:eastAsia="黑体" w:cs="宋体"/>
          <w:spacing w:val="8"/>
          <w:kern w:val="0"/>
          <w:sz w:val="32"/>
          <w:szCs w:val="32"/>
        </w:rPr>
      </w:pPr>
      <w:r>
        <w:rPr>
          <w:rFonts w:ascii="黑体" w:hAnsi="黑体" w:eastAsia="黑体" w:cs="宋体"/>
          <w:spacing w:val="8"/>
          <w:kern w:val="0"/>
          <w:sz w:val="32"/>
          <w:szCs w:val="32"/>
        </w:rPr>
        <w:br w:type="page"/>
      </w:r>
    </w:p>
    <w:p>
      <w:pPr>
        <w:widowControl/>
        <w:spacing w:line="560" w:lineRule="exact"/>
        <w:ind w:firstLine="640" w:firstLineChars="200"/>
        <w:jc w:val="both"/>
        <w:rPr>
          <w:rFonts w:ascii="宋体" w:hAnsi="宋体" w:cs="宋体"/>
          <w:spacing w:val="0"/>
          <w:kern w:val="0"/>
          <w:sz w:val="32"/>
          <w:szCs w:val="32"/>
          <w:highlight w:val="none"/>
        </w:rPr>
      </w:pPr>
      <w:r>
        <w:rPr>
          <w:rFonts w:ascii="黑体" w:hAnsi="黑体" w:eastAsia="黑体" w:cs="宋体"/>
          <w:spacing w:val="0"/>
          <w:kern w:val="0"/>
          <w:sz w:val="32"/>
          <w:szCs w:val="32"/>
          <w:highlight w:val="none"/>
        </w:rPr>
        <w:t>五、存在的主要问题及改进情况</w:t>
      </w:r>
    </w:p>
    <w:p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color w:val="000000"/>
          <w:spacing w:val="0"/>
          <w:kern w:val="2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spacing w:val="0"/>
          <w:kern w:val="2"/>
          <w:sz w:val="32"/>
          <w:szCs w:val="32"/>
          <w:highlight w:val="none"/>
          <w:lang w:val="en-US" w:eastAsia="zh-CN" w:bidi="ar"/>
        </w:rPr>
        <w:t>下一步，文景街道将着眼于政府信息公开工作中存在的短板弱项，从以下两方面发力：</w:t>
      </w:r>
    </w:p>
    <w:p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2" w:firstLineChars="200"/>
        <w:jc w:val="both"/>
        <w:textAlignment w:val="baseline"/>
        <w:rPr>
          <w:rFonts w:hint="eastAsia" w:ascii="仿宋_GB2312" w:hAnsi="仿宋_GB2312" w:eastAsia="仿宋_GB2312" w:cs="仿宋_GB2312"/>
          <w:color w:val="000000"/>
          <w:spacing w:val="0"/>
          <w:kern w:val="2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spacing w:val="0"/>
          <w:kern w:val="2"/>
          <w:sz w:val="32"/>
          <w:szCs w:val="32"/>
          <w:highlight w:val="none"/>
          <w:lang w:val="en-US" w:eastAsia="zh-CN" w:bidi="ar"/>
        </w:rPr>
        <w:t>一是</w:t>
      </w:r>
      <w:r>
        <w:rPr>
          <w:rFonts w:hint="eastAsia" w:ascii="仿宋_GB2312" w:hAnsi="仿宋_GB2312" w:eastAsia="仿宋_GB2312" w:cs="仿宋_GB2312"/>
          <w:color w:val="000000"/>
          <w:spacing w:val="0"/>
          <w:kern w:val="2"/>
          <w:sz w:val="32"/>
          <w:szCs w:val="32"/>
          <w:highlight w:val="none"/>
          <w:lang w:val="en-US" w:eastAsia="zh-CN" w:bidi="ar"/>
        </w:rPr>
        <w:t>全面提升公开信息质量。在确保信息公开及时性和准确性的同时，尽可能丰富信息公开内容，满足公民的信息需求，使其更加贴近民众生活。</w:t>
      </w:r>
    </w:p>
    <w:p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2" w:firstLineChars="200"/>
        <w:jc w:val="both"/>
        <w:textAlignment w:val="baseline"/>
        <w:rPr>
          <w:rFonts w:hint="eastAsia" w:ascii="仿宋_GB2312" w:hAnsi="仿宋_GB2312" w:eastAsia="仿宋_GB2312" w:cs="仿宋_GB2312"/>
          <w:color w:val="000000"/>
          <w:spacing w:val="0"/>
          <w:kern w:val="2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spacing w:val="0"/>
          <w:kern w:val="2"/>
          <w:sz w:val="32"/>
          <w:szCs w:val="32"/>
          <w:highlight w:val="none"/>
          <w:lang w:val="en-US" w:eastAsia="zh-CN" w:bidi="ar"/>
        </w:rPr>
        <w:t>二是</w:t>
      </w:r>
      <w:r>
        <w:rPr>
          <w:rFonts w:hint="eastAsia" w:ascii="仿宋_GB2312" w:hAnsi="仿宋_GB2312" w:eastAsia="仿宋_GB2312" w:cs="仿宋_GB2312"/>
          <w:color w:val="000000"/>
          <w:spacing w:val="0"/>
          <w:kern w:val="2"/>
          <w:sz w:val="32"/>
          <w:szCs w:val="32"/>
          <w:highlight w:val="none"/>
          <w:lang w:val="en-US" w:eastAsia="zh-CN" w:bidi="ar"/>
        </w:rPr>
        <w:t>加强信息公开业务培训。进一步提升工作人员的政务信息公开意识，深入学习领会</w:t>
      </w:r>
      <w:r>
        <w:rPr>
          <w:rFonts w:hint="eastAsia" w:ascii="仿宋_GB2312" w:hAnsi="仿宋_GB2312" w:eastAsia="仿宋_GB2312" w:cs="仿宋_GB2312"/>
          <w:snapToGrid w:val="0"/>
          <w:spacing w:val="0"/>
          <w:sz w:val="32"/>
          <w:szCs w:val="32"/>
          <w:highlight w:val="none"/>
          <w:lang w:eastAsia="zh-CN"/>
        </w:rPr>
        <w:t>《政府信息公开应知应会手册》</w:t>
      </w:r>
      <w:r>
        <w:rPr>
          <w:rFonts w:hint="eastAsia" w:ascii="仿宋_GB2312" w:hAnsi="仿宋_GB2312" w:eastAsia="仿宋_GB2312" w:cs="仿宋_GB2312"/>
          <w:color w:val="000000"/>
          <w:spacing w:val="0"/>
          <w:kern w:val="2"/>
          <w:sz w:val="32"/>
          <w:szCs w:val="32"/>
          <w:highlight w:val="none"/>
          <w:lang w:val="en-US" w:eastAsia="zh-CN" w:bidi="ar"/>
        </w:rPr>
        <w:t>等相关知识，切实增强政府信息公开工作的规范性、专业性。</w:t>
      </w:r>
    </w:p>
    <w:p>
      <w:pPr>
        <w:widowControl/>
        <w:spacing w:line="560" w:lineRule="exact"/>
        <w:ind w:firstLine="675"/>
        <w:jc w:val="both"/>
        <w:rPr>
          <w:rFonts w:ascii="宋体" w:hAnsi="宋体" w:cs="宋体"/>
          <w:spacing w:val="0"/>
          <w:kern w:val="0"/>
          <w:sz w:val="32"/>
          <w:szCs w:val="32"/>
          <w:highlight w:val="none"/>
        </w:rPr>
      </w:pPr>
      <w:r>
        <w:rPr>
          <w:rFonts w:ascii="黑体" w:hAnsi="黑体" w:eastAsia="黑体" w:cs="宋体"/>
          <w:spacing w:val="0"/>
          <w:kern w:val="0"/>
          <w:sz w:val="32"/>
          <w:szCs w:val="32"/>
          <w:highlight w:val="none"/>
        </w:rPr>
        <w:t>六、其他需要报告的事项</w:t>
      </w:r>
    </w:p>
    <w:p>
      <w:pPr>
        <w:widowControl/>
        <w:spacing w:line="560" w:lineRule="exact"/>
        <w:ind w:firstLine="640" w:firstLineChars="200"/>
        <w:jc w:val="both"/>
        <w:rPr>
          <w:rFonts w:hint="eastAsia" w:ascii="方正小标宋简体" w:hAnsi="方正小标宋简体" w:eastAsia="方正小标宋简体" w:cs="方正小标宋简体"/>
          <w:spacing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spacing w:val="0"/>
          <w:kern w:val="0"/>
          <w:sz w:val="32"/>
          <w:szCs w:val="32"/>
          <w:highlight w:val="none"/>
        </w:rPr>
        <w:t>依据</w:t>
      </w:r>
      <w:r>
        <w:rPr>
          <w:rFonts w:hint="eastAsia" w:ascii="仿宋_GB2312" w:hAnsi="宋体" w:eastAsia="仿宋_GB2312" w:cs="宋体"/>
          <w:spacing w:val="0"/>
          <w:kern w:val="0"/>
          <w:sz w:val="32"/>
          <w:szCs w:val="32"/>
          <w:highlight w:val="none"/>
          <w:lang w:eastAsia="zh-CN"/>
        </w:rPr>
        <w:t>《</w:t>
      </w:r>
      <w:r>
        <w:rPr>
          <w:rFonts w:hint="eastAsia" w:ascii="仿宋_GB2312" w:hAnsi="宋体" w:eastAsia="仿宋_GB2312" w:cs="宋体"/>
          <w:spacing w:val="0"/>
          <w:kern w:val="0"/>
          <w:sz w:val="32"/>
          <w:szCs w:val="32"/>
          <w:highlight w:val="none"/>
        </w:rPr>
        <w:t>政府信息公开信息处理费管理办法》收取信息处理费，202</w:t>
      </w:r>
      <w:r>
        <w:rPr>
          <w:rFonts w:hint="eastAsia" w:ascii="仿宋_GB2312" w:hAnsi="宋体" w:eastAsia="仿宋_GB2312" w:cs="宋体"/>
          <w:spacing w:val="0"/>
          <w:kern w:val="0"/>
          <w:sz w:val="32"/>
          <w:szCs w:val="32"/>
          <w:highlight w:val="none"/>
          <w:lang w:val="en-US" w:eastAsia="zh-CN"/>
        </w:rPr>
        <w:t>5</w:t>
      </w:r>
      <w:r>
        <w:rPr>
          <w:rFonts w:hint="eastAsia" w:ascii="仿宋_GB2312" w:hAnsi="宋体" w:eastAsia="仿宋_GB2312" w:cs="宋体"/>
          <w:spacing w:val="0"/>
          <w:kern w:val="0"/>
          <w:sz w:val="32"/>
          <w:szCs w:val="32"/>
          <w:highlight w:val="none"/>
        </w:rPr>
        <w:t>年</w:t>
      </w:r>
      <w:r>
        <w:rPr>
          <w:rFonts w:hint="eastAsia" w:ascii="仿宋_GB2312" w:hAnsi="宋体" w:eastAsia="仿宋_GB2312" w:cs="宋体"/>
          <w:spacing w:val="0"/>
          <w:kern w:val="0"/>
          <w:sz w:val="32"/>
          <w:szCs w:val="32"/>
          <w:highlight w:val="none"/>
          <w:lang w:eastAsia="zh-CN"/>
        </w:rPr>
        <w:t>度</w:t>
      </w:r>
      <w:r>
        <w:rPr>
          <w:rFonts w:hint="eastAsia" w:ascii="仿宋_GB2312" w:hAnsi="宋体" w:eastAsia="仿宋_GB2312" w:cs="宋体"/>
          <w:spacing w:val="0"/>
          <w:kern w:val="0"/>
          <w:sz w:val="32"/>
          <w:szCs w:val="32"/>
          <w:highlight w:val="none"/>
        </w:rPr>
        <w:t>发出收费通知0件，总金额0元</w:t>
      </w:r>
      <w:r>
        <w:rPr>
          <w:rFonts w:hint="eastAsia" w:ascii="仿宋_GB2312" w:hAnsi="宋体" w:eastAsia="仿宋_GB2312" w:cs="宋体"/>
          <w:spacing w:val="0"/>
          <w:kern w:val="0"/>
          <w:sz w:val="32"/>
          <w:szCs w:val="32"/>
          <w:highlight w:val="none"/>
          <w:lang w:eastAsia="zh-CN"/>
        </w:rPr>
        <w:t>，</w:t>
      </w:r>
      <w:r>
        <w:rPr>
          <w:rFonts w:hint="eastAsia" w:ascii="仿宋_GB2312" w:hAnsi="宋体" w:eastAsia="仿宋_GB2312" w:cs="宋体"/>
          <w:spacing w:val="0"/>
          <w:kern w:val="0"/>
          <w:sz w:val="32"/>
          <w:szCs w:val="32"/>
          <w:highlight w:val="none"/>
        </w:rPr>
        <w:t>实际收取总金额0元。</w:t>
      </w:r>
    </w:p>
    <w:p>
      <w:pPr>
        <w:pStyle w:val="2"/>
        <w:jc w:val="center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sectPr>
      <w:headerReference r:id="rId3" w:type="default"/>
      <w:footerReference r:id="rId4" w:type="default"/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微软雅黑">
    <w:panose1 w:val="020B0503020204020204"/>
    <w:charset w:val="86"/>
    <w:family w:val="auto"/>
    <w:pitch w:val="default"/>
    <w:sig w:usb0="80000287" w:usb1="28CF3C52" w:usb2="00000016" w:usb3="00000000" w:csb0="0004001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5"/>
                            <w:rPr>
                              <w:rFonts w:hint="eastAsia" w:eastAsiaTheme="minorEastAsia"/>
                              <w:lang w:eastAsia="zh-CN"/>
                            </w:rPr>
                          </w:pPr>
                          <w:r>
                            <w:rPr>
                              <w:rFonts w:hint="eastAsia" w:ascii="仿宋_GB2312" w:hAnsi="仿宋_GB2312" w:eastAsia="仿宋_GB2312" w:cs="仿宋_GB2312"/>
                              <w:sz w:val="32"/>
                              <w:szCs w:val="32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32"/>
                              <w:szCs w:val="32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32"/>
                              <w:szCs w:val="32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32"/>
                              <w:szCs w:val="32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32"/>
                              <w:szCs w:val="32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false" anchor="t" anchorCtr="false" forceAA="false" upright="false" compatLnSpc="tru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BYAAABkcnMvUEsBAhQAFAAAAAgA&#10;h07iQLNJWO7QAAAABQEAAA8AAAAAAAAAAQAgAAAAOAAAAGRycy9kb3ducmV2LnhtbFBLAQIUABQA&#10;AAAIAIdO4kA8FiLyGwIAACkEAAAOAAAAAAAAAAEAIAAAADU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  <w:rPr>
                        <w:rFonts w:hint="eastAsia" w:eastAsiaTheme="minorEastAsia"/>
                        <w:lang w:eastAsia="zh-CN"/>
                      </w:rPr>
                    </w:pPr>
                    <w:r>
                      <w:rPr>
                        <w:rFonts w:hint="eastAsia" w:ascii="仿宋_GB2312" w:hAnsi="仿宋_GB2312" w:eastAsia="仿宋_GB2312" w:cs="仿宋_GB2312"/>
                        <w:sz w:val="32"/>
                        <w:szCs w:val="32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仿宋_GB2312" w:hAnsi="仿宋_GB2312" w:eastAsia="仿宋_GB2312" w:cs="仿宋_GB2312"/>
                        <w:sz w:val="32"/>
                        <w:szCs w:val="32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仿宋_GB2312" w:hAnsi="仿宋_GB2312" w:eastAsia="仿宋_GB2312" w:cs="仿宋_GB2312"/>
                        <w:sz w:val="32"/>
                        <w:szCs w:val="32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仿宋_GB2312" w:hAnsi="仿宋_GB2312" w:eastAsia="仿宋_GB2312" w:cs="仿宋_GB2312"/>
                        <w:sz w:val="32"/>
                        <w:szCs w:val="32"/>
                        <w:lang w:eastAsia="zh-CN"/>
                      </w:rPr>
                      <w:t>1</w:t>
                    </w:r>
                    <w:r>
                      <w:rPr>
                        <w:rFonts w:hint="eastAsia" w:ascii="仿宋_GB2312" w:hAnsi="仿宋_GB2312" w:eastAsia="仿宋_GB2312" w:cs="仿宋_GB2312"/>
                        <w:sz w:val="32"/>
                        <w:szCs w:val="32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8FBF937"/>
    <w:multiLevelType w:val="singleLevel"/>
    <w:tmpl w:val="F8FBF937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2"/>
  <w:embedTrueTypeFonts/>
  <w:saveSubsetFonts/>
  <w:bordersDoNotSurroundHeader w:val="false"/>
  <w:bordersDoNotSurroundFooter w:val="fals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RjZTdjODNhNmU5MGMyNTg1ODJiZThhMzlkZWE3YmIifQ=="/>
  </w:docVars>
  <w:rsids>
    <w:rsidRoot w:val="30807B4B"/>
    <w:rsid w:val="00442DB0"/>
    <w:rsid w:val="05D85E3B"/>
    <w:rsid w:val="05E4647C"/>
    <w:rsid w:val="0ABA6173"/>
    <w:rsid w:val="0AE80091"/>
    <w:rsid w:val="0B9064BE"/>
    <w:rsid w:val="0C082AAD"/>
    <w:rsid w:val="0CC11C92"/>
    <w:rsid w:val="0E36675F"/>
    <w:rsid w:val="0F071AFE"/>
    <w:rsid w:val="11205883"/>
    <w:rsid w:val="13002EED"/>
    <w:rsid w:val="134E798B"/>
    <w:rsid w:val="14A80DA5"/>
    <w:rsid w:val="17D26A70"/>
    <w:rsid w:val="1A7D285E"/>
    <w:rsid w:val="1B2C1A76"/>
    <w:rsid w:val="1B543C65"/>
    <w:rsid w:val="1DBF0083"/>
    <w:rsid w:val="1FFB0140"/>
    <w:rsid w:val="24010760"/>
    <w:rsid w:val="25315F52"/>
    <w:rsid w:val="26913541"/>
    <w:rsid w:val="299920BB"/>
    <w:rsid w:val="2BEB3657"/>
    <w:rsid w:val="2CE40508"/>
    <w:rsid w:val="2D47153F"/>
    <w:rsid w:val="2D862FF9"/>
    <w:rsid w:val="2ED871E9"/>
    <w:rsid w:val="30807B4B"/>
    <w:rsid w:val="31413674"/>
    <w:rsid w:val="318DF538"/>
    <w:rsid w:val="3221404A"/>
    <w:rsid w:val="327FC6D4"/>
    <w:rsid w:val="32B754AD"/>
    <w:rsid w:val="332871CB"/>
    <w:rsid w:val="33BD4470"/>
    <w:rsid w:val="34817233"/>
    <w:rsid w:val="385E5017"/>
    <w:rsid w:val="3967423C"/>
    <w:rsid w:val="3B546DFA"/>
    <w:rsid w:val="3BD5A37F"/>
    <w:rsid w:val="3BE8322F"/>
    <w:rsid w:val="3BF015BF"/>
    <w:rsid w:val="3C246C86"/>
    <w:rsid w:val="3F177636"/>
    <w:rsid w:val="3FD15EAF"/>
    <w:rsid w:val="40DD0B8E"/>
    <w:rsid w:val="44F55CE1"/>
    <w:rsid w:val="488E7D6F"/>
    <w:rsid w:val="4A751FBB"/>
    <w:rsid w:val="4B7A615D"/>
    <w:rsid w:val="4CF21E21"/>
    <w:rsid w:val="4CF54579"/>
    <w:rsid w:val="4E767533"/>
    <w:rsid w:val="52305BB2"/>
    <w:rsid w:val="535D2A8E"/>
    <w:rsid w:val="537A699B"/>
    <w:rsid w:val="53A771E4"/>
    <w:rsid w:val="53D538D6"/>
    <w:rsid w:val="54FB6504"/>
    <w:rsid w:val="566E25A6"/>
    <w:rsid w:val="56980686"/>
    <w:rsid w:val="584339B6"/>
    <w:rsid w:val="5B45742E"/>
    <w:rsid w:val="5B885BB0"/>
    <w:rsid w:val="5F0C50B4"/>
    <w:rsid w:val="5F7678F2"/>
    <w:rsid w:val="628544F4"/>
    <w:rsid w:val="63941218"/>
    <w:rsid w:val="661750EF"/>
    <w:rsid w:val="67201D7D"/>
    <w:rsid w:val="67384093"/>
    <w:rsid w:val="691875C8"/>
    <w:rsid w:val="6C3932F1"/>
    <w:rsid w:val="6C660F51"/>
    <w:rsid w:val="6C7926D4"/>
    <w:rsid w:val="6D5D5120"/>
    <w:rsid w:val="6D677B57"/>
    <w:rsid w:val="6DE128CD"/>
    <w:rsid w:val="6EAD309C"/>
    <w:rsid w:val="6FE850EB"/>
    <w:rsid w:val="70FEAA7F"/>
    <w:rsid w:val="74550C88"/>
    <w:rsid w:val="75432B9D"/>
    <w:rsid w:val="775FB293"/>
    <w:rsid w:val="782567A5"/>
    <w:rsid w:val="79333E39"/>
    <w:rsid w:val="7BDB1E9F"/>
    <w:rsid w:val="7C55591F"/>
    <w:rsid w:val="7ECB27F6"/>
    <w:rsid w:val="7F3369FC"/>
    <w:rsid w:val="7FFA135B"/>
    <w:rsid w:val="7FFDAC0C"/>
    <w:rsid w:val="B79B2EF7"/>
    <w:rsid w:val="BCBF6395"/>
    <w:rsid w:val="BEDB7B3E"/>
    <w:rsid w:val="BF5FF86F"/>
    <w:rsid w:val="EA7E8771"/>
    <w:rsid w:val="EB0BB7E6"/>
    <w:rsid w:val="FB7CAAF4"/>
    <w:rsid w:val="FBE5CB50"/>
    <w:rsid w:val="FDEA7CF5"/>
    <w:rsid w:val="FEBB8025"/>
    <w:rsid w:val="FFBE2238"/>
    <w:rsid w:val="FFDE8B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qFormat="1" w:uiPriority="39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ascii="宋体" w:hAnsi="Courier New"/>
    </w:rPr>
  </w:style>
  <w:style w:type="paragraph" w:styleId="3">
    <w:name w:val="Body Text"/>
    <w:basedOn w:val="1"/>
    <w:qFormat/>
    <w:uiPriority w:val="0"/>
    <w:rPr>
      <w:rFonts w:eastAsia="宋体"/>
      <w:bCs/>
      <w:color w:val="auto"/>
      <w:szCs w:val="24"/>
    </w:rPr>
  </w:style>
  <w:style w:type="paragraph" w:styleId="4">
    <w:name w:val="toc 3"/>
    <w:basedOn w:val="1"/>
    <w:next w:val="1"/>
    <w:semiHidden/>
    <w:unhideWhenUsed/>
    <w:qFormat/>
    <w:uiPriority w:val="39"/>
    <w:pPr>
      <w:ind w:left="840" w:leftChars="400"/>
    </w:p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Normal (Web)"/>
    <w:basedOn w:val="1"/>
    <w:qFormat/>
    <w:uiPriority w:val="99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10">
    <w:name w:val="Hyperlink"/>
    <w:basedOn w:val="9"/>
    <w:qFormat/>
    <w:uiPriority w:val="0"/>
    <w:rPr>
      <w:color w:val="333333"/>
      <w:u w:val="non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15</Pages>
  <Words>5743</Words>
  <Characters>6080</Characters>
  <Lines>0</Lines>
  <Paragraphs>0</Paragraphs>
  <TotalTime>7</TotalTime>
  <ScaleCrop>false</ScaleCrop>
  <LinksUpToDate>false</LinksUpToDate>
  <CharactersWithSpaces>6343</CharactersWithSpaces>
  <Application>WPS Office_11.8.2.10229_F1E327BC-269C-435d-A152-05C5408002CA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2020-12-17T15:14:00Z</dcterms:created>
  <dc:creator>HS</dc:creator>
  <cp:lastModifiedBy>user</cp:lastModifiedBy>
  <cp:lastPrinted>2026-01-06T19:56:00Z</cp:lastPrinted>
  <dcterms:modified xsi:type="dcterms:W3CDTF">2026-01-09T16:45:48Z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2052-11.8.2.10229</vt:lpwstr>
  </property>
  <property fmtid="{D5CDD505-2E9C-101B-9397-08002B2CF9AE}" pid="3" name="ICV">
    <vt:lpwstr>FE31FDA3AF9A44E7908C228B7DFF7827_13</vt:lpwstr>
  </property>
</Properties>
</file>